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487" w:rsidRPr="00FB41AB" w:rsidRDefault="00CF0913" w:rsidP="004C4487">
      <w:pPr>
        <w:pStyle w:val="Title"/>
        <w:jc w:val="both"/>
        <w:rPr>
          <w:rFonts w:ascii="Calibri" w:hAnsi="Calibri"/>
          <w:sz w:val="26"/>
        </w:rPr>
      </w:pPr>
      <w:r w:rsidRPr="00FB41AB">
        <w:rPr>
          <w:rFonts w:ascii="Calibri" w:hAnsi="Calibri"/>
          <w:sz w:val="26"/>
        </w:rPr>
        <w:t xml:space="preserve">Sinteza modificărilor </w:t>
      </w:r>
      <w:r w:rsidR="005C2B5A">
        <w:rPr>
          <w:rFonts w:ascii="Calibri" w:hAnsi="Calibri"/>
          <w:sz w:val="26"/>
        </w:rPr>
        <w:t xml:space="preserve">asupra </w:t>
      </w:r>
      <w:r w:rsidRPr="00FB41AB">
        <w:rPr>
          <w:rFonts w:ascii="Calibri" w:hAnsi="Calibri"/>
          <w:sz w:val="26"/>
        </w:rPr>
        <w:t>G</w:t>
      </w:r>
      <w:r w:rsidR="005C2B5A">
        <w:rPr>
          <w:rFonts w:ascii="Calibri" w:hAnsi="Calibri"/>
          <w:sz w:val="26"/>
        </w:rPr>
        <w:t>hidului specific</w:t>
      </w:r>
      <w:r w:rsidRPr="00FB41AB">
        <w:rPr>
          <w:rFonts w:ascii="Calibri" w:hAnsi="Calibri"/>
          <w:sz w:val="26"/>
        </w:rPr>
        <w:t xml:space="preserve"> 2.1A - Microîntreprinderi,</w:t>
      </w:r>
      <w:r w:rsidR="004C4487" w:rsidRPr="00FB41AB">
        <w:rPr>
          <w:rFonts w:ascii="Calibri" w:hAnsi="Calibri"/>
          <w:sz w:val="26"/>
        </w:rPr>
        <w:t xml:space="preserve"> POR 2014-2020</w:t>
      </w:r>
    </w:p>
    <w:p w:rsidR="004C4487" w:rsidRPr="00FB41AB" w:rsidRDefault="004C4487" w:rsidP="004C4487">
      <w:pPr>
        <w:pStyle w:val="Title"/>
        <w:jc w:val="both"/>
      </w:pPr>
    </w:p>
    <w:tbl>
      <w:tblPr>
        <w:tblStyle w:val="TableGrid"/>
        <w:tblW w:w="15163" w:type="dxa"/>
        <w:tblLook w:val="04A0" w:firstRow="1" w:lastRow="0" w:firstColumn="1" w:lastColumn="0" w:noHBand="0" w:noVBand="1"/>
      </w:tblPr>
      <w:tblGrid>
        <w:gridCol w:w="562"/>
        <w:gridCol w:w="7371"/>
        <w:gridCol w:w="7230"/>
      </w:tblGrid>
      <w:tr w:rsidR="00824984" w:rsidRPr="00FB41AB" w:rsidTr="00D947E2">
        <w:tc>
          <w:tcPr>
            <w:tcW w:w="562" w:type="dxa"/>
          </w:tcPr>
          <w:p w:rsidR="00824984" w:rsidRPr="00FB41AB" w:rsidRDefault="004C4487">
            <w:r w:rsidRPr="00FB41AB">
              <w:t>Nr. Crt.</w:t>
            </w:r>
          </w:p>
        </w:tc>
        <w:tc>
          <w:tcPr>
            <w:tcW w:w="7371" w:type="dxa"/>
          </w:tcPr>
          <w:p w:rsidR="00824984" w:rsidRPr="00FB41AB" w:rsidRDefault="00AC0CAE" w:rsidP="00AC0CAE">
            <w:pPr>
              <w:jc w:val="center"/>
              <w:rPr>
                <w:lang w:val="en-US"/>
              </w:rPr>
            </w:pPr>
            <w:r w:rsidRPr="00FB41AB">
              <w:rPr>
                <w:b/>
                <w:i/>
              </w:rPr>
              <w:t>”</w:t>
            </w:r>
            <w:r w:rsidR="004C4487" w:rsidRPr="00FB41AB">
              <w:rPr>
                <w:b/>
                <w:i/>
              </w:rPr>
              <w:t>Ghidul Solicitantului – Conditii specifice de accesare  a fondurilor in cadrul Apelului de proiecte nr. POR/2016/2/2.1/A – Microîntreprinderi</w:t>
            </w:r>
            <w:r w:rsidRPr="00FB41AB">
              <w:rPr>
                <w:b/>
                <w:i/>
              </w:rPr>
              <w:t>”</w:t>
            </w:r>
            <w:r w:rsidRPr="00FB41AB">
              <w:rPr>
                <w:b/>
              </w:rPr>
              <w:t xml:space="preserve"> aprobat prin Ordinul 765/26.05.2016, cu modificarile si completarile ulterioare</w:t>
            </w:r>
          </w:p>
        </w:tc>
        <w:tc>
          <w:tcPr>
            <w:tcW w:w="7230" w:type="dxa"/>
          </w:tcPr>
          <w:p w:rsidR="004C4487" w:rsidRPr="00FB41AB" w:rsidRDefault="004C4487" w:rsidP="004C4487">
            <w:pPr>
              <w:jc w:val="center"/>
              <w:rPr>
                <w:b/>
              </w:rPr>
            </w:pPr>
            <w:r w:rsidRPr="00FB41AB">
              <w:rPr>
                <w:b/>
              </w:rPr>
              <w:t>Modificari/Completari</w:t>
            </w:r>
          </w:p>
          <w:p w:rsidR="00824984" w:rsidRPr="00FB41AB" w:rsidRDefault="00395F10" w:rsidP="004C4487">
            <w:pPr>
              <w:jc w:val="center"/>
            </w:pPr>
            <w:r>
              <w:rPr>
                <w:b/>
              </w:rPr>
              <w:t>Decembrie</w:t>
            </w:r>
            <w:r w:rsidR="004C4487" w:rsidRPr="00FB41AB">
              <w:rPr>
                <w:b/>
              </w:rPr>
              <w:t xml:space="preserve"> 2016</w:t>
            </w:r>
          </w:p>
        </w:tc>
      </w:tr>
      <w:tr w:rsidR="00824984" w:rsidRPr="00FB41AB" w:rsidTr="00D947E2">
        <w:tc>
          <w:tcPr>
            <w:tcW w:w="15163" w:type="dxa"/>
            <w:gridSpan w:val="3"/>
          </w:tcPr>
          <w:p w:rsidR="00824984" w:rsidRPr="00FB41AB" w:rsidRDefault="00395F10" w:rsidP="00395F10">
            <w:pPr>
              <w:rPr>
                <w:b/>
                <w:i/>
              </w:rPr>
            </w:pPr>
            <w:r>
              <w:rPr>
                <w:b/>
                <w:i/>
              </w:rPr>
              <w:t xml:space="preserve">Secțiunea 4. </w:t>
            </w:r>
            <w:r w:rsidRPr="00395F10">
              <w:rPr>
                <w:b/>
                <w:i/>
              </w:rPr>
              <w:t>C</w:t>
            </w:r>
            <w:r>
              <w:rPr>
                <w:b/>
                <w:i/>
              </w:rPr>
              <w:t>ompletarea cererii de finanțare</w:t>
            </w:r>
          </w:p>
        </w:tc>
      </w:tr>
      <w:tr w:rsidR="00395F10" w:rsidRPr="00FB41AB" w:rsidTr="00D947E2">
        <w:tc>
          <w:tcPr>
            <w:tcW w:w="562" w:type="dxa"/>
          </w:tcPr>
          <w:p w:rsidR="00395F10" w:rsidRPr="00FB41AB" w:rsidRDefault="00395F10" w:rsidP="00395F10">
            <w:pPr>
              <w:pStyle w:val="ListParagraph"/>
              <w:numPr>
                <w:ilvl w:val="0"/>
                <w:numId w:val="1"/>
              </w:numPr>
              <w:ind w:left="360"/>
            </w:pPr>
          </w:p>
        </w:tc>
        <w:tc>
          <w:tcPr>
            <w:tcW w:w="7371" w:type="dxa"/>
          </w:tcPr>
          <w:p w:rsidR="00395F10" w:rsidRDefault="00395F10" w:rsidP="00395F10">
            <w:pPr>
              <w:jc w:val="both"/>
            </w:pPr>
            <w:r>
              <w:t>”</w:t>
            </w:r>
            <w:r w:rsidRPr="00395F10">
              <w:t>Anexele obligatorii la cererea de finanțare sunt:</w:t>
            </w:r>
          </w:p>
          <w:p w:rsidR="00395F10" w:rsidRDefault="00395F10" w:rsidP="00395F10">
            <w:pPr>
              <w:jc w:val="both"/>
            </w:pPr>
            <w:r>
              <w:t>(…)</w:t>
            </w:r>
          </w:p>
          <w:p w:rsidR="00395F10" w:rsidRPr="00FB41AB" w:rsidRDefault="00F726A2" w:rsidP="001D0C7A">
            <w:pPr>
              <w:ind w:left="360"/>
            </w:pPr>
            <w:r>
              <w:t xml:space="preserve">10. </w:t>
            </w:r>
            <w:r w:rsidR="00395F10" w:rsidRPr="00395F10">
              <w:t>Situaţiile financiare anuale ale solicitantului depuse la unitățile teritoriale ale Ministerului Finanțelor Publice, aferente exercițiului fiscal anterior depunerii cererii de finanțare</w:t>
            </w:r>
            <w:r w:rsidR="00395F10">
              <w:t xml:space="preserve"> (…)”</w:t>
            </w:r>
          </w:p>
        </w:tc>
        <w:tc>
          <w:tcPr>
            <w:tcW w:w="7230" w:type="dxa"/>
          </w:tcPr>
          <w:p w:rsidR="00395F10" w:rsidRDefault="00395F10" w:rsidP="00395F10">
            <w:pPr>
              <w:jc w:val="both"/>
            </w:pPr>
            <w:r>
              <w:t>”</w:t>
            </w:r>
            <w:r w:rsidRPr="00395F10">
              <w:t>Anexele obligatorii la cererea de finanțare sunt:</w:t>
            </w:r>
          </w:p>
          <w:p w:rsidR="00395F10" w:rsidRDefault="00395F10" w:rsidP="00395F10">
            <w:pPr>
              <w:jc w:val="both"/>
            </w:pPr>
            <w:r>
              <w:t>(…)</w:t>
            </w:r>
          </w:p>
          <w:p w:rsidR="00395F10" w:rsidRPr="00FB41AB" w:rsidRDefault="00F726A2" w:rsidP="001D0C7A">
            <w:pPr>
              <w:ind w:left="360"/>
            </w:pPr>
            <w:r>
              <w:t xml:space="preserve">10. </w:t>
            </w:r>
            <w:r w:rsidR="00395F10" w:rsidRPr="00395F10">
              <w:t>Situaţiile financiare anuale ale solicitantului, aferente exercițiului fiscal anterior depunerii cererii de finanțare, aprobate de adunarea generală a acţionarilor sau asociaţilor</w:t>
            </w:r>
            <w:r w:rsidR="00395F10">
              <w:t xml:space="preserve"> (…)”</w:t>
            </w:r>
          </w:p>
        </w:tc>
      </w:tr>
      <w:tr w:rsidR="00395F10" w:rsidRPr="00FB41AB" w:rsidTr="00D947E2">
        <w:tc>
          <w:tcPr>
            <w:tcW w:w="15163" w:type="dxa"/>
            <w:gridSpan w:val="3"/>
          </w:tcPr>
          <w:p w:rsidR="00395F10" w:rsidRPr="00FB41AB" w:rsidRDefault="00F726A2" w:rsidP="00F726A2">
            <w:r>
              <w:rPr>
                <w:b/>
                <w:i/>
              </w:rPr>
              <w:t xml:space="preserve">Anexa 3 </w:t>
            </w:r>
            <w:r w:rsidRPr="00F726A2">
              <w:rPr>
                <w:b/>
                <w:i/>
              </w:rPr>
              <w:t>Grila de verificare a conformității administrative și eligibilității cererii de finanţare</w:t>
            </w:r>
          </w:p>
        </w:tc>
      </w:tr>
      <w:tr w:rsidR="00D516B0" w:rsidRPr="00FB41AB" w:rsidTr="00D947E2">
        <w:tc>
          <w:tcPr>
            <w:tcW w:w="562" w:type="dxa"/>
          </w:tcPr>
          <w:p w:rsidR="00D516B0" w:rsidRPr="00FB41AB" w:rsidRDefault="00D516B0" w:rsidP="00D516B0">
            <w:pPr>
              <w:pStyle w:val="ListParagraph"/>
              <w:numPr>
                <w:ilvl w:val="0"/>
                <w:numId w:val="1"/>
              </w:numPr>
              <w:ind w:left="360"/>
            </w:pPr>
          </w:p>
        </w:tc>
        <w:tc>
          <w:tcPr>
            <w:tcW w:w="7371" w:type="dxa"/>
          </w:tcPr>
          <w:p w:rsidR="00D516B0" w:rsidRPr="00FB41AB" w:rsidRDefault="00D516B0" w:rsidP="00D516B0">
            <w:pPr>
              <w:jc w:val="both"/>
            </w:pPr>
            <w:r>
              <w:t>”13. Situațiile financiare ale solicitantului aferente exercițiului financiar anterior depunerii cererii de finanțare (Bilanţul prescurtat, Contul de profit şi pierdere, Datele informative, Situația activelor imobilizate, Notele explicative), depuse la unitățile teritoriale ale Ministerului Finanțelor Publice, sunt atașate”</w:t>
            </w:r>
          </w:p>
        </w:tc>
        <w:tc>
          <w:tcPr>
            <w:tcW w:w="7230" w:type="dxa"/>
          </w:tcPr>
          <w:p w:rsidR="00D516B0" w:rsidRPr="00FB41AB" w:rsidRDefault="00D516B0" w:rsidP="00D516B0">
            <w:pPr>
              <w:jc w:val="both"/>
            </w:pPr>
            <w:r>
              <w:t xml:space="preserve">”13. </w:t>
            </w:r>
            <w:r w:rsidRPr="00D516B0">
              <w:t>Situațiile financiare ale solicitantului aferente exercițiului financiar anterior depunerii cererii de finanțare (Bilanţul prescurtat, Contul de profit şi pierdere, Datele informative, Situația activelor imobilizate, Notele explicative), aprobate de adunarea generală a acţionarilor sau asociaţilor, sunt atașate</w:t>
            </w:r>
            <w:r>
              <w:t>”</w:t>
            </w:r>
          </w:p>
        </w:tc>
      </w:tr>
      <w:tr w:rsidR="00D516B0" w:rsidRPr="00FB41AB" w:rsidTr="00D947E2">
        <w:tc>
          <w:tcPr>
            <w:tcW w:w="15163" w:type="dxa"/>
            <w:gridSpan w:val="3"/>
          </w:tcPr>
          <w:p w:rsidR="00D516B0" w:rsidRPr="00FB41AB" w:rsidRDefault="00D516B0" w:rsidP="00A44BEE">
            <w:pPr>
              <w:rPr>
                <w:b/>
                <w:i/>
              </w:rPr>
            </w:pPr>
            <w:r w:rsidRPr="00FB41AB">
              <w:rPr>
                <w:b/>
                <w:i/>
              </w:rPr>
              <w:t>Anexa 5 – Contract de finantare (model orientativ)</w:t>
            </w:r>
            <w:r>
              <w:rPr>
                <w:b/>
                <w:i/>
              </w:rPr>
              <w:t xml:space="preserve"> - </w:t>
            </w:r>
            <w:r w:rsidR="0039643E">
              <w:rPr>
                <w:b/>
                <w:i/>
              </w:rPr>
              <w:t>Conditii specifice</w:t>
            </w:r>
            <w:r w:rsidR="00A44BEE">
              <w:rPr>
                <w:b/>
                <w:i/>
              </w:rPr>
              <w:t xml:space="preserve"> POR</w:t>
            </w:r>
          </w:p>
        </w:tc>
      </w:tr>
      <w:tr w:rsidR="0039262A" w:rsidTr="00D947E2">
        <w:tc>
          <w:tcPr>
            <w:tcW w:w="562" w:type="dxa"/>
          </w:tcPr>
          <w:p w:rsidR="0039262A" w:rsidRPr="00FB41AB" w:rsidRDefault="0039262A" w:rsidP="0039643E">
            <w:pPr>
              <w:pStyle w:val="ListParagraph"/>
              <w:numPr>
                <w:ilvl w:val="0"/>
                <w:numId w:val="1"/>
              </w:numPr>
              <w:ind w:left="360"/>
            </w:pPr>
          </w:p>
        </w:tc>
        <w:tc>
          <w:tcPr>
            <w:tcW w:w="14601" w:type="dxa"/>
            <w:gridSpan w:val="2"/>
          </w:tcPr>
          <w:p w:rsidR="0039262A" w:rsidRPr="001B2F8E" w:rsidRDefault="0039262A" w:rsidP="00D516B0">
            <w:r>
              <w:t>Actualizare, conform OMDRAP 3170/07.12.2016 (de modificare a modelului standard orientativ al contractului de finanțare, din Ghidul general POR)</w:t>
            </w:r>
          </w:p>
        </w:tc>
      </w:tr>
      <w:tr w:rsidR="00F16443" w:rsidRPr="00FB41AB" w:rsidTr="00D947E2">
        <w:tc>
          <w:tcPr>
            <w:tcW w:w="15163" w:type="dxa"/>
            <w:gridSpan w:val="3"/>
          </w:tcPr>
          <w:p w:rsidR="00F16443" w:rsidRPr="00FB41AB" w:rsidRDefault="00F16443" w:rsidP="00F16443">
            <w:pPr>
              <w:rPr>
                <w:b/>
                <w:i/>
              </w:rPr>
            </w:pPr>
            <w:r w:rsidRPr="00FB41AB">
              <w:rPr>
                <w:b/>
                <w:i/>
              </w:rPr>
              <w:t>Anexa 5 – Contract de finantare (model orientativ)</w:t>
            </w:r>
            <w:r>
              <w:rPr>
                <w:b/>
                <w:i/>
              </w:rPr>
              <w:t xml:space="preserve"> - Conditii specifice PI 2.1.A Microîntreprinderi</w:t>
            </w:r>
          </w:p>
        </w:tc>
      </w:tr>
      <w:tr w:rsidR="0039643E" w:rsidTr="00D947E2">
        <w:tc>
          <w:tcPr>
            <w:tcW w:w="562" w:type="dxa"/>
          </w:tcPr>
          <w:p w:rsidR="0039643E" w:rsidRPr="00FB41AB" w:rsidRDefault="0039643E" w:rsidP="0039643E">
            <w:pPr>
              <w:pStyle w:val="ListParagraph"/>
              <w:numPr>
                <w:ilvl w:val="0"/>
                <w:numId w:val="1"/>
              </w:numPr>
              <w:ind w:left="360"/>
            </w:pPr>
          </w:p>
        </w:tc>
        <w:tc>
          <w:tcPr>
            <w:tcW w:w="7371" w:type="dxa"/>
          </w:tcPr>
          <w:p w:rsidR="00F16443" w:rsidRPr="00FB41AB" w:rsidRDefault="00F16443" w:rsidP="00F61F4B">
            <w:r>
              <w:t>Art. 2, alin (3)</w:t>
            </w:r>
            <w:r w:rsidR="00F61F4B">
              <w:t xml:space="preserve">  </w:t>
            </w:r>
            <w:r>
              <w:t>”</w:t>
            </w:r>
            <w:r w:rsidRPr="00F16443">
              <w:t>Beneficiarul poate solicita finanţarea nerambursabilă prin maximum 4 cereri de rambursare, cu condiţia ca tranşa finală să nu fie mai mică de 20% din valoarea totală eligibilă contractată.</w:t>
            </w:r>
            <w:r>
              <w:t>”</w:t>
            </w:r>
          </w:p>
        </w:tc>
        <w:tc>
          <w:tcPr>
            <w:tcW w:w="7230" w:type="dxa"/>
          </w:tcPr>
          <w:p w:rsidR="0039643E" w:rsidRPr="00FB41AB" w:rsidRDefault="00F16443" w:rsidP="00D516B0">
            <w:r>
              <w:t>Eliminarea alineatului.</w:t>
            </w:r>
          </w:p>
        </w:tc>
      </w:tr>
      <w:tr w:rsidR="00AE3E06" w:rsidRPr="00FB41AB" w:rsidTr="00D947E2">
        <w:tc>
          <w:tcPr>
            <w:tcW w:w="15163" w:type="dxa"/>
            <w:gridSpan w:val="3"/>
          </w:tcPr>
          <w:p w:rsidR="00AE3E06" w:rsidRPr="00FB41AB" w:rsidRDefault="00AE3E06" w:rsidP="004E44E1">
            <w:pPr>
              <w:rPr>
                <w:b/>
                <w:i/>
              </w:rPr>
            </w:pPr>
            <w:r w:rsidRPr="00FB41AB">
              <w:rPr>
                <w:b/>
                <w:i/>
              </w:rPr>
              <w:t>Anexa 5 – Contract de finantare (model orientativ)</w:t>
            </w:r>
            <w:r>
              <w:rPr>
                <w:b/>
                <w:i/>
              </w:rPr>
              <w:t xml:space="preserve"> - </w:t>
            </w:r>
            <w:r w:rsidRPr="00AE3E06">
              <w:rPr>
                <w:b/>
                <w:i/>
              </w:rPr>
              <w:t>Condiții de rambu</w:t>
            </w:r>
            <w:r w:rsidR="004E44E1">
              <w:rPr>
                <w:b/>
                <w:i/>
              </w:rPr>
              <w:t>rsare și plată a cheltuielilor</w:t>
            </w:r>
          </w:p>
        </w:tc>
      </w:tr>
      <w:tr w:rsidR="0039643E" w:rsidTr="00D947E2">
        <w:tc>
          <w:tcPr>
            <w:tcW w:w="562" w:type="dxa"/>
          </w:tcPr>
          <w:p w:rsidR="0039643E" w:rsidRPr="00FB41AB" w:rsidRDefault="0039643E" w:rsidP="0039643E">
            <w:pPr>
              <w:pStyle w:val="ListParagraph"/>
              <w:numPr>
                <w:ilvl w:val="0"/>
                <w:numId w:val="1"/>
              </w:numPr>
              <w:ind w:left="360"/>
            </w:pPr>
          </w:p>
        </w:tc>
        <w:tc>
          <w:tcPr>
            <w:tcW w:w="7371" w:type="dxa"/>
          </w:tcPr>
          <w:p w:rsidR="0039643E" w:rsidRDefault="004E44E1" w:rsidP="004E44E1">
            <w:r w:rsidRPr="004E44E1">
              <w:t>Secțiunea I - Mecanismul cererilor de plată</w:t>
            </w:r>
            <w:r>
              <w:t xml:space="preserve"> - alin (2)</w:t>
            </w:r>
          </w:p>
          <w:p w:rsidR="00C55A9C" w:rsidRPr="00FB41AB" w:rsidRDefault="00C55A9C" w:rsidP="00C55A9C">
            <w:r>
              <w:t>”</w:t>
            </w:r>
            <w:r w:rsidRPr="00C55A9C">
              <w:t>În termen de maximum 3 zile lucrătoare de la primirea facturilor pentru livrarea bunurilor/ prestarea serviciilor/ execuția lucrărilor recepționate, acceptate la plată, a facturilor de avans în conformitate cu clauzele prevăzute în contractele economice aferente proiectelor implementate, acceptate la plată, beneficiarul depune la Organismul Intermediar “Cererea de plată”, împreună cu documentele justificative aferente.</w:t>
            </w:r>
            <w:r>
              <w:t>”</w:t>
            </w:r>
          </w:p>
        </w:tc>
        <w:tc>
          <w:tcPr>
            <w:tcW w:w="7230" w:type="dxa"/>
          </w:tcPr>
          <w:p w:rsidR="001C49B8" w:rsidRDefault="001C49B8" w:rsidP="00D516B0">
            <w:r>
              <w:t>A</w:t>
            </w:r>
            <w:r w:rsidRPr="001C49B8">
              <w:t>ctualizare cu modificările aduse normelor de aplicare a OUG nr. 40/2015 (HG nr. 93/2016)</w:t>
            </w:r>
          </w:p>
          <w:p w:rsidR="001C49B8" w:rsidRDefault="001C49B8" w:rsidP="00D516B0"/>
          <w:p w:rsidR="00180DAE" w:rsidRPr="00FB41AB" w:rsidRDefault="00180DAE" w:rsidP="00D516B0">
            <w:r>
              <w:t>„</w:t>
            </w:r>
            <w:r w:rsidRPr="00180DAE">
              <w:t>Beneficiarii pot depune la Organismul Intermediar cereri de plată care să conţină facturi pentru livrarea bunurilor/ prestarea serviciilor/ execuţia lucrărilor recepţionate, facturi de avans acordat contractorilor în conformitate cu clauzele prevăzute în contractele aferente proiectelor implementate.</w:t>
            </w:r>
            <w:r>
              <w:t>”</w:t>
            </w:r>
          </w:p>
        </w:tc>
      </w:tr>
    </w:tbl>
    <w:p w:rsidR="00F14265" w:rsidRDefault="00F14265" w:rsidP="00D947E2">
      <w:bookmarkStart w:id="0" w:name="_GoBack"/>
      <w:bookmarkEnd w:id="0"/>
    </w:p>
    <w:sectPr w:rsidR="00F14265" w:rsidSect="00D947E2">
      <w:pgSz w:w="16838" w:h="11906" w:orient="landscape"/>
      <w:pgMar w:top="851" w:right="141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773B"/>
    <w:multiLevelType w:val="hybridMultilevel"/>
    <w:tmpl w:val="2D7A097E"/>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E136AE"/>
    <w:multiLevelType w:val="hybridMultilevel"/>
    <w:tmpl w:val="EA50BAD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6127EC"/>
    <w:multiLevelType w:val="hybridMultilevel"/>
    <w:tmpl w:val="C9625F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CA713A2"/>
    <w:multiLevelType w:val="hybridMultilevel"/>
    <w:tmpl w:val="F306F25A"/>
    <w:lvl w:ilvl="0" w:tplc="0418000F">
      <w:start w:val="1"/>
      <w:numFmt w:val="decimal"/>
      <w:lvlText w:val="%1."/>
      <w:lvlJc w:val="left"/>
      <w:pPr>
        <w:ind w:left="757" w:hanging="360"/>
      </w:pPr>
    </w:lvl>
    <w:lvl w:ilvl="1" w:tplc="04180019" w:tentative="1">
      <w:start w:val="1"/>
      <w:numFmt w:val="lowerLetter"/>
      <w:lvlText w:val="%2."/>
      <w:lvlJc w:val="left"/>
      <w:pPr>
        <w:ind w:left="1477" w:hanging="360"/>
      </w:pPr>
    </w:lvl>
    <w:lvl w:ilvl="2" w:tplc="0418001B" w:tentative="1">
      <w:start w:val="1"/>
      <w:numFmt w:val="lowerRoman"/>
      <w:lvlText w:val="%3."/>
      <w:lvlJc w:val="right"/>
      <w:pPr>
        <w:ind w:left="2197" w:hanging="180"/>
      </w:pPr>
    </w:lvl>
    <w:lvl w:ilvl="3" w:tplc="0418000F" w:tentative="1">
      <w:start w:val="1"/>
      <w:numFmt w:val="decimal"/>
      <w:lvlText w:val="%4."/>
      <w:lvlJc w:val="left"/>
      <w:pPr>
        <w:ind w:left="2917" w:hanging="360"/>
      </w:pPr>
    </w:lvl>
    <w:lvl w:ilvl="4" w:tplc="04180019" w:tentative="1">
      <w:start w:val="1"/>
      <w:numFmt w:val="lowerLetter"/>
      <w:lvlText w:val="%5."/>
      <w:lvlJc w:val="left"/>
      <w:pPr>
        <w:ind w:left="3637" w:hanging="360"/>
      </w:pPr>
    </w:lvl>
    <w:lvl w:ilvl="5" w:tplc="0418001B" w:tentative="1">
      <w:start w:val="1"/>
      <w:numFmt w:val="lowerRoman"/>
      <w:lvlText w:val="%6."/>
      <w:lvlJc w:val="right"/>
      <w:pPr>
        <w:ind w:left="4357" w:hanging="180"/>
      </w:pPr>
    </w:lvl>
    <w:lvl w:ilvl="6" w:tplc="0418000F" w:tentative="1">
      <w:start w:val="1"/>
      <w:numFmt w:val="decimal"/>
      <w:lvlText w:val="%7."/>
      <w:lvlJc w:val="left"/>
      <w:pPr>
        <w:ind w:left="5077" w:hanging="360"/>
      </w:pPr>
    </w:lvl>
    <w:lvl w:ilvl="7" w:tplc="04180019" w:tentative="1">
      <w:start w:val="1"/>
      <w:numFmt w:val="lowerLetter"/>
      <w:lvlText w:val="%8."/>
      <w:lvlJc w:val="left"/>
      <w:pPr>
        <w:ind w:left="5797" w:hanging="360"/>
      </w:pPr>
    </w:lvl>
    <w:lvl w:ilvl="8" w:tplc="0418001B" w:tentative="1">
      <w:start w:val="1"/>
      <w:numFmt w:val="lowerRoman"/>
      <w:lvlText w:val="%9."/>
      <w:lvlJc w:val="right"/>
      <w:pPr>
        <w:ind w:left="6517" w:hanging="180"/>
      </w:pPr>
    </w:lvl>
  </w:abstractNum>
  <w:abstractNum w:abstractNumId="4" w15:restartNumberingAfterBreak="0">
    <w:nsid w:val="60F31636"/>
    <w:multiLevelType w:val="hybridMultilevel"/>
    <w:tmpl w:val="51E40878"/>
    <w:lvl w:ilvl="0" w:tplc="154451F4">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0193684"/>
    <w:multiLevelType w:val="hybridMultilevel"/>
    <w:tmpl w:val="8BB8B326"/>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A26"/>
    <w:rsid w:val="000A6053"/>
    <w:rsid w:val="000F2654"/>
    <w:rsid w:val="000F6B1B"/>
    <w:rsid w:val="000F6E8C"/>
    <w:rsid w:val="001446D8"/>
    <w:rsid w:val="00180DAE"/>
    <w:rsid w:val="001A1112"/>
    <w:rsid w:val="001B2F8E"/>
    <w:rsid w:val="001C49B8"/>
    <w:rsid w:val="001D0C7A"/>
    <w:rsid w:val="001E56D1"/>
    <w:rsid w:val="002225F2"/>
    <w:rsid w:val="00274E31"/>
    <w:rsid w:val="00296858"/>
    <w:rsid w:val="002A0F78"/>
    <w:rsid w:val="002B0F7F"/>
    <w:rsid w:val="00326AE9"/>
    <w:rsid w:val="003513B9"/>
    <w:rsid w:val="00354AA3"/>
    <w:rsid w:val="00355EF8"/>
    <w:rsid w:val="0039262A"/>
    <w:rsid w:val="00395F10"/>
    <w:rsid w:val="0039643E"/>
    <w:rsid w:val="003E3935"/>
    <w:rsid w:val="00450280"/>
    <w:rsid w:val="0049248F"/>
    <w:rsid w:val="004C3FD0"/>
    <w:rsid w:val="004C4487"/>
    <w:rsid w:val="004E44E1"/>
    <w:rsid w:val="00501842"/>
    <w:rsid w:val="005416B6"/>
    <w:rsid w:val="0056395E"/>
    <w:rsid w:val="005B3744"/>
    <w:rsid w:val="005C2B5A"/>
    <w:rsid w:val="0063315F"/>
    <w:rsid w:val="0072772C"/>
    <w:rsid w:val="00756B7A"/>
    <w:rsid w:val="00766869"/>
    <w:rsid w:val="007C404A"/>
    <w:rsid w:val="007E3738"/>
    <w:rsid w:val="00824984"/>
    <w:rsid w:val="008A5057"/>
    <w:rsid w:val="008D6F8D"/>
    <w:rsid w:val="009B747E"/>
    <w:rsid w:val="009D0F97"/>
    <w:rsid w:val="009F3242"/>
    <w:rsid w:val="00A44BEE"/>
    <w:rsid w:val="00A512AD"/>
    <w:rsid w:val="00A64FF7"/>
    <w:rsid w:val="00A65A53"/>
    <w:rsid w:val="00A977AA"/>
    <w:rsid w:val="00AB0490"/>
    <w:rsid w:val="00AC0CAE"/>
    <w:rsid w:val="00AC52B9"/>
    <w:rsid w:val="00AD4DAC"/>
    <w:rsid w:val="00AE3E06"/>
    <w:rsid w:val="00B15EBA"/>
    <w:rsid w:val="00B3505F"/>
    <w:rsid w:val="00B50C32"/>
    <w:rsid w:val="00BF2623"/>
    <w:rsid w:val="00C55A9C"/>
    <w:rsid w:val="00C6484B"/>
    <w:rsid w:val="00C66AAE"/>
    <w:rsid w:val="00C87447"/>
    <w:rsid w:val="00CF0913"/>
    <w:rsid w:val="00D04C25"/>
    <w:rsid w:val="00D516B0"/>
    <w:rsid w:val="00D947E2"/>
    <w:rsid w:val="00DF50EB"/>
    <w:rsid w:val="00E04E9E"/>
    <w:rsid w:val="00E12A26"/>
    <w:rsid w:val="00E57560"/>
    <w:rsid w:val="00EE6F23"/>
    <w:rsid w:val="00EF2B45"/>
    <w:rsid w:val="00F14265"/>
    <w:rsid w:val="00F16443"/>
    <w:rsid w:val="00F61F4B"/>
    <w:rsid w:val="00F726A2"/>
    <w:rsid w:val="00FB41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6AA01-385C-4E10-BBD4-93E25571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6F23"/>
    <w:pPr>
      <w:ind w:left="720"/>
      <w:contextualSpacing/>
    </w:pPr>
  </w:style>
  <w:style w:type="paragraph" w:styleId="Title">
    <w:name w:val="Title"/>
    <w:basedOn w:val="Normal"/>
    <w:link w:val="TitleChar"/>
    <w:qFormat/>
    <w:rsid w:val="004C448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4C4487"/>
    <w:rPr>
      <w:rFonts w:ascii="Times New Roman" w:eastAsia="Times New Roman" w:hAnsi="Times New Roman" w:cs="Times New Roman"/>
      <w:b/>
      <w:bCs/>
      <w:sz w:val="28"/>
      <w:szCs w:val="24"/>
    </w:rPr>
  </w:style>
  <w:style w:type="paragraph" w:styleId="BalloonText">
    <w:name w:val="Balloon Text"/>
    <w:basedOn w:val="Normal"/>
    <w:link w:val="BalloonTextChar"/>
    <w:uiPriority w:val="99"/>
    <w:semiHidden/>
    <w:unhideWhenUsed/>
    <w:rsid w:val="00E04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E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468</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Nicusor Sanda</dc:creator>
  <cp:keywords/>
  <dc:description/>
  <cp:lastModifiedBy>Gabriel I. COSTACHE</cp:lastModifiedBy>
  <cp:revision>47</cp:revision>
  <cp:lastPrinted>2016-12-14T11:39:00Z</cp:lastPrinted>
  <dcterms:created xsi:type="dcterms:W3CDTF">2016-10-03T06:00:00Z</dcterms:created>
  <dcterms:modified xsi:type="dcterms:W3CDTF">2016-12-14T11:39:00Z</dcterms:modified>
</cp:coreProperties>
</file>