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9E" w:rsidRDefault="00204E9E" w:rsidP="0097439B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204E9E" w:rsidRDefault="00204E9E" w:rsidP="0097439B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E3648E" w:rsidRDefault="00E3648E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</w:t>
      </w:r>
      <w:r w:rsidR="0097439B" w:rsidRPr="0097439B">
        <w:rPr>
          <w:rFonts w:cs="Calibri"/>
          <w:b/>
          <w:sz w:val="28"/>
          <w:szCs w:val="28"/>
          <w:lang w:val="ro-RO"/>
        </w:rPr>
        <w:t>cereri</w:t>
      </w:r>
      <w:r w:rsidRPr="0097439B">
        <w:rPr>
          <w:rFonts w:cs="Calibri"/>
          <w:b/>
          <w:sz w:val="28"/>
          <w:szCs w:val="28"/>
          <w:lang w:val="ro-RO"/>
        </w:rPr>
        <w:t xml:space="preserve"> de proiecte </w:t>
      </w:r>
      <w:r w:rsidR="0097439B" w:rsidRPr="0097439B">
        <w:rPr>
          <w:rFonts w:cs="Calibri"/>
          <w:b/>
          <w:sz w:val="28"/>
          <w:szCs w:val="28"/>
          <w:lang w:val="ro-RO"/>
        </w:rPr>
        <w:t>în anul 2017</w:t>
      </w:r>
    </w:p>
    <w:p w:rsidR="0097439B" w:rsidRPr="00514F38" w:rsidRDefault="00D16390" w:rsidP="00E3648E">
      <w:pPr>
        <w:spacing w:after="0" w:line="240" w:lineRule="auto"/>
        <w:ind w:left="720"/>
        <w:jc w:val="center"/>
        <w:rPr>
          <w:rFonts w:cs="Calibri"/>
          <w:b/>
          <w:sz w:val="24"/>
          <w:szCs w:val="24"/>
          <w:lang w:val="ro-RO"/>
        </w:rPr>
      </w:pPr>
      <w:r w:rsidRPr="00514F38">
        <w:rPr>
          <w:rFonts w:cs="Calibri"/>
          <w:b/>
          <w:sz w:val="24"/>
          <w:szCs w:val="24"/>
          <w:lang w:val="ro-RO"/>
        </w:rPr>
        <w:t xml:space="preserve">21 </w:t>
      </w:r>
      <w:r w:rsidR="00EA2BA2">
        <w:rPr>
          <w:rFonts w:cs="Calibri"/>
          <w:b/>
          <w:sz w:val="24"/>
          <w:szCs w:val="24"/>
          <w:lang w:val="ro-RO"/>
        </w:rPr>
        <w:t>m</w:t>
      </w:r>
      <w:r w:rsidR="00B23050" w:rsidRPr="00514F38">
        <w:rPr>
          <w:rFonts w:cs="Calibri"/>
          <w:b/>
          <w:sz w:val="24"/>
          <w:szCs w:val="24"/>
          <w:lang w:val="ro-RO"/>
        </w:rPr>
        <w:t>artie 2017</w:t>
      </w:r>
    </w:p>
    <w:p w:rsidR="007E4287" w:rsidRDefault="007E4287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6"/>
        <w:gridCol w:w="5459"/>
        <w:gridCol w:w="1111"/>
        <w:gridCol w:w="2052"/>
        <w:gridCol w:w="1868"/>
        <w:gridCol w:w="1416"/>
        <w:gridCol w:w="1379"/>
      </w:tblGrid>
      <w:tr w:rsidR="00FF08E7" w:rsidRPr="00AD56A2" w:rsidTr="00233CCB">
        <w:trPr>
          <w:trHeight w:val="872"/>
          <w:tblHeader/>
        </w:trPr>
        <w:tc>
          <w:tcPr>
            <w:tcW w:w="242" w:type="pct"/>
            <w:shd w:val="clear" w:color="auto" w:fill="auto"/>
            <w:vAlign w:val="center"/>
            <w:hideMark/>
          </w:tcPr>
          <w:p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Denumire ghid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Obiectiv specific din PO</w:t>
            </w:r>
          </w:p>
        </w:tc>
        <w:tc>
          <w:tcPr>
            <w:tcW w:w="735" w:type="pct"/>
            <w:vAlign w:val="center"/>
          </w:tcPr>
          <w:p w:rsidR="006C0AD8" w:rsidRPr="00AD56A2" w:rsidRDefault="006C0AD8" w:rsidP="00284BA0">
            <w:pPr>
              <w:spacing w:line="240" w:lineRule="auto"/>
              <w:ind w:left="0"/>
              <w:jc w:val="center"/>
              <w:rPr>
                <w:rFonts w:eastAsia="Times New Roman" w:cs="Calibri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Categorii de beneficiari</w:t>
            </w:r>
            <w:r w:rsidRPr="00284BA0">
              <w:rPr>
                <w:rFonts w:eastAsia="Times New Roman" w:cs="Calibri"/>
                <w:b/>
                <w:color w:val="000000"/>
                <w:vertAlign w:val="superscript"/>
                <w:lang w:val="ro-RO" w:eastAsia="ro-RO"/>
              </w:rPr>
              <w:footnoteReference w:id="1"/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Valoare alocată (lei)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6C0AD8" w:rsidRPr="00AD56A2" w:rsidRDefault="006C0AD8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b/>
                <w:color w:val="000000"/>
                <w:lang w:val="ro-RO" w:eastAsia="ro-RO"/>
              </w:rPr>
              <w:t>Mecanism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C0AD8" w:rsidRPr="00AD56A2" w:rsidRDefault="00075EA1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Stadiu apel/luna estimată pentru lansare</w:t>
            </w:r>
          </w:p>
        </w:tc>
      </w:tr>
      <w:tr w:rsidR="00285865" w:rsidRPr="00AD56A2" w:rsidTr="00233CCB">
        <w:trPr>
          <w:trHeight w:val="872"/>
        </w:trPr>
        <w:tc>
          <w:tcPr>
            <w:tcW w:w="242" w:type="pct"/>
            <w:shd w:val="clear" w:color="auto" w:fill="auto"/>
            <w:vAlign w:val="center"/>
            <w:hideMark/>
          </w:tcPr>
          <w:p w:rsidR="00285865" w:rsidRPr="00D12400" w:rsidRDefault="00285865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D12400">
              <w:rPr>
                <w:rFonts w:eastAsia="Times New Roman" w:cs="Times New Roman"/>
                <w:color w:val="000000"/>
                <w:lang w:val="ro-RO" w:eastAsia="ro-RO"/>
              </w:rPr>
              <w:t>1.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285865" w:rsidRPr="00D02F50" w:rsidRDefault="00285865" w:rsidP="00D02F50">
            <w:pPr>
              <w:spacing w:line="240" w:lineRule="auto"/>
              <w:ind w:left="0"/>
              <w:rPr>
                <w:color w:val="000000"/>
              </w:rPr>
            </w:pPr>
            <w:r w:rsidRPr="00D02F50">
              <w:rPr>
                <w:color w:val="000000"/>
              </w:rPr>
              <w:t xml:space="preserve">IP6/2016 - </w:t>
            </w:r>
            <w:proofErr w:type="spellStart"/>
            <w:r w:rsidRPr="00D02F50">
              <w:rPr>
                <w:color w:val="000000"/>
              </w:rPr>
              <w:t>Sprijin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pentru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dezvoltarea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și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implementarea</w:t>
            </w:r>
            <w:proofErr w:type="spellEnd"/>
            <w:r w:rsidRPr="00D02F50">
              <w:rPr>
                <w:color w:val="000000"/>
              </w:rPr>
              <w:t xml:space="preserve"> de </w:t>
            </w:r>
            <w:proofErr w:type="spellStart"/>
            <w:r w:rsidRPr="00D02F50">
              <w:rPr>
                <w:color w:val="000000"/>
              </w:rPr>
              <w:t>metode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unitare</w:t>
            </w:r>
            <w:proofErr w:type="spellEnd"/>
            <w:r w:rsidRPr="00D02F50">
              <w:rPr>
                <w:color w:val="000000"/>
              </w:rPr>
              <w:t xml:space="preserve"> de management </w:t>
            </w:r>
            <w:proofErr w:type="spellStart"/>
            <w:r w:rsidRPr="00D02F50">
              <w:rPr>
                <w:color w:val="000000"/>
              </w:rPr>
              <w:t>în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domeniul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resurselor</w:t>
            </w:r>
            <w:proofErr w:type="spellEnd"/>
            <w:r w:rsidRPr="00D02F50">
              <w:rPr>
                <w:color w:val="000000"/>
              </w:rPr>
              <w:t xml:space="preserve"> </w:t>
            </w:r>
            <w:proofErr w:type="spellStart"/>
            <w:r w:rsidRPr="00D02F50">
              <w:rPr>
                <w:color w:val="000000"/>
              </w:rPr>
              <w:t>umane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Calibri"/>
                <w:b/>
                <w:color w:val="000000"/>
                <w:lang w:val="ro-RO" w:eastAsia="ro-RO"/>
              </w:rPr>
            </w:pPr>
            <w:r w:rsidRPr="00D02F50">
              <w:rPr>
                <w:rFonts w:eastAsia="Times New Roman" w:cs="Times New Roman"/>
                <w:color w:val="000000"/>
                <w:lang w:val="ro-RO" w:eastAsia="ro-RO"/>
              </w:rPr>
              <w:t>1.2</w:t>
            </w:r>
          </w:p>
        </w:tc>
        <w:tc>
          <w:tcPr>
            <w:tcW w:w="735" w:type="pct"/>
            <w:vAlign w:val="center"/>
          </w:tcPr>
          <w:p w:rsidR="00285865" w:rsidRPr="00D02F50" w:rsidRDefault="00285865" w:rsidP="00D02F50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Au</w:t>
            </w:r>
            <w:r w:rsidRPr="00D02F50">
              <w:rPr>
                <w:rFonts w:eastAsia="Times New Roman" w:cs="Calibri"/>
                <w:color w:val="000000"/>
                <w:lang w:val="ro-RO" w:eastAsia="ro-RO"/>
              </w:rPr>
              <w:t>torități și instituții publice centrale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285865" w:rsidRPr="00930C30" w:rsidRDefault="00285865" w:rsidP="00E06401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930C30">
              <w:rPr>
                <w:rFonts w:eastAsia="Times New Roman" w:cs="Calibri"/>
                <w:color w:val="000000"/>
                <w:lang w:val="ro-RO" w:eastAsia="ro-RO"/>
              </w:rPr>
              <w:t>60.000.000,00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285865" w:rsidRPr="00AD56A2" w:rsidRDefault="00285865" w:rsidP="00D77AB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285865" w:rsidRPr="00D209EA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Calibri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Calibri"/>
                <w:color w:val="548DD4" w:themeColor="text2" w:themeTint="99"/>
                <w:lang w:val="ro-RO" w:eastAsia="ro-RO"/>
              </w:rPr>
              <w:t>Apel deschis</w:t>
            </w:r>
          </w:p>
        </w:tc>
      </w:tr>
      <w:tr w:rsidR="00285865" w:rsidRPr="00AD56A2" w:rsidTr="00233CCB">
        <w:trPr>
          <w:trHeight w:val="657"/>
        </w:trPr>
        <w:tc>
          <w:tcPr>
            <w:tcW w:w="242" w:type="pct"/>
            <w:shd w:val="clear" w:color="auto" w:fill="auto"/>
            <w:vAlign w:val="center"/>
            <w:hideMark/>
          </w:tcPr>
          <w:p w:rsidR="00285865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</w:t>
            </w:r>
            <w:r w:rsidR="00285865">
              <w:rPr>
                <w:rFonts w:eastAsia="Times New Roman" w:cs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CP2</w:t>
            </w:r>
            <w:r>
              <w:rPr>
                <w:color w:val="000000"/>
              </w:rPr>
              <w:t xml:space="preserve"> </w:t>
            </w:r>
            <w:r w:rsidRPr="00AD56A2">
              <w:rPr>
                <w:color w:val="000000"/>
              </w:rPr>
              <w:t xml:space="preserve">- </w:t>
            </w:r>
            <w:proofErr w:type="spellStart"/>
            <w:r w:rsidRPr="00AD56A2">
              <w:rPr>
                <w:color w:val="000000"/>
              </w:rPr>
              <w:t>Creșterea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capacității</w:t>
            </w:r>
            <w:proofErr w:type="spellEnd"/>
            <w:r w:rsidRPr="00AD56A2">
              <w:rPr>
                <w:color w:val="000000"/>
              </w:rPr>
              <w:t xml:space="preserve"> ONG-</w:t>
            </w:r>
            <w:proofErr w:type="spellStart"/>
            <w:r w:rsidRPr="00AD56A2">
              <w:rPr>
                <w:color w:val="000000"/>
              </w:rPr>
              <w:t>urilor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a </w:t>
            </w:r>
            <w:proofErr w:type="spellStart"/>
            <w:r w:rsidRPr="00AD56A2">
              <w:rPr>
                <w:color w:val="000000"/>
              </w:rPr>
              <w:t>partenerilor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sociali</w:t>
            </w:r>
            <w:proofErr w:type="spellEnd"/>
            <w:r w:rsidRPr="00AD56A2">
              <w:rPr>
                <w:color w:val="000000"/>
              </w:rPr>
              <w:t xml:space="preserve"> de a formula </w:t>
            </w:r>
            <w:proofErr w:type="spellStart"/>
            <w:r w:rsidRPr="00AD56A2">
              <w:rPr>
                <w:color w:val="000000"/>
              </w:rPr>
              <w:t>politici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alternative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1.1</w:t>
            </w:r>
          </w:p>
        </w:tc>
        <w:tc>
          <w:tcPr>
            <w:tcW w:w="735" w:type="pct"/>
          </w:tcPr>
          <w:p w:rsidR="00285865" w:rsidRDefault="00285865" w:rsidP="00284BA0">
            <w:pPr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ONG-</w:t>
            </w:r>
            <w:proofErr w:type="spellStart"/>
            <w:r>
              <w:rPr>
                <w:color w:val="000000"/>
              </w:rPr>
              <w:t>uri</w:t>
            </w:r>
            <w:proofErr w:type="spellEnd"/>
          </w:p>
          <w:p w:rsidR="00285865" w:rsidRPr="00284BA0" w:rsidRDefault="00285865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Parteneri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sociali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35.000.000,00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285865" w:rsidRPr="00D209EA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Times New Roman"/>
                <w:color w:val="548DD4" w:themeColor="text2" w:themeTint="99"/>
                <w:lang w:val="ro-RO" w:eastAsia="ro-RO"/>
              </w:rPr>
              <w:t>Apel deschis</w:t>
            </w:r>
          </w:p>
        </w:tc>
      </w:tr>
      <w:tr w:rsidR="00285865" w:rsidRPr="00AD56A2" w:rsidTr="00233CCB">
        <w:trPr>
          <w:trHeight w:val="595"/>
        </w:trPr>
        <w:tc>
          <w:tcPr>
            <w:tcW w:w="242" w:type="pct"/>
            <w:shd w:val="clear" w:color="auto" w:fill="auto"/>
            <w:vAlign w:val="center"/>
            <w:hideMark/>
          </w:tcPr>
          <w:p w:rsidR="00285865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3</w:t>
            </w:r>
            <w:r w:rsidR="00285865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CP4 - </w:t>
            </w:r>
            <w:proofErr w:type="spellStart"/>
            <w:r w:rsidRPr="00AD56A2">
              <w:rPr>
                <w:color w:val="000000"/>
              </w:rPr>
              <w:t>Sprijinirea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autorităţilor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instituţiilor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locale, </w:t>
            </w:r>
            <w:proofErr w:type="spellStart"/>
            <w:r w:rsidRPr="00AD56A2">
              <w:rPr>
                <w:color w:val="000000"/>
              </w:rPr>
              <w:t>atât</w:t>
            </w:r>
            <w:proofErr w:type="spellEnd"/>
            <w:r w:rsidRPr="00AD56A2">
              <w:rPr>
                <w:color w:val="000000"/>
              </w:rPr>
              <w:t xml:space="preserve"> din </w:t>
            </w:r>
            <w:proofErr w:type="spellStart"/>
            <w:r w:rsidRPr="00AD56A2">
              <w:rPr>
                <w:color w:val="000000"/>
              </w:rPr>
              <w:t>regiunile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mai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dezvoltate</w:t>
            </w:r>
            <w:proofErr w:type="spellEnd"/>
            <w:r w:rsidRPr="00AD56A2">
              <w:rPr>
                <w:color w:val="000000"/>
              </w:rPr>
              <w:t xml:space="preserve">, </w:t>
            </w:r>
            <w:proofErr w:type="spellStart"/>
            <w:r w:rsidRPr="00AD56A2">
              <w:rPr>
                <w:color w:val="000000"/>
              </w:rPr>
              <w:t>cât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din </w:t>
            </w:r>
            <w:proofErr w:type="spellStart"/>
            <w:r w:rsidRPr="00AD56A2">
              <w:rPr>
                <w:color w:val="000000"/>
              </w:rPr>
              <w:t>regiunile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mai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puțin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dezvoltate</w:t>
            </w:r>
            <w:proofErr w:type="spellEnd"/>
            <w:r w:rsidRPr="00AD56A2">
              <w:rPr>
                <w:color w:val="000000"/>
              </w:rPr>
              <w:t xml:space="preserve">, </w:t>
            </w:r>
            <w:proofErr w:type="spellStart"/>
            <w:r w:rsidRPr="00AD56A2">
              <w:rPr>
                <w:color w:val="000000"/>
              </w:rPr>
              <w:t>să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introducă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managementul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calității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în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concordanţă</w:t>
            </w:r>
            <w:proofErr w:type="spellEnd"/>
            <w:r w:rsidRPr="00AD56A2">
              <w:rPr>
                <w:color w:val="000000"/>
              </w:rPr>
              <w:t xml:space="preserve"> cu </w:t>
            </w:r>
            <w:proofErr w:type="spellStart"/>
            <w:r w:rsidRPr="00AD56A2">
              <w:rPr>
                <w:color w:val="000000"/>
              </w:rPr>
              <w:t>Planul</w:t>
            </w:r>
            <w:proofErr w:type="spellEnd"/>
            <w:r w:rsidRPr="00AD56A2">
              <w:rPr>
                <w:color w:val="000000"/>
              </w:rPr>
              <w:t xml:space="preserve"> de </w:t>
            </w:r>
            <w:proofErr w:type="spellStart"/>
            <w:r w:rsidRPr="00AD56A2">
              <w:rPr>
                <w:color w:val="000000"/>
              </w:rPr>
              <w:t>acțiuni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implementarea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etapi</w:t>
            </w:r>
            <w:r>
              <w:rPr>
                <w:color w:val="000000"/>
              </w:rPr>
              <w:t>zată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managementului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calității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A41B1">
              <w:rPr>
                <w:color w:val="000000"/>
              </w:rPr>
              <w:t>autorități</w:t>
            </w:r>
            <w:proofErr w:type="spellEnd"/>
            <w:r w:rsidRPr="003A41B1">
              <w:rPr>
                <w:color w:val="000000"/>
              </w:rPr>
              <w:t xml:space="preserve"> </w:t>
            </w:r>
            <w:proofErr w:type="spellStart"/>
            <w:r w:rsidRPr="003A41B1">
              <w:rPr>
                <w:color w:val="000000"/>
              </w:rPr>
              <w:t>și</w:t>
            </w:r>
            <w:proofErr w:type="spellEnd"/>
            <w:r w:rsidRPr="003A41B1">
              <w:rPr>
                <w:color w:val="000000"/>
              </w:rPr>
              <w:t xml:space="preserve"> </w:t>
            </w:r>
            <w:proofErr w:type="spellStart"/>
            <w:r w:rsidRPr="003A41B1">
              <w:rPr>
                <w:color w:val="000000"/>
              </w:rPr>
              <w:t>instituții</w:t>
            </w:r>
            <w:proofErr w:type="spellEnd"/>
            <w:r w:rsidRPr="003A41B1">
              <w:rPr>
                <w:color w:val="000000"/>
              </w:rPr>
              <w:t xml:space="preserve"> </w:t>
            </w:r>
            <w:proofErr w:type="spellStart"/>
            <w:r w:rsidRPr="003A41B1">
              <w:rPr>
                <w:color w:val="000000"/>
              </w:rPr>
              <w:t>publice</w:t>
            </w:r>
            <w:proofErr w:type="spellEnd"/>
            <w:r w:rsidRPr="003A41B1">
              <w:rPr>
                <w:color w:val="000000"/>
              </w:rPr>
              <w:t xml:space="preserve"> 2016-2020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2.1</w:t>
            </w:r>
          </w:p>
        </w:tc>
        <w:tc>
          <w:tcPr>
            <w:tcW w:w="735" w:type="pct"/>
          </w:tcPr>
          <w:p w:rsidR="00285865" w:rsidRPr="00284BA0" w:rsidRDefault="00285865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o-RO"/>
              </w:rPr>
              <w:t>și instituții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285865" w:rsidRPr="00AD56A2" w:rsidRDefault="00285865" w:rsidP="003F2E9D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7</w:t>
            </w:r>
            <w:r w:rsidR="003F2E9D">
              <w:rPr>
                <w:color w:val="000000"/>
              </w:rPr>
              <w:t>1</w:t>
            </w:r>
            <w:r w:rsidRPr="00AD56A2">
              <w:rPr>
                <w:color w:val="000000"/>
              </w:rPr>
              <w:t>.</w:t>
            </w:r>
            <w:r w:rsidR="003F2E9D">
              <w:rPr>
                <w:color w:val="000000"/>
              </w:rPr>
              <w:t>95</w:t>
            </w:r>
            <w:r w:rsidRPr="00AD56A2">
              <w:rPr>
                <w:color w:val="000000"/>
              </w:rPr>
              <w:t>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285865" w:rsidRPr="00D209EA" w:rsidRDefault="00285865" w:rsidP="00B23050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Times New Roman"/>
                <w:color w:val="548DD4" w:themeColor="text2" w:themeTint="99"/>
                <w:lang w:val="ro-RO" w:eastAsia="ro-RO"/>
              </w:rPr>
              <w:t>Apel deschis</w:t>
            </w:r>
          </w:p>
        </w:tc>
      </w:tr>
      <w:tr w:rsidR="00285865" w:rsidRPr="00AD56A2" w:rsidTr="00233CCB">
        <w:trPr>
          <w:trHeight w:val="443"/>
        </w:trPr>
        <w:tc>
          <w:tcPr>
            <w:tcW w:w="242" w:type="pct"/>
            <w:shd w:val="clear" w:color="auto" w:fill="auto"/>
            <w:vAlign w:val="center"/>
            <w:hideMark/>
          </w:tcPr>
          <w:p w:rsidR="00285865" w:rsidRPr="00AD56A2" w:rsidRDefault="00285865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CP3 - </w:t>
            </w:r>
            <w:proofErr w:type="spellStart"/>
            <w:r w:rsidRPr="00AD56A2">
              <w:rPr>
                <w:color w:val="000000"/>
              </w:rPr>
              <w:t>Sprijin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acțiuni</w:t>
            </w:r>
            <w:proofErr w:type="spellEnd"/>
            <w:r w:rsidRPr="00AD56A2">
              <w:rPr>
                <w:color w:val="000000"/>
              </w:rPr>
              <w:t xml:space="preserve"> de </w:t>
            </w:r>
            <w:proofErr w:type="spellStart"/>
            <w:r w:rsidRPr="00AD56A2">
              <w:rPr>
                <w:color w:val="000000"/>
              </w:rPr>
              <w:t>îmbunătățire</w:t>
            </w:r>
            <w:proofErr w:type="spellEnd"/>
            <w:r w:rsidRPr="00AD56A2">
              <w:rPr>
                <w:color w:val="000000"/>
              </w:rPr>
              <w:t xml:space="preserve"> a </w:t>
            </w:r>
            <w:proofErr w:type="spellStart"/>
            <w:r w:rsidRPr="00AD56A2">
              <w:rPr>
                <w:color w:val="000000"/>
              </w:rPr>
              <w:t>accesului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justiție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2.3</w:t>
            </w:r>
          </w:p>
        </w:tc>
        <w:tc>
          <w:tcPr>
            <w:tcW w:w="735" w:type="pct"/>
          </w:tcPr>
          <w:p w:rsidR="00285865" w:rsidRDefault="00285865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sistemul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judiciar</w:t>
            </w:r>
            <w:proofErr w:type="spellEnd"/>
          </w:p>
          <w:p w:rsidR="00285865" w:rsidRPr="00BB2437" w:rsidRDefault="00285865" w:rsidP="00305B10">
            <w:pPr>
              <w:spacing w:line="240" w:lineRule="auto"/>
              <w:ind w:left="0"/>
              <w:rPr>
                <w:color w:val="000000"/>
                <w:lang w:val="ro-RO"/>
              </w:rPr>
            </w:pPr>
            <w:proofErr w:type="spellStart"/>
            <w:r>
              <w:rPr>
                <w:color w:val="000000"/>
              </w:rPr>
              <w:t>Organisme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asociații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profesionale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domeniul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justiției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45.000.000,00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285865" w:rsidRPr="00D209EA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Times New Roman"/>
                <w:color w:val="548DD4" w:themeColor="text2" w:themeTint="99"/>
                <w:lang w:val="ro-RO" w:eastAsia="ro-RO"/>
              </w:rPr>
              <w:t>Apel deschis</w:t>
            </w:r>
          </w:p>
        </w:tc>
      </w:tr>
      <w:tr w:rsidR="00285865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285865" w:rsidRPr="00AD56A2" w:rsidRDefault="00285865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285865" w:rsidRPr="00AD56A2" w:rsidRDefault="00285865" w:rsidP="001C3A9B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>
              <w:rPr>
                <w:color w:val="000000"/>
              </w:rPr>
              <w:t>10</w:t>
            </w:r>
            <w:r w:rsidRPr="00AD56A2">
              <w:rPr>
                <w:color w:val="000000"/>
              </w:rPr>
              <w:t xml:space="preserve"> - </w:t>
            </w:r>
            <w:proofErr w:type="spellStart"/>
            <w:r w:rsidRPr="00AD56A2">
              <w:rPr>
                <w:color w:val="000000"/>
              </w:rPr>
              <w:t>Evaluări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sistemice</w:t>
            </w:r>
            <w:proofErr w:type="spellEnd"/>
            <w:r w:rsidRPr="00AD56A2">
              <w:rPr>
                <w:color w:val="000000"/>
              </w:rPr>
              <w:t xml:space="preserve"> ale </w:t>
            </w:r>
            <w:proofErr w:type="spellStart"/>
            <w:r w:rsidRPr="00AD56A2">
              <w:rPr>
                <w:color w:val="000000"/>
              </w:rPr>
              <w:t>politicilor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fundamentarea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politicilor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bazate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dovezi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1.1</w:t>
            </w:r>
          </w:p>
        </w:tc>
        <w:tc>
          <w:tcPr>
            <w:tcW w:w="735" w:type="pct"/>
          </w:tcPr>
          <w:p w:rsidR="00285865" w:rsidRPr="00284BA0" w:rsidRDefault="00285865" w:rsidP="00C01CA3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70.000.000,00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285865" w:rsidRPr="00AD56A2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285865" w:rsidRPr="00D209EA" w:rsidRDefault="00285865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Times New Roman"/>
                <w:color w:val="548DD4" w:themeColor="text2" w:themeTint="99"/>
                <w:lang w:val="ro-RO" w:eastAsia="ro-RO"/>
              </w:rPr>
              <w:t>Apel în consultare publică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965F52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Cs/>
                <w:color w:val="000000"/>
                <w:lang w:val="ro-RO" w:eastAsia="ro-RO"/>
              </w:rPr>
              <w:t>6.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965F52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CP1 - </w:t>
            </w:r>
            <w:proofErr w:type="spellStart"/>
            <w:r w:rsidRPr="00AD56A2">
              <w:rPr>
                <w:color w:val="000000"/>
              </w:rPr>
              <w:t>Sprijinirea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măsurilor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referitoare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prevenirea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corupției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nivelul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autorităților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locale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965F52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2.2</w:t>
            </w:r>
          </w:p>
        </w:tc>
        <w:tc>
          <w:tcPr>
            <w:tcW w:w="735" w:type="pct"/>
          </w:tcPr>
          <w:p w:rsidR="00D12400" w:rsidRPr="00284BA0" w:rsidRDefault="00D12400" w:rsidP="00965F52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965F52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30.000.000,00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965F52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D209EA" w:rsidRDefault="00D12400" w:rsidP="00965F52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548DD4" w:themeColor="text2" w:themeTint="99"/>
                <w:lang w:val="ro-RO" w:eastAsia="ro-RO"/>
              </w:rPr>
            </w:pPr>
            <w:r w:rsidRPr="00D209EA">
              <w:rPr>
                <w:rFonts w:eastAsia="Times New Roman" w:cs="Times New Roman"/>
                <w:color w:val="548DD4" w:themeColor="text2" w:themeTint="99"/>
                <w:lang w:val="ro-RO" w:eastAsia="ro-RO"/>
              </w:rPr>
              <w:t>Apel în consultare publică</w:t>
            </w:r>
          </w:p>
        </w:tc>
      </w:tr>
      <w:tr w:rsidR="00D12400" w:rsidRPr="00AD56A2" w:rsidTr="00233CCB">
        <w:trPr>
          <w:trHeight w:val="912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Cs/>
                <w:color w:val="000000"/>
                <w:lang w:val="ro-RO" w:eastAsia="ro-RO"/>
              </w:rPr>
              <w:t>7.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1C3A9B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>
              <w:rPr>
                <w:color w:val="000000"/>
              </w:rPr>
              <w:t>8 -</w:t>
            </w:r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Managementul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calității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performanței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în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administrația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centrală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de </w:t>
            </w:r>
            <w:proofErr w:type="spellStart"/>
            <w:r w:rsidRPr="00AD56A2">
              <w:rPr>
                <w:color w:val="000000"/>
              </w:rPr>
              <w:t>simplificare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cetățeni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mediul</w:t>
            </w:r>
            <w:proofErr w:type="spellEnd"/>
            <w:r w:rsidRPr="00AD56A2">
              <w:rPr>
                <w:color w:val="000000"/>
              </w:rPr>
              <w:t xml:space="preserve"> de </w:t>
            </w:r>
            <w:proofErr w:type="spellStart"/>
            <w:r w:rsidRPr="00AD56A2">
              <w:rPr>
                <w:color w:val="000000"/>
              </w:rPr>
              <w:t>afaceri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1.1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895ECA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1</w:t>
            </w:r>
            <w:r>
              <w:rPr>
                <w:color w:val="000000"/>
              </w:rPr>
              <w:t>50</w:t>
            </w:r>
            <w:r w:rsidRPr="00AD56A2">
              <w:rPr>
                <w:color w:val="000000"/>
              </w:rPr>
              <w:t>.</w:t>
            </w:r>
            <w:r>
              <w:rPr>
                <w:color w:val="000000"/>
              </w:rPr>
              <w:t>000</w:t>
            </w:r>
            <w:r w:rsidRPr="00AD56A2">
              <w:rPr>
                <w:color w:val="000000"/>
              </w:rPr>
              <w:t>.</w:t>
            </w:r>
            <w:r>
              <w:rPr>
                <w:color w:val="000000"/>
              </w:rPr>
              <w:t>000</w:t>
            </w:r>
            <w:r w:rsidRPr="00AD56A2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9872EE" w:rsidRDefault="00D12400" w:rsidP="00C13D50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9872EE">
              <w:rPr>
                <w:rFonts w:eastAsia="Times New Roman" w:cs="Times New Roman"/>
                <w:lang w:val="ro-RO" w:eastAsia="ro-RO"/>
              </w:rPr>
              <w:t xml:space="preserve">Aprilie 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8.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CD4DA6">
              <w:rPr>
                <w:color w:val="000000"/>
              </w:rPr>
              <w:t>CP</w:t>
            </w:r>
            <w:r w:rsidR="00B1658C" w:rsidRPr="00CD4DA6">
              <w:rPr>
                <w:color w:val="000000"/>
              </w:rPr>
              <w:t xml:space="preserve"> </w:t>
            </w:r>
            <w:r w:rsidRPr="00CD4DA6">
              <w:rPr>
                <w:color w:val="000000"/>
              </w:rPr>
              <w:t>-</w:t>
            </w:r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anticorupție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nivelul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centrale</w:t>
            </w:r>
            <w:proofErr w:type="spellEnd"/>
            <w:r w:rsidRPr="00AD56A2">
              <w:rPr>
                <w:color w:val="000000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2.2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90.000.000,00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CD4DA6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CD4DA6"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Aprilie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9.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>
              <w:rPr>
                <w:color w:val="000000"/>
              </w:rPr>
              <w:t>9</w:t>
            </w:r>
            <w:r w:rsidRPr="00AD56A2">
              <w:rPr>
                <w:color w:val="000000"/>
              </w:rPr>
              <w:t xml:space="preserve"> - </w:t>
            </w:r>
            <w:proofErr w:type="spellStart"/>
            <w:r w:rsidRPr="00AD56A2">
              <w:rPr>
                <w:color w:val="000000"/>
              </w:rPr>
              <w:t>Calitate</w:t>
            </w:r>
            <w:proofErr w:type="spellEnd"/>
            <w:r w:rsidRPr="00AD56A2">
              <w:rPr>
                <w:color w:val="000000"/>
              </w:rPr>
              <w:t xml:space="preserve">, </w:t>
            </w:r>
            <w:proofErr w:type="spellStart"/>
            <w:r w:rsidRPr="00AD56A2">
              <w:rPr>
                <w:color w:val="000000"/>
              </w:rPr>
              <w:t>transparenta</w:t>
            </w:r>
            <w:proofErr w:type="spellEnd"/>
            <w:r w:rsidRPr="00AD56A2">
              <w:rPr>
                <w:color w:val="000000"/>
              </w:rPr>
              <w:t xml:space="preserve">, </w:t>
            </w:r>
            <w:proofErr w:type="spellStart"/>
            <w:r w:rsidRPr="00AD56A2">
              <w:rPr>
                <w:color w:val="000000"/>
              </w:rPr>
              <w:t>etic</w:t>
            </w:r>
            <w:r>
              <w:rPr>
                <w:color w:val="000000"/>
              </w:rPr>
              <w:t>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</w:t>
            </w:r>
            <w:r w:rsidRPr="00AD56A2">
              <w:rPr>
                <w:color w:val="000000"/>
              </w:rPr>
              <w:t>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integritate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nivelul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sistemului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judiciar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2.3</w:t>
            </w:r>
          </w:p>
        </w:tc>
        <w:tc>
          <w:tcPr>
            <w:tcW w:w="735" w:type="pct"/>
          </w:tcPr>
          <w:p w:rsidR="00D12400" w:rsidRPr="00284BA0" w:rsidRDefault="00D12400" w:rsidP="00D77ABE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sistemul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judiciar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245.000.000,00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D77ABE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Aprilie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B567B5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10.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 w:rsidR="00B1658C">
              <w:rPr>
                <w:color w:val="000000"/>
              </w:rPr>
              <w:t xml:space="preserve"> </w:t>
            </w:r>
            <w:r w:rsidRPr="00AD56A2">
              <w:rPr>
                <w:color w:val="000000"/>
              </w:rPr>
              <w:t xml:space="preserve">- </w:t>
            </w:r>
            <w:proofErr w:type="spellStart"/>
            <w:r w:rsidRPr="00AD56A2">
              <w:rPr>
                <w:color w:val="000000"/>
              </w:rPr>
              <w:t>Sprijin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consolidarea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din </w:t>
            </w:r>
            <w:proofErr w:type="spellStart"/>
            <w:r w:rsidRPr="00AD56A2">
              <w:rPr>
                <w:color w:val="000000"/>
              </w:rPr>
              <w:t>sistemul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judiciar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567B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1.3</w:t>
            </w:r>
          </w:p>
        </w:tc>
        <w:tc>
          <w:tcPr>
            <w:tcW w:w="735" w:type="pct"/>
          </w:tcPr>
          <w:p w:rsidR="00D12400" w:rsidRPr="00284BA0" w:rsidRDefault="00D12400" w:rsidP="00B567B5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 w:rsidRPr="00D21183">
              <w:rPr>
                <w:color w:val="000000"/>
              </w:rPr>
              <w:t>Instituții</w:t>
            </w:r>
            <w:proofErr w:type="spellEnd"/>
            <w:r w:rsidRPr="00D21183">
              <w:rPr>
                <w:color w:val="000000"/>
              </w:rPr>
              <w:t xml:space="preserve"> din </w:t>
            </w:r>
            <w:proofErr w:type="spellStart"/>
            <w:r w:rsidRPr="00D21183">
              <w:rPr>
                <w:color w:val="000000"/>
              </w:rPr>
              <w:t>sistemul</w:t>
            </w:r>
            <w:proofErr w:type="spellEnd"/>
            <w:r w:rsidRPr="00D21183">
              <w:rPr>
                <w:color w:val="000000"/>
              </w:rPr>
              <w:t xml:space="preserve"> </w:t>
            </w:r>
            <w:proofErr w:type="spellStart"/>
            <w:r w:rsidRPr="00D21183">
              <w:rPr>
                <w:color w:val="000000"/>
              </w:rPr>
              <w:t>judiciar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567B5">
            <w:pPr>
              <w:spacing w:line="240" w:lineRule="auto"/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  <w:r w:rsidRPr="00AD56A2">
              <w:rPr>
                <w:color w:val="000000"/>
              </w:rPr>
              <w:t>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567B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567B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Iulie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11.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 w:rsidR="00B1658C">
              <w:rPr>
                <w:color w:val="000000"/>
              </w:rPr>
              <w:t xml:space="preserve"> </w:t>
            </w:r>
            <w:r w:rsidRPr="00AD56A2">
              <w:rPr>
                <w:color w:val="000000"/>
              </w:rPr>
              <w:t xml:space="preserve">- </w:t>
            </w:r>
            <w:proofErr w:type="spellStart"/>
            <w:r w:rsidRPr="00AD56A2">
              <w:rPr>
                <w:color w:val="000000"/>
              </w:rPr>
              <w:t>Implementare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unitare</w:t>
            </w:r>
            <w:proofErr w:type="spellEnd"/>
            <w:r w:rsidRPr="00AD56A2">
              <w:rPr>
                <w:color w:val="000000"/>
              </w:rPr>
              <w:t xml:space="preserve"> de management al </w:t>
            </w:r>
            <w:proofErr w:type="spellStart"/>
            <w:r w:rsidRPr="00AD56A2">
              <w:rPr>
                <w:color w:val="000000"/>
              </w:rPr>
              <w:t>resurselor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umane</w:t>
            </w:r>
            <w:proofErr w:type="spellEnd"/>
            <w:r w:rsidRPr="00AD56A2">
              <w:rPr>
                <w:color w:val="000000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1.2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80.000.000,00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Iulie</w:t>
            </w:r>
          </w:p>
        </w:tc>
      </w:tr>
      <w:tr w:rsidR="00D12400" w:rsidRPr="00AD56A2" w:rsidTr="00233CCB">
        <w:trPr>
          <w:trHeight w:val="1052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12.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 - </w:t>
            </w:r>
            <w:proofErr w:type="spellStart"/>
            <w:r w:rsidRPr="00AD56A2">
              <w:rPr>
                <w:color w:val="000000"/>
              </w:rPr>
              <w:t>Sprijin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implementarea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regulilor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privind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achizițiile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autoritățile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centrale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1.4</w:t>
            </w:r>
          </w:p>
        </w:tc>
        <w:tc>
          <w:tcPr>
            <w:tcW w:w="735" w:type="pct"/>
          </w:tcPr>
          <w:p w:rsidR="00D12400" w:rsidRPr="00284BA0" w:rsidRDefault="00D12400" w:rsidP="00654078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100.000.000,00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Iulie</w:t>
            </w:r>
          </w:p>
        </w:tc>
      </w:tr>
      <w:tr w:rsidR="00D12400" w:rsidRPr="00AD56A2" w:rsidTr="00233CCB">
        <w:trPr>
          <w:trHeight w:val="742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FF08E7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13.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 -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de </w:t>
            </w:r>
            <w:proofErr w:type="spellStart"/>
            <w:r w:rsidRPr="00AD56A2">
              <w:rPr>
                <w:color w:val="000000"/>
              </w:rPr>
              <w:t>simplificare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cetățeni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nivelul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administrației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locale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2.1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230.000.000,00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Iulie</w:t>
            </w:r>
          </w:p>
        </w:tc>
      </w:tr>
      <w:tr w:rsidR="00D12400" w:rsidRPr="00AD56A2" w:rsidTr="00233CCB">
        <w:trPr>
          <w:trHeight w:val="647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14.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rFonts w:eastAsia="Times New Roman" w:cs="Times New Roman"/>
                <w:lang w:val="ro-RO" w:eastAsia="ro-RO"/>
              </w:rPr>
            </w:pPr>
            <w:r w:rsidRPr="00AD56A2">
              <w:rPr>
                <w:color w:val="000000"/>
              </w:rPr>
              <w:t xml:space="preserve">CP - </w:t>
            </w:r>
            <w:proofErr w:type="spellStart"/>
            <w:r w:rsidRPr="00AD56A2">
              <w:rPr>
                <w:color w:val="000000"/>
              </w:rPr>
              <w:t>Fundamentare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decizii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planificare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strategică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în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administrația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locală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2.1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color w:val="000000"/>
              </w:rPr>
              <w:t>140.000.000,00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August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15.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IP - </w:t>
            </w:r>
            <w:proofErr w:type="spellStart"/>
            <w:r w:rsidRPr="00AD56A2">
              <w:rPr>
                <w:color w:val="000000"/>
              </w:rPr>
              <w:t>Dezvoltarea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managementului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resurselor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umane</w:t>
            </w:r>
            <w:proofErr w:type="spellEnd"/>
            <w:r w:rsidRPr="00AD56A2">
              <w:rPr>
                <w:color w:val="000000"/>
              </w:rPr>
              <w:t xml:space="preserve"> din </w:t>
            </w:r>
            <w:proofErr w:type="spellStart"/>
            <w:r w:rsidRPr="00AD56A2">
              <w:rPr>
                <w:color w:val="000000"/>
              </w:rPr>
              <w:t>administrația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publică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</w:t>
            </w:r>
            <w:r w:rsidRPr="00AD56A2">
              <w:rPr>
                <w:color w:val="000000"/>
              </w:rPr>
              <w:t>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implementare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unitare</w:t>
            </w:r>
            <w:proofErr w:type="spellEnd"/>
            <w:r w:rsidRPr="00AD56A2">
              <w:rPr>
                <w:color w:val="000000"/>
              </w:rPr>
              <w:t xml:space="preserve"> de management al </w:t>
            </w:r>
            <w:proofErr w:type="spellStart"/>
            <w:r w:rsidRPr="00AD56A2">
              <w:rPr>
                <w:color w:val="000000"/>
              </w:rPr>
              <w:t>resurselor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umane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1.2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centrale</w:t>
            </w:r>
            <w:proofErr w:type="spellEnd"/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32.000.000,00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Septembrie</w:t>
            </w:r>
          </w:p>
        </w:tc>
      </w:tr>
      <w:tr w:rsidR="00D12400" w:rsidRPr="00AD56A2" w:rsidTr="00233CCB">
        <w:trPr>
          <w:trHeight w:val="615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16.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 xml:space="preserve">CP - </w:t>
            </w:r>
            <w:proofErr w:type="spellStart"/>
            <w:r w:rsidRPr="00785045">
              <w:rPr>
                <w:color w:val="000000"/>
              </w:rPr>
              <w:t>Sprijin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pentru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implementarea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regulilor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privind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achizițiile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publice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pentru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autoritățile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și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instituțiile</w:t>
            </w:r>
            <w:proofErr w:type="spellEnd"/>
            <w:r w:rsidRPr="00785045">
              <w:rPr>
                <w:color w:val="000000"/>
              </w:rPr>
              <w:t xml:space="preserve"> </w:t>
            </w:r>
            <w:proofErr w:type="spellStart"/>
            <w:r w:rsidRPr="00785045">
              <w:rPr>
                <w:color w:val="000000"/>
              </w:rPr>
              <w:t>publice</w:t>
            </w:r>
            <w:proofErr w:type="spellEnd"/>
            <w:r w:rsidRPr="00785045">
              <w:rPr>
                <w:color w:val="000000"/>
              </w:rPr>
              <w:t xml:space="preserve"> locale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1.4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30.000.000,00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Septembrie</w:t>
            </w:r>
          </w:p>
        </w:tc>
      </w:tr>
      <w:tr w:rsidR="00D12400" w:rsidRPr="00AD56A2" w:rsidTr="00233CCB">
        <w:trPr>
          <w:trHeight w:val="688"/>
        </w:trPr>
        <w:tc>
          <w:tcPr>
            <w:tcW w:w="242" w:type="pct"/>
            <w:shd w:val="clear" w:color="auto" w:fill="auto"/>
            <w:vAlign w:val="center"/>
            <w:hideMark/>
          </w:tcPr>
          <w:p w:rsidR="00D12400" w:rsidRPr="00AD56A2" w:rsidRDefault="00D12400" w:rsidP="00D12400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17.</w:t>
            </w:r>
          </w:p>
        </w:tc>
        <w:tc>
          <w:tcPr>
            <w:tcW w:w="1955" w:type="pct"/>
            <w:shd w:val="clear" w:color="auto" w:fill="auto"/>
            <w:vAlign w:val="center"/>
            <w:hideMark/>
          </w:tcPr>
          <w:p w:rsidR="00D12400" w:rsidRPr="00AD56A2" w:rsidRDefault="00D12400" w:rsidP="00B1658C">
            <w:pPr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CP</w:t>
            </w:r>
            <w:r w:rsidRPr="00AD56A2">
              <w:rPr>
                <w:color w:val="000000"/>
              </w:rPr>
              <w:t xml:space="preserve"> - </w:t>
            </w:r>
            <w:proofErr w:type="spellStart"/>
            <w:r w:rsidRPr="00AD56A2">
              <w:rPr>
                <w:color w:val="000000"/>
              </w:rPr>
              <w:t>Măsuri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creșterea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transparenței</w:t>
            </w:r>
            <w:proofErr w:type="spellEnd"/>
            <w:r w:rsidRPr="00AD56A2">
              <w:rPr>
                <w:color w:val="000000"/>
              </w:rPr>
              <w:t xml:space="preserve"> la </w:t>
            </w:r>
            <w:proofErr w:type="spellStart"/>
            <w:r w:rsidRPr="00AD56A2">
              <w:rPr>
                <w:color w:val="000000"/>
              </w:rPr>
              <w:t>nivelul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autorităților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și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publice</w:t>
            </w:r>
            <w:proofErr w:type="spellEnd"/>
            <w:r w:rsidRPr="00AD56A2">
              <w:rPr>
                <w:color w:val="000000"/>
              </w:rPr>
              <w:t xml:space="preserve"> locale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2.2</w:t>
            </w:r>
          </w:p>
        </w:tc>
        <w:tc>
          <w:tcPr>
            <w:tcW w:w="735" w:type="pct"/>
          </w:tcPr>
          <w:p w:rsidR="00D12400" w:rsidRPr="00284BA0" w:rsidRDefault="00D12400" w:rsidP="00284BA0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Autorități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o-RO"/>
              </w:rPr>
              <w:t xml:space="preserve">și instituții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locale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right"/>
              <w:rPr>
                <w:color w:val="000000"/>
              </w:rPr>
            </w:pPr>
            <w:r w:rsidRPr="00AD56A2">
              <w:rPr>
                <w:color w:val="000000"/>
              </w:rPr>
              <w:t>100.000.000,00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D12400" w:rsidRPr="00AD56A2" w:rsidRDefault="00D12400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Septembrie</w:t>
            </w:r>
          </w:p>
        </w:tc>
      </w:tr>
    </w:tbl>
    <w:p w:rsidR="00A65600" w:rsidRDefault="00A65600" w:rsidP="00D342AC">
      <w:pPr>
        <w:spacing w:line="240" w:lineRule="auto"/>
        <w:jc w:val="left"/>
        <w:rPr>
          <w:b/>
        </w:rPr>
      </w:pPr>
      <w:bookmarkStart w:id="0" w:name="_GoBack"/>
      <w:bookmarkEnd w:id="0"/>
    </w:p>
    <w:p w:rsidR="00574606" w:rsidRDefault="00574606" w:rsidP="00D342AC">
      <w:pPr>
        <w:spacing w:line="240" w:lineRule="auto"/>
        <w:jc w:val="left"/>
        <w:rPr>
          <w:b/>
        </w:rPr>
      </w:pPr>
    </w:p>
    <w:p w:rsidR="00574606" w:rsidRDefault="00574606" w:rsidP="00574606">
      <w:pPr>
        <w:spacing w:line="240" w:lineRule="auto"/>
        <w:ind w:left="0"/>
        <w:jc w:val="left"/>
        <w:rPr>
          <w:b/>
        </w:rPr>
      </w:pPr>
    </w:p>
    <w:p w:rsidR="00574606" w:rsidRPr="0097439B" w:rsidRDefault="00574606" w:rsidP="00574606">
      <w:pPr>
        <w:spacing w:line="240" w:lineRule="auto"/>
        <w:ind w:left="0"/>
        <w:jc w:val="left"/>
        <w:rPr>
          <w:b/>
        </w:rPr>
      </w:pPr>
    </w:p>
    <w:sectPr w:rsidR="00574606" w:rsidRPr="0097439B" w:rsidSect="00EB6843">
      <w:headerReference w:type="first" r:id="rId8"/>
      <w:pgSz w:w="16840" w:h="11900" w:orient="landscape"/>
      <w:pgMar w:top="1134" w:right="1535" w:bottom="560" w:left="1560" w:header="426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1C" w:rsidRDefault="00B30B1C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0B1C" w:rsidRDefault="00B30B1C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1C" w:rsidRDefault="00B30B1C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0B1C" w:rsidRDefault="00B30B1C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6C0AD8" w:rsidRDefault="006C0AD8" w:rsidP="006C0AD8">
      <w:pPr>
        <w:pStyle w:val="FootnoteText"/>
        <w:ind w:left="0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Categoriile</w:t>
      </w:r>
      <w:proofErr w:type="spellEnd"/>
      <w:r>
        <w:t xml:space="preserve"> de</w:t>
      </w:r>
      <w:r w:rsidRPr="00291C72">
        <w:t xml:space="preserve"> </w:t>
      </w:r>
      <w:proofErr w:type="spellStart"/>
      <w:r>
        <w:t>b</w:t>
      </w:r>
      <w:r w:rsidRPr="00291C72">
        <w:t>eneficiari</w:t>
      </w:r>
      <w:proofErr w:type="spellEnd"/>
      <w:r w:rsidRPr="00291C72">
        <w:t xml:space="preserve"> </w:t>
      </w:r>
      <w:proofErr w:type="spellStart"/>
      <w:r w:rsidRPr="00291C72">
        <w:t>sunt</w:t>
      </w:r>
      <w:proofErr w:type="spellEnd"/>
      <w:r w:rsidRPr="00291C72">
        <w:t xml:space="preserve"> </w:t>
      </w:r>
      <w:proofErr w:type="spellStart"/>
      <w:r w:rsidRPr="00291C72">
        <w:t>enumerați</w:t>
      </w:r>
      <w:proofErr w:type="spellEnd"/>
      <w:r w:rsidRPr="00291C72">
        <w:t xml:space="preserve"> cu </w:t>
      </w:r>
      <w:proofErr w:type="spellStart"/>
      <w:r w:rsidRPr="00291C72">
        <w:t>titlu</w:t>
      </w:r>
      <w:proofErr w:type="spellEnd"/>
      <w:r w:rsidRPr="00291C72">
        <w:t xml:space="preserve"> </w:t>
      </w:r>
      <w:proofErr w:type="spellStart"/>
      <w:r w:rsidRPr="00291C72">
        <w:t>orientativ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conformitate</w:t>
      </w:r>
      <w:proofErr w:type="spellEnd"/>
      <w:r w:rsidRPr="00291C72">
        <w:t xml:space="preserve"> cu </w:t>
      </w:r>
      <w:proofErr w:type="spellStart"/>
      <w:r w:rsidRPr="00291C72">
        <w:t>recomandăr</w:t>
      </w:r>
      <w:r>
        <w:t>ile</w:t>
      </w:r>
      <w:proofErr w:type="spellEnd"/>
      <w:r w:rsidRPr="00291C72">
        <w:t xml:space="preserve"> </w:t>
      </w:r>
      <w:proofErr w:type="spellStart"/>
      <w:r w:rsidRPr="00291C72">
        <w:t>Comitetului</w:t>
      </w:r>
      <w:proofErr w:type="spellEnd"/>
      <w:r w:rsidRPr="00291C72">
        <w:t xml:space="preserve"> de </w:t>
      </w:r>
      <w:proofErr w:type="spellStart"/>
      <w:r w:rsidRPr="00291C72">
        <w:t>Moni</w:t>
      </w:r>
      <w:r>
        <w:t>t</w:t>
      </w:r>
      <w:r w:rsidRPr="00291C72">
        <w:t>orizare</w:t>
      </w:r>
      <w:proofErr w:type="spellEnd"/>
      <w:r w:rsidRPr="00291C72">
        <w:t xml:space="preserve"> a POCA.</w:t>
      </w:r>
      <w:proofErr w:type="gramEnd"/>
      <w:r w:rsidRPr="00291C72">
        <w:t xml:space="preserve"> </w:t>
      </w:r>
      <w:proofErr w:type="spellStart"/>
      <w:proofErr w:type="gramStart"/>
      <w:r w:rsidRPr="00291C72">
        <w:t>Ghidurile</w:t>
      </w:r>
      <w:proofErr w:type="spellEnd"/>
      <w:r w:rsidRPr="00291C72">
        <w:t xml:space="preserve"> </w:t>
      </w:r>
      <w:proofErr w:type="spellStart"/>
      <w:r w:rsidRPr="00291C72">
        <w:t>solicitantului</w:t>
      </w:r>
      <w:proofErr w:type="spellEnd"/>
      <w:r w:rsidRPr="00291C72">
        <w:t xml:space="preserve">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consultare</w:t>
      </w:r>
      <w:proofErr w:type="spellEnd"/>
      <w:r w:rsidRPr="00291C72">
        <w:t xml:space="preserve"> </w:t>
      </w:r>
      <w:proofErr w:type="spellStart"/>
      <w:r w:rsidRPr="00291C72">
        <w:t>publică</w:t>
      </w:r>
      <w:proofErr w:type="spellEnd"/>
      <w:r w:rsidRPr="00291C72">
        <w:t xml:space="preserve">, </w:t>
      </w:r>
      <w:proofErr w:type="spellStart"/>
      <w:r w:rsidRPr="00291C72">
        <w:t>precum</w:t>
      </w:r>
      <w:proofErr w:type="spellEnd"/>
      <w:r w:rsidRPr="00291C72">
        <w:t xml:space="preserve"> </w:t>
      </w:r>
      <w:proofErr w:type="spellStart"/>
      <w:r w:rsidRPr="00291C72">
        <w:t>și</w:t>
      </w:r>
      <w:proofErr w:type="spellEnd"/>
      <w:r w:rsidRPr="00291C72">
        <w:t xml:space="preserve"> </w:t>
      </w:r>
      <w:proofErr w:type="spellStart"/>
      <w:r w:rsidRPr="00291C72">
        <w:t>cele</w:t>
      </w:r>
      <w:proofErr w:type="spellEnd"/>
      <w:r w:rsidRPr="00291C72">
        <w:t xml:space="preserve"> </w:t>
      </w:r>
      <w:proofErr w:type="spellStart"/>
      <w:r w:rsidRPr="00291C72">
        <w:t>lansate</w:t>
      </w:r>
      <w:proofErr w:type="spellEnd"/>
      <w:r w:rsidRPr="00291C72">
        <w:t xml:space="preserve"> </w:t>
      </w:r>
      <w:proofErr w:type="spellStart"/>
      <w:r w:rsidRPr="00291C72">
        <w:t>oficial</w:t>
      </w:r>
      <w:proofErr w:type="spellEnd"/>
      <w:r w:rsidRPr="00291C72">
        <w:t xml:space="preserve"> </w:t>
      </w:r>
      <w:proofErr w:type="spellStart"/>
      <w:r w:rsidRPr="00291C72">
        <w:t>vor</w:t>
      </w:r>
      <w:proofErr w:type="spellEnd"/>
      <w:r w:rsidRPr="00291C72">
        <w:t xml:space="preserve"> </w:t>
      </w:r>
      <w:proofErr w:type="spellStart"/>
      <w:r w:rsidRPr="00291C72">
        <w:t>detalia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funcție</w:t>
      </w:r>
      <w:proofErr w:type="spellEnd"/>
      <w:r w:rsidRPr="00291C72">
        <w:t xml:space="preserve"> de </w:t>
      </w:r>
      <w:proofErr w:type="spellStart"/>
      <w:r w:rsidRPr="00291C72">
        <w:t>specificul</w:t>
      </w:r>
      <w:proofErr w:type="spellEnd"/>
      <w:r w:rsidRPr="00291C72">
        <w:t xml:space="preserve"> </w:t>
      </w:r>
      <w:proofErr w:type="spellStart"/>
      <w:r w:rsidRPr="00291C72">
        <w:t>măsurilor</w:t>
      </w:r>
      <w:proofErr w:type="spellEnd"/>
      <w:r w:rsidRPr="00291C72">
        <w:t xml:space="preserve"> </w:t>
      </w:r>
      <w:proofErr w:type="spellStart"/>
      <w:r w:rsidRPr="00291C72">
        <w:t>incluse</w:t>
      </w:r>
      <w:proofErr w:type="spellEnd"/>
      <w:r w:rsidRPr="00291C72">
        <w:t xml:space="preserve">, </w:t>
      </w:r>
      <w:proofErr w:type="spellStart"/>
      <w:r>
        <w:t>beneficiarii</w:t>
      </w:r>
      <w:proofErr w:type="spellEnd"/>
      <w:r w:rsidRPr="00291C72">
        <w:t xml:space="preserve"> </w:t>
      </w:r>
      <w:proofErr w:type="spellStart"/>
      <w:r w:rsidRPr="00291C72">
        <w:t>eligibili</w:t>
      </w:r>
      <w:proofErr w:type="spellEnd"/>
      <w:r w:rsidRPr="00291C72">
        <w:t>.</w:t>
      </w:r>
      <w:proofErr w:type="gramEnd"/>
    </w:p>
    <w:p w:rsidR="006C0AD8" w:rsidRPr="006C0AD8" w:rsidRDefault="006C0AD8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2C" w:rsidRPr="00B859EA" w:rsidRDefault="004125D3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 w:rsidRPr="004125D3">
      <w:rPr>
        <w:noProof/>
      </w:rPr>
      <w:pict>
        <v:line id="Straight Connector 5" o:spid="_x0000_s2049" style="position:absolute;left:0;text-align:left;flip:y;z-index:251666432;visibility:visible;mso-wrap-distance-top:-3e-5mm;mso-wrap-distance-bottom:-3e-5mm" from="103.8pt,79pt" to="552.7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4iJQIAAEE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" strokecolor="#17365d" strokeweight="1pt"/>
      </w:pict>
    </w:r>
    <w:r w:rsidR="00423F2C">
      <w:rPr>
        <w:rFonts w:ascii="Trebuchet MS" w:hAnsi="Trebuchet MS" w:cs="Trebuchet MS"/>
        <w:noProof/>
        <w:sz w:val="8"/>
        <w:lang w:val="en-GB" w:eastAsia="en-GB"/>
      </w:rPr>
      <w:drawing>
        <wp:inline distT="0" distB="0" distL="0" distR="0">
          <wp:extent cx="7020560" cy="1088872"/>
          <wp:effectExtent l="0" t="0" r="0" b="0"/>
          <wp:docPr id="6" name="Picture 6" descr="C:\Users\dontuc.MIE\Dropbox\DRU_share\Untitled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ntuc.MIE\Dropbox\DRU_share\Untitled-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108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4646" w:rsidRPr="009D0C29" w:rsidRDefault="00D07124" w:rsidP="00D07124">
    <w:pPr>
      <w:spacing w:line="240" w:lineRule="auto"/>
      <w:jc w:val="right"/>
    </w:pPr>
    <w:r>
      <w:t>DIRECȚIA GENERALĂ PROGRAME EUROPENE CAPACITATE ADMINISTRATIVĂ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24095"/>
    <w:multiLevelType w:val="hybridMultilevel"/>
    <w:tmpl w:val="6D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4B96"/>
    <w:rsid w:val="0002072B"/>
    <w:rsid w:val="000413DC"/>
    <w:rsid w:val="00075EA1"/>
    <w:rsid w:val="00076327"/>
    <w:rsid w:val="0009194A"/>
    <w:rsid w:val="00092E7F"/>
    <w:rsid w:val="000947A3"/>
    <w:rsid w:val="0009701F"/>
    <w:rsid w:val="000B3A92"/>
    <w:rsid w:val="000C09C1"/>
    <w:rsid w:val="000F4B57"/>
    <w:rsid w:val="00100F36"/>
    <w:rsid w:val="00183DA3"/>
    <w:rsid w:val="001B60FF"/>
    <w:rsid w:val="001B7A4E"/>
    <w:rsid w:val="001C2F10"/>
    <w:rsid w:val="001C3A9B"/>
    <w:rsid w:val="001D1F72"/>
    <w:rsid w:val="001E4E12"/>
    <w:rsid w:val="001E52BD"/>
    <w:rsid w:val="001F4646"/>
    <w:rsid w:val="00204E9E"/>
    <w:rsid w:val="00207B1A"/>
    <w:rsid w:val="00233CCB"/>
    <w:rsid w:val="002419ED"/>
    <w:rsid w:val="00251729"/>
    <w:rsid w:val="0025631A"/>
    <w:rsid w:val="00277CA3"/>
    <w:rsid w:val="00284BA0"/>
    <w:rsid w:val="00285865"/>
    <w:rsid w:val="002A1D46"/>
    <w:rsid w:val="002A2E7C"/>
    <w:rsid w:val="002A52F0"/>
    <w:rsid w:val="002A5742"/>
    <w:rsid w:val="002E2D1B"/>
    <w:rsid w:val="002E39E9"/>
    <w:rsid w:val="00305B10"/>
    <w:rsid w:val="00306B8C"/>
    <w:rsid w:val="00322127"/>
    <w:rsid w:val="00333A30"/>
    <w:rsid w:val="00355C37"/>
    <w:rsid w:val="00355D0A"/>
    <w:rsid w:val="00357B5E"/>
    <w:rsid w:val="00375DCD"/>
    <w:rsid w:val="003763BD"/>
    <w:rsid w:val="00393076"/>
    <w:rsid w:val="003A22C5"/>
    <w:rsid w:val="003A41B1"/>
    <w:rsid w:val="003D4082"/>
    <w:rsid w:val="003F2E9D"/>
    <w:rsid w:val="003F7698"/>
    <w:rsid w:val="004125D3"/>
    <w:rsid w:val="00412CE4"/>
    <w:rsid w:val="00423F2C"/>
    <w:rsid w:val="00427DF0"/>
    <w:rsid w:val="00447193"/>
    <w:rsid w:val="0044780D"/>
    <w:rsid w:val="00463228"/>
    <w:rsid w:val="00493AD5"/>
    <w:rsid w:val="004D1214"/>
    <w:rsid w:val="004E6022"/>
    <w:rsid w:val="004E6152"/>
    <w:rsid w:val="0051153E"/>
    <w:rsid w:val="00514F38"/>
    <w:rsid w:val="00526EE6"/>
    <w:rsid w:val="00532114"/>
    <w:rsid w:val="005359DF"/>
    <w:rsid w:val="005418FD"/>
    <w:rsid w:val="00542C56"/>
    <w:rsid w:val="0054648F"/>
    <w:rsid w:val="005473BD"/>
    <w:rsid w:val="005510B6"/>
    <w:rsid w:val="00560C88"/>
    <w:rsid w:val="005622EE"/>
    <w:rsid w:val="00567BAD"/>
    <w:rsid w:val="00574606"/>
    <w:rsid w:val="005757A7"/>
    <w:rsid w:val="00575E54"/>
    <w:rsid w:val="00591E2C"/>
    <w:rsid w:val="005A1732"/>
    <w:rsid w:val="005C12ED"/>
    <w:rsid w:val="005E6FFA"/>
    <w:rsid w:val="00607E2F"/>
    <w:rsid w:val="006232E2"/>
    <w:rsid w:val="00651B21"/>
    <w:rsid w:val="00654078"/>
    <w:rsid w:val="006708A8"/>
    <w:rsid w:val="006731B0"/>
    <w:rsid w:val="00687998"/>
    <w:rsid w:val="00694DD1"/>
    <w:rsid w:val="006B0E10"/>
    <w:rsid w:val="006B6A4F"/>
    <w:rsid w:val="006C0AD8"/>
    <w:rsid w:val="006C53AA"/>
    <w:rsid w:val="006C5E9A"/>
    <w:rsid w:val="006D1477"/>
    <w:rsid w:val="006D513E"/>
    <w:rsid w:val="006E15EC"/>
    <w:rsid w:val="006F16A2"/>
    <w:rsid w:val="007029E1"/>
    <w:rsid w:val="00706B13"/>
    <w:rsid w:val="00712931"/>
    <w:rsid w:val="00722407"/>
    <w:rsid w:val="00722BEC"/>
    <w:rsid w:val="00757152"/>
    <w:rsid w:val="00761B4D"/>
    <w:rsid w:val="00766E0E"/>
    <w:rsid w:val="00770FCC"/>
    <w:rsid w:val="0077304E"/>
    <w:rsid w:val="0077495C"/>
    <w:rsid w:val="00776F6E"/>
    <w:rsid w:val="00785045"/>
    <w:rsid w:val="00786254"/>
    <w:rsid w:val="00794D14"/>
    <w:rsid w:val="007A030C"/>
    <w:rsid w:val="007B37DC"/>
    <w:rsid w:val="007E4287"/>
    <w:rsid w:val="007E6E89"/>
    <w:rsid w:val="0081331D"/>
    <w:rsid w:val="0082770B"/>
    <w:rsid w:val="008416F7"/>
    <w:rsid w:val="0084721F"/>
    <w:rsid w:val="00895ECA"/>
    <w:rsid w:val="008A2AC0"/>
    <w:rsid w:val="008C761C"/>
    <w:rsid w:val="008E035E"/>
    <w:rsid w:val="00902BFA"/>
    <w:rsid w:val="00907214"/>
    <w:rsid w:val="00911EB2"/>
    <w:rsid w:val="00912F3C"/>
    <w:rsid w:val="00917076"/>
    <w:rsid w:val="009258CA"/>
    <w:rsid w:val="00926A5A"/>
    <w:rsid w:val="00930C30"/>
    <w:rsid w:val="00937BEE"/>
    <w:rsid w:val="00942306"/>
    <w:rsid w:val="00971404"/>
    <w:rsid w:val="009722C8"/>
    <w:rsid w:val="00972D57"/>
    <w:rsid w:val="00973F91"/>
    <w:rsid w:val="0097439B"/>
    <w:rsid w:val="0097632A"/>
    <w:rsid w:val="00980ACC"/>
    <w:rsid w:val="00986EDF"/>
    <w:rsid w:val="009872EE"/>
    <w:rsid w:val="00994D19"/>
    <w:rsid w:val="009A5062"/>
    <w:rsid w:val="009D0C29"/>
    <w:rsid w:val="009E4728"/>
    <w:rsid w:val="009F09F3"/>
    <w:rsid w:val="00A10B1E"/>
    <w:rsid w:val="00A1387A"/>
    <w:rsid w:val="00A2442E"/>
    <w:rsid w:val="00A276E8"/>
    <w:rsid w:val="00A33DD1"/>
    <w:rsid w:val="00A45148"/>
    <w:rsid w:val="00A52D56"/>
    <w:rsid w:val="00A65600"/>
    <w:rsid w:val="00A702C8"/>
    <w:rsid w:val="00A744DA"/>
    <w:rsid w:val="00AB1561"/>
    <w:rsid w:val="00AB7402"/>
    <w:rsid w:val="00AC648F"/>
    <w:rsid w:val="00AD5310"/>
    <w:rsid w:val="00AD56A2"/>
    <w:rsid w:val="00AE26B4"/>
    <w:rsid w:val="00AE4A55"/>
    <w:rsid w:val="00AE4F43"/>
    <w:rsid w:val="00B13BB4"/>
    <w:rsid w:val="00B1658C"/>
    <w:rsid w:val="00B23050"/>
    <w:rsid w:val="00B30B1C"/>
    <w:rsid w:val="00B33B00"/>
    <w:rsid w:val="00B6244A"/>
    <w:rsid w:val="00B633AC"/>
    <w:rsid w:val="00B6368C"/>
    <w:rsid w:val="00B72D6B"/>
    <w:rsid w:val="00B73F5D"/>
    <w:rsid w:val="00BA57F1"/>
    <w:rsid w:val="00BA75A1"/>
    <w:rsid w:val="00BB2437"/>
    <w:rsid w:val="00BC28C8"/>
    <w:rsid w:val="00BC5CAA"/>
    <w:rsid w:val="00BD3B89"/>
    <w:rsid w:val="00BE121B"/>
    <w:rsid w:val="00BE4320"/>
    <w:rsid w:val="00C01CA3"/>
    <w:rsid w:val="00C05F49"/>
    <w:rsid w:val="00C1232D"/>
    <w:rsid w:val="00C13D50"/>
    <w:rsid w:val="00C20AD6"/>
    <w:rsid w:val="00C20EF1"/>
    <w:rsid w:val="00C31C5C"/>
    <w:rsid w:val="00C50530"/>
    <w:rsid w:val="00C80850"/>
    <w:rsid w:val="00C9359A"/>
    <w:rsid w:val="00C9792F"/>
    <w:rsid w:val="00CA017A"/>
    <w:rsid w:val="00CC10B4"/>
    <w:rsid w:val="00CD0C6C"/>
    <w:rsid w:val="00CD0F06"/>
    <w:rsid w:val="00CD374E"/>
    <w:rsid w:val="00CD4DA6"/>
    <w:rsid w:val="00CD5B3B"/>
    <w:rsid w:val="00D02F50"/>
    <w:rsid w:val="00D06E9C"/>
    <w:rsid w:val="00D07124"/>
    <w:rsid w:val="00D12400"/>
    <w:rsid w:val="00D16390"/>
    <w:rsid w:val="00D209EA"/>
    <w:rsid w:val="00D21183"/>
    <w:rsid w:val="00D30078"/>
    <w:rsid w:val="00D32225"/>
    <w:rsid w:val="00D32E9E"/>
    <w:rsid w:val="00D33357"/>
    <w:rsid w:val="00D342AC"/>
    <w:rsid w:val="00D35D57"/>
    <w:rsid w:val="00D40DE6"/>
    <w:rsid w:val="00D74CB2"/>
    <w:rsid w:val="00D75940"/>
    <w:rsid w:val="00D844F6"/>
    <w:rsid w:val="00D9646A"/>
    <w:rsid w:val="00DB0113"/>
    <w:rsid w:val="00DC1DC1"/>
    <w:rsid w:val="00DC1FEC"/>
    <w:rsid w:val="00DC2037"/>
    <w:rsid w:val="00DD246D"/>
    <w:rsid w:val="00DF20CC"/>
    <w:rsid w:val="00DF4685"/>
    <w:rsid w:val="00DF6F10"/>
    <w:rsid w:val="00E05AAD"/>
    <w:rsid w:val="00E06401"/>
    <w:rsid w:val="00E172C1"/>
    <w:rsid w:val="00E27C17"/>
    <w:rsid w:val="00E344E7"/>
    <w:rsid w:val="00E3648E"/>
    <w:rsid w:val="00E45224"/>
    <w:rsid w:val="00E5605F"/>
    <w:rsid w:val="00E562FC"/>
    <w:rsid w:val="00E568E2"/>
    <w:rsid w:val="00E851BD"/>
    <w:rsid w:val="00E861E9"/>
    <w:rsid w:val="00EA2BA2"/>
    <w:rsid w:val="00EB6843"/>
    <w:rsid w:val="00ED6754"/>
    <w:rsid w:val="00EE59D8"/>
    <w:rsid w:val="00F2255D"/>
    <w:rsid w:val="00F23D6B"/>
    <w:rsid w:val="00F26F65"/>
    <w:rsid w:val="00F30D03"/>
    <w:rsid w:val="00F67550"/>
    <w:rsid w:val="00F71807"/>
    <w:rsid w:val="00FB1D04"/>
    <w:rsid w:val="00FB6D27"/>
    <w:rsid w:val="00FC4284"/>
    <w:rsid w:val="00FD4EC9"/>
    <w:rsid w:val="00FE2F2C"/>
    <w:rsid w:val="00FF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FF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51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51B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D8"/>
    <w:rPr>
      <w:rFonts w:ascii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A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F1157-F221-43EE-B392-DE9E57C1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claudia.vasilca</cp:lastModifiedBy>
  <cp:revision>4</cp:revision>
  <cp:lastPrinted>2017-03-21T11:43:00Z</cp:lastPrinted>
  <dcterms:created xsi:type="dcterms:W3CDTF">2017-03-22T11:08:00Z</dcterms:created>
  <dcterms:modified xsi:type="dcterms:W3CDTF">2017-03-22T11:10:00Z</dcterms:modified>
</cp:coreProperties>
</file>