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46E" w:rsidRPr="0049246E" w:rsidRDefault="0049246E" w:rsidP="0049246E">
      <w:pPr>
        <w:pStyle w:val="Title"/>
        <w:spacing w:after="120"/>
        <w:jc w:val="center"/>
        <w:rPr>
          <w:rFonts w:ascii="Trebuchet MS" w:hAnsi="Trebuchet MS"/>
          <w:b/>
          <w:sz w:val="28"/>
          <w:szCs w:val="28"/>
          <w:lang w:val="ro-RO"/>
        </w:rPr>
      </w:pPr>
      <w:r w:rsidRPr="0049246E">
        <w:rPr>
          <w:rFonts w:ascii="Trebuchet MS" w:hAnsi="Trebuchet MS"/>
          <w:b/>
          <w:sz w:val="28"/>
          <w:szCs w:val="28"/>
          <w:lang w:val="ro-RO"/>
        </w:rPr>
        <w:t>LISTA ERORILOR FRECVENTE</w:t>
      </w:r>
    </w:p>
    <w:p w:rsidR="0049246E" w:rsidRDefault="0049246E" w:rsidP="0049246E">
      <w:pPr>
        <w:pStyle w:val="Title"/>
        <w:spacing w:after="120"/>
        <w:jc w:val="both"/>
        <w:rPr>
          <w:rFonts w:ascii="Trebuchet MS" w:hAnsi="Trebuchet MS"/>
          <w:sz w:val="28"/>
          <w:szCs w:val="28"/>
          <w:lang w:val="ro-RO"/>
        </w:rPr>
      </w:pPr>
    </w:p>
    <w:p w:rsidR="0049246E" w:rsidRDefault="0044509F" w:rsidP="0049246E">
      <w:pPr>
        <w:pStyle w:val="Title"/>
        <w:spacing w:after="120"/>
        <w:jc w:val="both"/>
        <w:rPr>
          <w:rFonts w:ascii="Trebuchet MS" w:hAnsi="Trebuchet MS"/>
          <w:sz w:val="28"/>
          <w:szCs w:val="28"/>
          <w:lang w:val="ro-RO"/>
        </w:rPr>
      </w:pPr>
      <w:r w:rsidRPr="00BB1873">
        <w:rPr>
          <w:rFonts w:ascii="Trebuchet MS" w:hAnsi="Trebuchet MS"/>
          <w:sz w:val="28"/>
          <w:szCs w:val="28"/>
          <w:lang w:val="ro-RO"/>
        </w:rPr>
        <w:t xml:space="preserve">Perioada de referință: </w:t>
      </w:r>
      <w:r w:rsidR="00BB1873" w:rsidRPr="00BB1873">
        <w:rPr>
          <w:rFonts w:ascii="Trebuchet MS" w:hAnsi="Trebuchet MS"/>
          <w:sz w:val="28"/>
          <w:szCs w:val="28"/>
          <w:lang w:val="ro-RO"/>
        </w:rPr>
        <w:t xml:space="preserve">13.07.2016 – </w:t>
      </w:r>
      <w:r w:rsidR="00542780" w:rsidRPr="00BB1873">
        <w:rPr>
          <w:rFonts w:ascii="Trebuchet MS" w:hAnsi="Trebuchet MS"/>
          <w:sz w:val="28"/>
          <w:szCs w:val="28"/>
          <w:lang w:val="ro-RO"/>
        </w:rPr>
        <w:t>15</w:t>
      </w:r>
      <w:r w:rsidR="00BB1873" w:rsidRPr="00BB1873">
        <w:rPr>
          <w:rFonts w:ascii="Trebuchet MS" w:hAnsi="Trebuchet MS"/>
          <w:sz w:val="28"/>
          <w:szCs w:val="28"/>
          <w:lang w:val="ro-RO"/>
        </w:rPr>
        <w:t>.09.</w:t>
      </w:r>
      <w:r w:rsidR="00542780" w:rsidRPr="00BB1873">
        <w:rPr>
          <w:rFonts w:ascii="Trebuchet MS" w:hAnsi="Trebuchet MS"/>
          <w:sz w:val="28"/>
          <w:szCs w:val="28"/>
          <w:lang w:val="ro-RO"/>
        </w:rPr>
        <w:t>2017</w:t>
      </w:r>
    </w:p>
    <w:p w:rsidR="0049246E" w:rsidRDefault="0049246E" w:rsidP="0049246E">
      <w:pPr>
        <w:pStyle w:val="Title"/>
        <w:spacing w:after="120"/>
        <w:jc w:val="both"/>
        <w:rPr>
          <w:rFonts w:ascii="Trebuchet MS" w:hAnsi="Trebuchet MS"/>
          <w:sz w:val="28"/>
          <w:szCs w:val="28"/>
          <w:lang w:val="ro-RO"/>
        </w:rPr>
      </w:pPr>
    </w:p>
    <w:p w:rsidR="001652EE" w:rsidRPr="002837DD" w:rsidRDefault="001652EE" w:rsidP="00BC7484">
      <w:pPr>
        <w:spacing w:after="160" w:line="259" w:lineRule="auto"/>
        <w:jc w:val="both"/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</w:pPr>
      <w:r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 xml:space="preserve">Prezenta </w:t>
      </w:r>
      <w:r w:rsidR="0049246E"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 xml:space="preserve">listă a fost realizată pe baza </w:t>
      </w:r>
      <w:r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>analiz</w:t>
      </w:r>
      <w:r w:rsidR="0049246E"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>ei</w:t>
      </w:r>
      <w:r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 xml:space="preserve"> </w:t>
      </w:r>
      <w:r w:rsidR="0049246E"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 xml:space="preserve">intermediare a principalelor rezultate și tipurilor de erori detectate ca urmare a controalelor efectuate prin verificările administrative, în conformitate cu articolul 125 alineatul (5) litera (a) din CPR și care a avut </w:t>
      </w:r>
      <w:r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 xml:space="preserve">ca scop stabilirea unor acțiuni corective </w:t>
      </w:r>
      <w:r w:rsidR="00D83D23"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>pe seama cauzelor principale ale erorilor detectate în verificările administrative ale AM POCA</w:t>
      </w:r>
      <w:r w:rsidR="00DE2183"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 xml:space="preserve"> privind cheltuielile solicitate de Beneficiarii POCA</w:t>
      </w:r>
      <w:r w:rsidR="00E63E78"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 xml:space="preserve"> în cadrul cererilor de</w:t>
      </w:r>
      <w:r w:rsidR="002F44B7"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 xml:space="preserve"> </w:t>
      </w:r>
      <w:r w:rsidR="00E63E78"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>rambursare care au făcut obiectul plăților/rambursărilor în perioada de la aprobarea programului (efectiv începând cu data de 13.07.2016) până la 15.09.2017</w:t>
      </w:r>
      <w:r w:rsidR="00525B1A"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>.</w:t>
      </w:r>
    </w:p>
    <w:p w:rsidR="003A6F58" w:rsidRPr="002837DD" w:rsidRDefault="003A6F58" w:rsidP="003F5A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</w:pPr>
    </w:p>
    <w:p w:rsidR="003F5AF2" w:rsidRPr="002837DD" w:rsidRDefault="003F5AF2" w:rsidP="003F5A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</w:pPr>
      <w:r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>Lista erori</w:t>
      </w:r>
      <w:r w:rsidR="008C255B"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>lor</w:t>
      </w:r>
      <w:r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 xml:space="preserve"> detectate</w:t>
      </w:r>
      <w:r w:rsidR="00BE1D9B"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 xml:space="preserve"> și n</w:t>
      </w:r>
      <w:r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>atura erorilor – detalii ale cauzelor frecvente de producere a acestora</w:t>
      </w:r>
      <w:r w:rsidR="00BE20FE" w:rsidRPr="002837DD">
        <w:rPr>
          <w:rFonts w:ascii="Trebuchet MS" w:eastAsia="Times New Roman" w:hAnsi="Trebuchet MS"/>
          <w:color w:val="17365D"/>
          <w:spacing w:val="5"/>
          <w:kern w:val="28"/>
          <w:sz w:val="24"/>
          <w:szCs w:val="24"/>
          <w:lang w:val="ro-RO"/>
        </w:rPr>
        <w:t>:</w:t>
      </w:r>
    </w:p>
    <w:p w:rsidR="00C000BB" w:rsidRDefault="00C000BB" w:rsidP="003F5A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HAnsi" w:hAnsi="Trebuchet MS"/>
          <w:b/>
          <w:bCs/>
          <w:color w:val="000000"/>
          <w:lang w:val="ro-RO"/>
        </w:rPr>
      </w:pPr>
    </w:p>
    <w:tbl>
      <w:tblPr>
        <w:tblStyle w:val="GridTable5Dark-Accent5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1731"/>
        <w:gridCol w:w="5278"/>
        <w:gridCol w:w="2410"/>
      </w:tblGrid>
      <w:tr w:rsidR="003A6F58" w:rsidTr="003A6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:rsidR="003A6F58" w:rsidRDefault="003A6F58" w:rsidP="003F5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</w:pPr>
            <w:r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  <w:t>Nr crt</w:t>
            </w:r>
          </w:p>
        </w:tc>
        <w:tc>
          <w:tcPr>
            <w:tcW w:w="1731" w:type="dxa"/>
          </w:tcPr>
          <w:p w:rsidR="003A6F58" w:rsidRDefault="003A6F58" w:rsidP="0068117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</w:pPr>
            <w:r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  <w:t>Principalele tipuri de erori detectate/care fac referire la normele privind:</w:t>
            </w:r>
          </w:p>
        </w:tc>
        <w:tc>
          <w:tcPr>
            <w:tcW w:w="5278" w:type="dxa"/>
          </w:tcPr>
          <w:p w:rsidR="003A6F58" w:rsidRDefault="003A6F58" w:rsidP="0068117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 w:val="0"/>
                <w:color w:val="000000"/>
                <w:lang w:val="ro-RO"/>
              </w:rPr>
            </w:pPr>
          </w:p>
          <w:p w:rsidR="003A6F58" w:rsidRDefault="003A6F58" w:rsidP="0068117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 w:val="0"/>
                <w:color w:val="000000"/>
                <w:lang w:val="ro-RO"/>
              </w:rPr>
            </w:pPr>
          </w:p>
          <w:p w:rsidR="003A6F58" w:rsidRDefault="003A6F58" w:rsidP="0068117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 w:val="0"/>
                <w:color w:val="000000"/>
                <w:lang w:val="ro-RO"/>
              </w:rPr>
            </w:pPr>
          </w:p>
          <w:p w:rsidR="003A6F58" w:rsidRPr="009D1CD8" w:rsidRDefault="003A6F58" w:rsidP="0068117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 w:val="0"/>
                <w:color w:val="000000"/>
                <w:lang w:val="ro-RO"/>
              </w:rPr>
            </w:pPr>
            <w:r w:rsidRPr="009D1CD8">
              <w:rPr>
                <w:rFonts w:ascii="Trebuchet MS" w:eastAsiaTheme="minorHAnsi" w:hAnsi="Trebuchet MS"/>
                <w:bCs w:val="0"/>
                <w:color w:val="000000"/>
                <w:lang w:val="ro-RO"/>
              </w:rPr>
              <w:t>Cauze/detalii manifestare</w:t>
            </w:r>
          </w:p>
        </w:tc>
        <w:tc>
          <w:tcPr>
            <w:tcW w:w="2410" w:type="dxa"/>
          </w:tcPr>
          <w:p w:rsidR="003A6F58" w:rsidRDefault="003A6F58" w:rsidP="0068117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 w:val="0"/>
                <w:color w:val="000000"/>
                <w:lang w:val="ro-RO"/>
              </w:rPr>
            </w:pPr>
          </w:p>
          <w:p w:rsidR="003A6F58" w:rsidRDefault="003A6F58" w:rsidP="0068117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 w:val="0"/>
                <w:color w:val="000000"/>
                <w:lang w:val="ro-RO"/>
              </w:rPr>
            </w:pPr>
          </w:p>
          <w:p w:rsidR="003A6F58" w:rsidRDefault="003A6F58" w:rsidP="0068117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 w:val="0"/>
                <w:color w:val="000000"/>
                <w:lang w:val="ro-RO"/>
              </w:rPr>
            </w:pPr>
          </w:p>
          <w:p w:rsidR="003A6F58" w:rsidRDefault="003A6F58" w:rsidP="00681170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 w:val="0"/>
                <w:color w:val="000000"/>
                <w:lang w:val="ro-RO"/>
              </w:rPr>
            </w:pPr>
            <w:r>
              <w:rPr>
                <w:rFonts w:ascii="Trebuchet MS" w:eastAsiaTheme="minorHAnsi" w:hAnsi="Trebuchet MS"/>
                <w:bCs w:val="0"/>
                <w:color w:val="000000"/>
                <w:lang w:val="ro-RO"/>
              </w:rPr>
              <w:t>Prevederi legale încălcate</w:t>
            </w:r>
          </w:p>
        </w:tc>
      </w:tr>
      <w:tr w:rsidR="003A6F58" w:rsidTr="003A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vMerge w:val="restart"/>
          </w:tcPr>
          <w:p w:rsidR="003A6F58" w:rsidRDefault="003A6F58" w:rsidP="00740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</w:pPr>
            <w:r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  <w:t>I</w:t>
            </w:r>
          </w:p>
        </w:tc>
        <w:tc>
          <w:tcPr>
            <w:tcW w:w="1731" w:type="dxa"/>
            <w:vMerge w:val="restart"/>
          </w:tcPr>
          <w:p w:rsidR="003A6F58" w:rsidRPr="00D73802" w:rsidRDefault="003A6F58" w:rsidP="00740E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auto"/>
                <w:lang w:val="ro-RO"/>
              </w:rPr>
            </w:pPr>
            <w:r w:rsidRPr="00D73802"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  <w:t xml:space="preserve">Pista de audit </w:t>
            </w: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3A6F58" w:rsidRPr="0036181F" w:rsidRDefault="003A6F58" w:rsidP="00D046B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D046BA">
              <w:rPr>
                <w:rFonts w:ascii="Trebuchet MS" w:eastAsiaTheme="minorHAnsi" w:hAnsi="Trebuchet MS"/>
                <w:bCs/>
                <w:color w:val="000000"/>
                <w:lang w:val="ro-RO"/>
              </w:rPr>
              <w:t>cheltuieli în afara perioade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i de referință declarată </w:t>
            </w:r>
          </w:p>
          <w:p w:rsidR="003A6F58" w:rsidRDefault="003A6F58" w:rsidP="009549F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în cererea de rambursare ori neproporționale cu perioada de referință, respectiv care nu respectă realitatea cheltuielilor (ex: reprezentând costuri de asigurare RCA/CASCO, Roviniete, abonamente la publicații)</w:t>
            </w:r>
          </w:p>
          <w:p w:rsidR="003A6F58" w:rsidRPr="000477D2" w:rsidRDefault="003A6F58" w:rsidP="004D6E1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0477D2">
              <w:rPr>
                <w:rFonts w:ascii="Trebuchet MS" w:eastAsiaTheme="minorHAnsi" w:hAnsi="Trebuchet MS"/>
                <w:bCs/>
                <w:color w:val="000000"/>
                <w:lang w:val="ro-RO"/>
              </w:rPr>
              <w:t>facturi de avans fără dovezi privind recepția serviciilor</w:t>
            </w:r>
          </w:p>
          <w:p w:rsidR="003A6F58" w:rsidRPr="000477D2" w:rsidRDefault="003A6F58" w:rsidP="004D6E1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0477D2">
              <w:rPr>
                <w:rFonts w:ascii="Trebuchet MS" w:eastAsiaTheme="minorHAnsi" w:hAnsi="Trebuchet MS"/>
                <w:bCs/>
                <w:color w:val="000000"/>
                <w:lang w:val="ro-RO"/>
              </w:rPr>
              <w:t>cheltuieli solicitate care exced bugetului aprobat prin contractele economice</w:t>
            </w:r>
          </w:p>
          <w:p w:rsidR="003A6F58" w:rsidRPr="000477D2" w:rsidRDefault="003A6F58" w:rsidP="00973B7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0477D2">
              <w:rPr>
                <w:rFonts w:ascii="Trebuchet MS" w:eastAsiaTheme="minorHAnsi" w:hAnsi="Trebuchet MS"/>
                <w:bCs/>
                <w:color w:val="000000"/>
                <w:lang w:val="ro-RO"/>
              </w:rPr>
              <w:t>lipsă documente justificative pentru realizarea efectivă a cheltuielilor solicitate la plată/diferențe de calcul față de justificative  (lipsă dovezi complete privind: consum combustibil/transport, realizarea efectivă a deplasărilor/deconturi, necorespondența cheltuielilor de cazare cu diagrama de cazare, plăți contribuții salariale, ore în afara contractului de muncă,</w:t>
            </w:r>
            <w:r w:rsidRPr="000477D2">
              <w:t xml:space="preserve"> </w:t>
            </w:r>
            <w:r w:rsidRPr="000477D2">
              <w:rPr>
                <w:rFonts w:ascii="Trebuchet MS" w:eastAsiaTheme="minorHAnsi" w:hAnsi="Trebuchet MS"/>
                <w:bCs/>
                <w:color w:val="000000"/>
                <w:lang w:val="ro-RO"/>
              </w:rPr>
              <w:t>TVA în afara certificatului emis de ANAF, aplicarea incorectă a unor procente/metodologii de calcul, erori de calcul în centralizatoarele cheltuielilor efectuate, alte diferențe din rotunjiri necorespunzătoare)</w:t>
            </w:r>
          </w:p>
          <w:p w:rsidR="003A6F58" w:rsidRPr="000477D2" w:rsidRDefault="003A6F58" w:rsidP="009E398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0477D2">
              <w:rPr>
                <w:rFonts w:ascii="Trebuchet MS" w:eastAsiaTheme="minorHAnsi" w:hAnsi="Trebuchet MS"/>
                <w:bCs/>
                <w:color w:val="000000"/>
                <w:lang w:val="ro-RO"/>
              </w:rPr>
              <w:t>lipsa metodologiei calcul pentru cheltuielile de administrație sau erori de calcul în aplicarea acesteia</w:t>
            </w:r>
          </w:p>
          <w:p w:rsidR="003A6F58" w:rsidRDefault="003A6F58" w:rsidP="00112EC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0477D2">
              <w:rPr>
                <w:rFonts w:ascii="Trebuchet MS" w:eastAsiaTheme="minorHAnsi" w:hAnsi="Trebuchet MS"/>
                <w:bCs/>
                <w:color w:val="000000"/>
                <w:lang w:val="ro-RO"/>
              </w:rPr>
              <w:t>imposibilitatea de auditare/de identificare fizică a unor mijloace fixe</w:t>
            </w:r>
          </w:p>
          <w:p w:rsidR="003A6F58" w:rsidRPr="00724261" w:rsidRDefault="003A6F58" w:rsidP="003A6F5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A6F58" w:rsidRPr="0036181F" w:rsidRDefault="003A6F58" w:rsidP="00740E32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399/2015, art. 2(1)b</w:t>
            </w:r>
            <w:r w:rsidRPr="0036181F">
              <w:rPr>
                <w:rFonts w:ascii="Trebuchet MS" w:eastAsiaTheme="minorHAnsi" w:hAnsi="Trebuchet MS"/>
                <w:bCs/>
                <w:color w:val="000000"/>
                <w:lang w:val="ro-RO"/>
              </w:rPr>
              <w:t>)</w:t>
            </w:r>
          </w:p>
        </w:tc>
      </w:tr>
      <w:tr w:rsidR="003A6F58" w:rsidTr="003A6F58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vMerge/>
          </w:tcPr>
          <w:p w:rsidR="003A6F58" w:rsidRDefault="003A6F58" w:rsidP="00740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Theme="minorHAnsi" w:hAnsi="Trebuchet MS"/>
                <w:color w:val="000000"/>
                <w:lang w:val="ro-RO"/>
              </w:rPr>
            </w:pPr>
          </w:p>
        </w:tc>
        <w:tc>
          <w:tcPr>
            <w:tcW w:w="1731" w:type="dxa"/>
            <w:vMerge/>
          </w:tcPr>
          <w:p w:rsidR="003A6F58" w:rsidRPr="00D73802" w:rsidRDefault="003A6F58" w:rsidP="00740E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:rsidR="003A6F58" w:rsidRPr="00A15637" w:rsidRDefault="003A6F58" w:rsidP="004662D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4815B8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cheltuieli 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care nu respectă contractul/ordinul de </w:t>
            </w:r>
            <w:r w:rsidRPr="00695AEF">
              <w:rPr>
                <w:rFonts w:ascii="Trebuchet MS" w:eastAsiaTheme="minorHAnsi" w:hAnsi="Trebuchet MS"/>
                <w:bCs/>
                <w:lang w:val="ro-RO"/>
              </w:rPr>
              <w:t xml:space="preserve">finanțare: </w:t>
            </w:r>
            <w:r>
              <w:rPr>
                <w:rFonts w:ascii="Trebuchet MS" w:eastAsiaTheme="minorHAnsi" w:hAnsi="Trebuchet MS"/>
                <w:bCs/>
                <w:lang w:val="ro-RO"/>
              </w:rPr>
              <w:t>cheltuieli care depășesc bugetul</w:t>
            </w:r>
            <w:r w:rsidRPr="00695AEF">
              <w:rPr>
                <w:rFonts w:ascii="Trebuchet MS" w:eastAsiaTheme="minorHAnsi" w:hAnsi="Trebuchet MS"/>
                <w:bCs/>
                <w:lang w:val="ro-RO"/>
              </w:rPr>
              <w:t xml:space="preserve"> aprobat al proiectului</w:t>
            </w:r>
            <w:r>
              <w:rPr>
                <w:rFonts w:ascii="Trebuchet MS" w:eastAsiaTheme="minorHAnsi" w:hAnsi="Trebuchet MS"/>
                <w:bCs/>
                <w:lang w:val="ro-RO"/>
              </w:rPr>
              <w:t xml:space="preserve"> (ex: </w:t>
            </w:r>
            <w:r w:rsidRPr="00695AEF">
              <w:rPr>
                <w:rFonts w:ascii="Trebuchet MS" w:eastAsiaTheme="minorHAnsi" w:hAnsi="Trebuchet MS"/>
                <w:bCs/>
                <w:lang w:val="ro-RO"/>
              </w:rPr>
              <w:t xml:space="preserve">salarii </w:t>
            </w:r>
            <w:r>
              <w:rPr>
                <w:rFonts w:ascii="Trebuchet MS" w:eastAsiaTheme="minorHAnsi" w:hAnsi="Trebuchet MS"/>
                <w:bCs/>
                <w:lang w:val="ro-RO"/>
              </w:rPr>
              <w:t>ne</w:t>
            </w:r>
            <w:r w:rsidRPr="00695AEF">
              <w:rPr>
                <w:rFonts w:ascii="Trebuchet MS" w:eastAsiaTheme="minorHAnsi" w:hAnsi="Trebuchet MS"/>
                <w:bCs/>
                <w:lang w:val="ro-RO"/>
              </w:rPr>
              <w:t>bugetate ori depășire tarif unitar stabilit în buget pentru experți, diferențe TVA</w:t>
            </w:r>
            <w:r>
              <w:rPr>
                <w:rFonts w:ascii="Trebuchet MS" w:eastAsiaTheme="minorHAnsi" w:hAnsi="Trebuchet MS"/>
                <w:bCs/>
                <w:lang w:val="ro-RO"/>
              </w:rPr>
              <w:t>) ori cheltuieli efectuate înainte de aprobarea de către AM a notificărilor privind modificările intervenite (ex: modificări ale sediului care implică costuri de administrație, modificări ale cheltuielilor salariale)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A6F58" w:rsidRDefault="003A6F58" w:rsidP="00740E32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HG 399/2015, art. </w:t>
            </w:r>
            <w:r w:rsidRPr="007B0F66">
              <w:rPr>
                <w:rFonts w:ascii="Trebuchet MS" w:eastAsiaTheme="minorHAnsi" w:hAnsi="Trebuchet MS"/>
                <w:bCs/>
                <w:color w:val="000000"/>
                <w:lang w:val="ro-RO"/>
              </w:rPr>
              <w:t>2(1)d)</w:t>
            </w:r>
          </w:p>
        </w:tc>
      </w:tr>
      <w:tr w:rsidR="003A6F58" w:rsidTr="003A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vMerge w:val="restart"/>
          </w:tcPr>
          <w:p w:rsidR="003A6F58" w:rsidRDefault="003A6F58" w:rsidP="00740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</w:pPr>
            <w:r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  <w:t>II</w:t>
            </w:r>
          </w:p>
        </w:tc>
        <w:tc>
          <w:tcPr>
            <w:tcW w:w="1731" w:type="dxa"/>
            <w:vMerge w:val="restart"/>
          </w:tcPr>
          <w:p w:rsidR="003A6F58" w:rsidRPr="00D73802" w:rsidRDefault="003A6F58" w:rsidP="00740E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auto"/>
                <w:lang w:val="ro-RO"/>
              </w:rPr>
            </w:pPr>
            <w:r w:rsidRPr="00D73802"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  <w:t>Achizițiile publice</w:t>
            </w: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3A6F58" w:rsidRPr="00554917" w:rsidRDefault="003A6F58" w:rsidP="0055491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E67E15">
              <w:rPr>
                <w:rFonts w:ascii="Trebuchet MS" w:eastAsiaTheme="minorHAnsi" w:hAnsi="Trebuchet MS"/>
                <w:bCs/>
                <w:color w:val="000000"/>
                <w:lang w:val="ro-RO"/>
              </w:rPr>
              <w:t>potențialii ofertanți/candidați au la dispoziție un termen prea scurt  pentru obținerea documentației de atribuire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A6F58" w:rsidRPr="007F415F" w:rsidRDefault="003A6F58" w:rsidP="007F415F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399/2015, art. 2(1)f)</w:t>
            </w:r>
          </w:p>
          <w:p w:rsidR="003A6F58" w:rsidRPr="007F415F" w:rsidRDefault="003A6F58" w:rsidP="007F415F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Legea 98/2016, art. 104(1) lit. c) </w:t>
            </w:r>
          </w:p>
          <w:p w:rsidR="003A6F58" w:rsidRPr="007F415F" w:rsidRDefault="003A6F58" w:rsidP="007F415F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>Legea 98/2016, art. 2(2)</w:t>
            </w:r>
          </w:p>
          <w:p w:rsidR="003A6F58" w:rsidRPr="008A3880" w:rsidRDefault="003A6F58" w:rsidP="008A3880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8A3880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395/2016, art. 93</w:t>
            </w:r>
          </w:p>
        </w:tc>
      </w:tr>
      <w:tr w:rsidR="003A6F58" w:rsidTr="003A6F58">
        <w:trPr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vMerge/>
          </w:tcPr>
          <w:p w:rsidR="003A6F58" w:rsidRDefault="003A6F58" w:rsidP="00740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Theme="minorHAnsi" w:hAnsi="Trebuchet MS"/>
                <w:color w:val="000000"/>
                <w:lang w:val="ro-RO"/>
              </w:rPr>
            </w:pPr>
          </w:p>
        </w:tc>
        <w:tc>
          <w:tcPr>
            <w:tcW w:w="1731" w:type="dxa"/>
            <w:vMerge/>
          </w:tcPr>
          <w:p w:rsidR="003A6F58" w:rsidRPr="00D73802" w:rsidRDefault="003A6F58" w:rsidP="00740E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:rsidR="003A6F58" w:rsidRPr="00B80DEC" w:rsidRDefault="003A6F58" w:rsidP="003A6F5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divizare contract achiziție prin</w:t>
            </w:r>
            <w:r w:rsidRPr="00E67E15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subevaluarea valori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i estimate la nivel de proiect, între </w:t>
            </w:r>
            <w:r w:rsidRPr="00E67E15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beneficiar 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și</w:t>
            </w:r>
            <w:r w:rsidRPr="00E67E15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partener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A6F58" w:rsidRPr="00B80DEC" w:rsidRDefault="003A6F58" w:rsidP="008A3880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B80DEC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399/2015, art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B80DEC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2(1)f)</w:t>
            </w:r>
          </w:p>
          <w:p w:rsidR="003A6F58" w:rsidRPr="00B80DEC" w:rsidRDefault="003A6F58" w:rsidP="008A3880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B80DEC">
              <w:rPr>
                <w:rFonts w:ascii="Trebuchet MS" w:eastAsiaTheme="minorHAnsi" w:hAnsi="Trebuchet MS"/>
                <w:bCs/>
                <w:color w:val="000000"/>
                <w:lang w:val="ro-RO"/>
              </w:rPr>
              <w:t>Legea 98/2016, art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B80DEC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11 (1) și (2) </w:t>
            </w:r>
          </w:p>
          <w:p w:rsidR="003A6F58" w:rsidRPr="00B80DEC" w:rsidRDefault="003A6F58" w:rsidP="008A3880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B80DEC">
              <w:rPr>
                <w:rFonts w:ascii="Trebuchet MS" w:eastAsiaTheme="minorHAnsi" w:hAnsi="Trebuchet MS"/>
                <w:bCs/>
                <w:color w:val="000000"/>
                <w:lang w:val="ro-RO"/>
              </w:rPr>
              <w:t>Legea 98/2016, art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B80DEC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2(2) 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–</w:t>
            </w:r>
            <w:r w:rsidRPr="00B80DEC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lit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B80DEC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b) și d)</w:t>
            </w:r>
          </w:p>
          <w:p w:rsidR="003A6F58" w:rsidRPr="00B80DEC" w:rsidRDefault="003A6F58" w:rsidP="008A3880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B80DEC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395/2016, art. 13</w:t>
            </w:r>
          </w:p>
          <w:p w:rsidR="003A6F58" w:rsidRPr="00B05BBD" w:rsidRDefault="003A6F58" w:rsidP="008A3880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B80DEC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395/2016, art. 17 - (1) și (3)</w:t>
            </w:r>
          </w:p>
        </w:tc>
      </w:tr>
      <w:tr w:rsidR="003A6F58" w:rsidTr="003A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vMerge/>
          </w:tcPr>
          <w:p w:rsidR="003A6F58" w:rsidRDefault="003A6F58" w:rsidP="00740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Theme="minorHAnsi" w:hAnsi="Trebuchet MS"/>
                <w:color w:val="000000"/>
                <w:lang w:val="ro-RO"/>
              </w:rPr>
            </w:pPr>
          </w:p>
        </w:tc>
        <w:tc>
          <w:tcPr>
            <w:tcW w:w="1731" w:type="dxa"/>
            <w:vMerge/>
          </w:tcPr>
          <w:p w:rsidR="003A6F58" w:rsidRPr="00D73802" w:rsidRDefault="003A6F58" w:rsidP="00740E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:rsidR="003A6F58" w:rsidRPr="00E67E15" w:rsidRDefault="003A6F58" w:rsidP="00B80DE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1D44F6">
              <w:rPr>
                <w:rFonts w:ascii="Trebuchet MS" w:eastAsiaTheme="minorHAnsi" w:hAnsi="Trebuchet MS"/>
                <w:bCs/>
                <w:color w:val="000000"/>
                <w:lang w:val="ro-RO"/>
              </w:rPr>
              <w:t>selectarea procedurii de negociere fără publicarea prealab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ilă a unui anunț de participare</w:t>
            </w:r>
            <w:r w:rsidRPr="001D44F6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fără  întrunirea condițiilor legale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A6F58" w:rsidRPr="007F415F" w:rsidRDefault="003A6F58" w:rsidP="008A3880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399/2015, art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2(1)f)</w:t>
            </w:r>
          </w:p>
          <w:p w:rsidR="003A6F58" w:rsidRPr="007F415F" w:rsidRDefault="003A6F58" w:rsidP="008A3880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>Legea 98/2016, art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104(1) lit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c) </w:t>
            </w:r>
          </w:p>
          <w:p w:rsidR="003A6F58" w:rsidRPr="007F415F" w:rsidRDefault="003A6F58" w:rsidP="008A3880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>Legea 98/2016, art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2(2)</w:t>
            </w:r>
          </w:p>
          <w:p w:rsidR="003A6F58" w:rsidRPr="00B80DEC" w:rsidRDefault="003A6F58" w:rsidP="008A3880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395/2016, art. 93</w:t>
            </w:r>
          </w:p>
        </w:tc>
      </w:tr>
      <w:tr w:rsidR="003A6F58" w:rsidTr="003A6F58">
        <w:trPr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vMerge w:val="restart"/>
          </w:tcPr>
          <w:p w:rsidR="003A6F58" w:rsidRDefault="003A6F58" w:rsidP="00740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</w:pPr>
            <w:r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  <w:t>III</w:t>
            </w:r>
          </w:p>
        </w:tc>
        <w:tc>
          <w:tcPr>
            <w:tcW w:w="1731" w:type="dxa"/>
            <w:vMerge w:val="restart"/>
          </w:tcPr>
          <w:p w:rsidR="003A6F58" w:rsidRPr="00D73802" w:rsidRDefault="003A6F58" w:rsidP="00740E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auto"/>
                <w:lang w:val="ro-RO"/>
              </w:rPr>
            </w:pPr>
            <w:r w:rsidRPr="00D73802"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  <w:t>Buna gestiune financiară</w:t>
            </w: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3A6F58" w:rsidRPr="008873AC" w:rsidRDefault="003A6F58" w:rsidP="008873A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A26BB9">
              <w:rPr>
                <w:rFonts w:ascii="Trebuchet MS" w:eastAsiaTheme="minorHAnsi" w:hAnsi="Trebuchet MS"/>
                <w:bCs/>
                <w:color w:val="000000"/>
                <w:lang w:val="ro-RO"/>
              </w:rPr>
              <w:t>lipsa necesității în realizarea operațiunii: cheltuieli suplimentare telefonie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(care exced abonamentelor)</w:t>
            </w:r>
            <w:r w:rsidRPr="00A26BB9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, 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cheltuieli aferente </w:t>
            </w:r>
            <w:r w:rsidRPr="00A26BB9">
              <w:rPr>
                <w:rFonts w:ascii="Trebuchet MS" w:eastAsiaTheme="minorHAnsi" w:hAnsi="Trebuchet MS"/>
                <w:bCs/>
                <w:color w:val="000000"/>
                <w:lang w:val="ro-RO"/>
              </w:rPr>
              <w:t>servicii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lor de</w:t>
            </w:r>
            <w:r w:rsidRPr="00A26BB9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roaming în afara localizării proiectului, cheltuieli cu taxa TV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A6F58" w:rsidRDefault="003A6F58" w:rsidP="00300A23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300A23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399/2015, art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300A23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2(1)e)</w:t>
            </w:r>
          </w:p>
          <w:p w:rsidR="003A6F58" w:rsidRDefault="003A6F58" w:rsidP="00300A23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</w:p>
          <w:p w:rsidR="003A6F58" w:rsidRDefault="003A6F58" w:rsidP="00300A23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</w:p>
          <w:p w:rsidR="003A6F58" w:rsidRPr="00300A23" w:rsidRDefault="003A6F58" w:rsidP="00300A23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</w:p>
        </w:tc>
      </w:tr>
      <w:tr w:rsidR="003A6F58" w:rsidTr="003A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vMerge/>
          </w:tcPr>
          <w:p w:rsidR="003A6F58" w:rsidRDefault="003A6F58" w:rsidP="00740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Theme="minorHAnsi" w:hAnsi="Trebuchet MS"/>
                <w:color w:val="000000"/>
                <w:lang w:val="ro-RO"/>
              </w:rPr>
            </w:pPr>
          </w:p>
        </w:tc>
        <w:tc>
          <w:tcPr>
            <w:tcW w:w="1731" w:type="dxa"/>
            <w:vMerge/>
          </w:tcPr>
          <w:p w:rsidR="003A6F58" w:rsidRPr="00D73802" w:rsidRDefault="003A6F58" w:rsidP="00740E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:rsidR="003A6F58" w:rsidRPr="00627CFA" w:rsidRDefault="003A6F58" w:rsidP="00627CF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A26BB9">
              <w:rPr>
                <w:rFonts w:ascii="Trebuchet MS" w:eastAsiaTheme="minorHAnsi" w:hAnsi="Trebuchet MS"/>
                <w:bCs/>
                <w:color w:val="000000"/>
                <w:lang w:val="ro-RO"/>
              </w:rPr>
              <w:t>lipsa rezonabilității cheltui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elilor în realizarea operațiuni: supradimensionarea </w:t>
            </w:r>
            <w:r w:rsidRPr="00D22D94">
              <w:rPr>
                <w:rFonts w:ascii="Trebuchet MS" w:eastAsiaTheme="minorHAnsi" w:hAnsi="Trebuchet MS"/>
                <w:bCs/>
                <w:color w:val="000000"/>
                <w:lang w:val="ro-RO"/>
              </w:rPr>
              <w:t>numărul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ui</w:t>
            </w:r>
            <w:r w:rsidRPr="00D22D94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de ore 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necesar</w:t>
            </w:r>
            <w:r w:rsidRPr="00D22D94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membrilor echipei de implementare pentru 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realizarea unei anumite activități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A6F58" w:rsidRDefault="003A6F58" w:rsidP="00631F50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300A23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399/2015, art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300A23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2(1)e)</w:t>
            </w:r>
          </w:p>
          <w:p w:rsidR="003A6F58" w:rsidRPr="00300A23" w:rsidRDefault="003A6F58" w:rsidP="00631F50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A26BB9">
              <w:rPr>
                <w:rFonts w:ascii="Trebuchet MS" w:eastAsiaTheme="minorHAnsi" w:hAnsi="Trebuchet MS"/>
                <w:bCs/>
                <w:color w:val="000000"/>
                <w:lang w:val="ro-RO"/>
              </w:rPr>
              <w:t>REG(UE) 966/2012, art. 30(1) și 126</w:t>
            </w:r>
          </w:p>
        </w:tc>
      </w:tr>
      <w:tr w:rsidR="003A6F58" w:rsidTr="003A6F58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vMerge w:val="restart"/>
          </w:tcPr>
          <w:p w:rsidR="003A6F58" w:rsidRDefault="003A6F58" w:rsidP="008D7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</w:pPr>
            <w:r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  <w:t>IV</w:t>
            </w:r>
          </w:p>
        </w:tc>
        <w:tc>
          <w:tcPr>
            <w:tcW w:w="1731" w:type="dxa"/>
            <w:vMerge w:val="restart"/>
          </w:tcPr>
          <w:p w:rsidR="003A6F58" w:rsidRPr="00D73802" w:rsidRDefault="003A6F58" w:rsidP="008D740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auto"/>
                <w:lang w:val="ro-RO"/>
              </w:rPr>
            </w:pPr>
            <w:r w:rsidRPr="00D73802"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  <w:t>Altele, referitoare la eligibilitate</w:t>
            </w: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3A6F58" w:rsidRPr="003A4872" w:rsidRDefault="003A6F58" w:rsidP="008873A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/>
                <w:bCs/>
                <w:color w:val="000000"/>
                <w:lang w:val="ro-RO"/>
              </w:rPr>
            </w:pPr>
            <w:r w:rsidRPr="008873AC">
              <w:rPr>
                <w:rFonts w:ascii="Trebuchet MS" w:eastAsiaTheme="minorHAnsi" w:hAnsi="Trebuchet MS"/>
                <w:bCs/>
                <w:color w:val="000000"/>
                <w:lang w:val="ro-RO"/>
              </w:rPr>
              <w:t>penalități de întârziere neeligibile</w:t>
            </w:r>
          </w:p>
          <w:p w:rsidR="003A6F58" w:rsidRPr="00A122C1" w:rsidRDefault="003A6F58" w:rsidP="00A122C1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A6F58" w:rsidRPr="007F415F" w:rsidRDefault="003A6F58" w:rsidP="008873AC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399/2015, art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2(1)f)</w:t>
            </w:r>
          </w:p>
          <w:p w:rsidR="003A6F58" w:rsidRDefault="003A6F58" w:rsidP="008873AC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/>
                <w:bCs/>
                <w:color w:val="000000"/>
                <w:lang w:val="ro-RO"/>
              </w:rPr>
            </w:pP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399/2015, art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 13</w:t>
            </w:r>
            <w:r w:rsidRPr="007F415F">
              <w:rPr>
                <w:rFonts w:ascii="Trebuchet MS" w:eastAsiaTheme="minorHAnsi" w:hAnsi="Trebuchet MS"/>
                <w:bCs/>
                <w:color w:val="000000"/>
                <w:lang w:val="ro-RO"/>
              </w:rPr>
              <w:t>f)</w:t>
            </w:r>
          </w:p>
        </w:tc>
      </w:tr>
      <w:tr w:rsidR="003A6F58" w:rsidTr="003A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vMerge/>
          </w:tcPr>
          <w:p w:rsidR="003A6F58" w:rsidRDefault="003A6F58" w:rsidP="008D7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</w:pPr>
          </w:p>
        </w:tc>
        <w:tc>
          <w:tcPr>
            <w:tcW w:w="1731" w:type="dxa"/>
            <w:vMerge/>
          </w:tcPr>
          <w:p w:rsidR="003A6F58" w:rsidRPr="00D73802" w:rsidRDefault="003A6F58" w:rsidP="008D740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:rsidR="003A6F58" w:rsidRPr="003B405C" w:rsidRDefault="003A6F58" w:rsidP="00A122C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lang w:val="ro-RO"/>
              </w:rPr>
            </w:pPr>
            <w:r w:rsidRPr="003B405C">
              <w:rPr>
                <w:rFonts w:ascii="Trebuchet MS" w:eastAsiaTheme="minorHAnsi" w:hAnsi="Trebuchet MS"/>
                <w:bCs/>
                <w:lang w:val="ro-RO"/>
              </w:rPr>
              <w:t>diferențe curs valutar/neutilizarea cursului BNR la data decontului</w:t>
            </w:r>
          </w:p>
          <w:p w:rsidR="003A6F58" w:rsidRPr="003B405C" w:rsidRDefault="003A6F58" w:rsidP="007515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lang w:val="ro-RO"/>
              </w:rPr>
            </w:pPr>
            <w:r w:rsidRPr="003B405C">
              <w:rPr>
                <w:rFonts w:ascii="Trebuchet MS" w:eastAsiaTheme="minorHAnsi" w:hAnsi="Trebuchet MS"/>
                <w:bCs/>
                <w:lang w:val="ro-RO"/>
              </w:rPr>
              <w:t>cheltuieli neeligibile pentru deplasări în spațiul extracomunitar</w:t>
            </w:r>
          </w:p>
          <w:p w:rsidR="003A6F58" w:rsidRPr="00D9553A" w:rsidRDefault="003A6F58" w:rsidP="00D9553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lang w:val="ro-RO"/>
              </w:rPr>
            </w:pPr>
            <w:r w:rsidRPr="00C87EBA">
              <w:rPr>
                <w:rFonts w:ascii="Trebuchet MS" w:eastAsiaTheme="minorHAnsi" w:hAnsi="Trebuchet MS"/>
                <w:bCs/>
                <w:lang w:val="ro-RO"/>
              </w:rPr>
              <w:t>nerespectarea legislației naționale aplica</w:t>
            </w:r>
            <w:r>
              <w:rPr>
                <w:rFonts w:ascii="Trebuchet MS" w:eastAsiaTheme="minorHAnsi" w:hAnsi="Trebuchet MS"/>
                <w:bCs/>
                <w:lang w:val="ro-RO"/>
              </w:rPr>
              <w:t xml:space="preserve">bilă cheltuielilor de deplasare – ex: </w:t>
            </w:r>
            <w:r w:rsidRPr="00C87EBA">
              <w:rPr>
                <w:rFonts w:ascii="Trebuchet MS" w:eastAsiaTheme="minorHAnsi" w:hAnsi="Trebuchet MS"/>
                <w:bCs/>
                <w:lang w:val="ro-RO"/>
              </w:rPr>
              <w:t>transport</w:t>
            </w:r>
            <w:r>
              <w:rPr>
                <w:rFonts w:ascii="Trebuchet MS" w:eastAsiaTheme="minorHAnsi" w:hAnsi="Trebuchet MS"/>
                <w:bCs/>
                <w:lang w:val="ro-RO"/>
              </w:rPr>
              <w:t>ul</w:t>
            </w:r>
            <w:r w:rsidRPr="00C87EBA">
              <w:rPr>
                <w:rFonts w:ascii="Trebuchet MS" w:eastAsiaTheme="minorHAnsi" w:hAnsi="Trebuchet MS"/>
                <w:bCs/>
                <w:lang w:val="ro-RO"/>
              </w:rPr>
              <w:t xml:space="preserve"> pentru deplasări interne</w:t>
            </w:r>
            <w:r>
              <w:rPr>
                <w:rFonts w:ascii="Trebuchet MS" w:eastAsiaTheme="minorHAnsi" w:hAnsi="Trebuchet MS"/>
                <w:bCs/>
                <w:lang w:val="ro-RO"/>
              </w:rPr>
              <w:t xml:space="preserve"> calculat pentru distanțe (km) mai mari față de ruta cea mai scurtă indicată </w:t>
            </w:r>
            <w:r w:rsidRPr="00C87EBA">
              <w:rPr>
                <w:rFonts w:ascii="Trebuchet MS" w:eastAsiaTheme="minorHAnsi" w:hAnsi="Trebuchet MS"/>
                <w:bCs/>
                <w:lang w:val="ro-RO"/>
              </w:rPr>
              <w:t>de site-ul distanțe.ro</w:t>
            </w:r>
            <w:r>
              <w:rPr>
                <w:rFonts w:ascii="Trebuchet MS" w:eastAsiaTheme="minorHAnsi" w:hAnsi="Trebuchet MS"/>
                <w:bCs/>
                <w:lang w:val="ro-RO"/>
              </w:rPr>
              <w:t xml:space="preserve">, solicitarea unor </w:t>
            </w:r>
            <w:r w:rsidRPr="00C87EBA">
              <w:rPr>
                <w:rFonts w:ascii="Trebuchet MS" w:eastAsiaTheme="minorHAnsi" w:hAnsi="Trebuchet MS"/>
                <w:bCs/>
                <w:lang w:val="ro-RO"/>
              </w:rPr>
              <w:t xml:space="preserve">cheltuieli </w:t>
            </w:r>
            <w:r>
              <w:rPr>
                <w:rFonts w:ascii="Trebuchet MS" w:eastAsiaTheme="minorHAnsi" w:hAnsi="Trebuchet MS"/>
                <w:bCs/>
                <w:lang w:val="ro-RO"/>
              </w:rPr>
              <w:t xml:space="preserve">cu </w:t>
            </w:r>
            <w:r w:rsidRPr="00C87EBA">
              <w:rPr>
                <w:rFonts w:ascii="Trebuchet MS" w:eastAsiaTheme="minorHAnsi" w:hAnsi="Trebuchet MS"/>
                <w:bCs/>
                <w:lang w:val="ro-RO"/>
              </w:rPr>
              <w:t>taxi</w:t>
            </w:r>
            <w:r>
              <w:rPr>
                <w:rFonts w:ascii="Trebuchet MS" w:eastAsiaTheme="minorHAnsi" w:hAnsi="Trebuchet MS"/>
                <w:bCs/>
                <w:lang w:val="ro-RO"/>
              </w:rPr>
              <w:t xml:space="preserve"> pentru transportul intern, nerespectarea prevederilor privind </w:t>
            </w:r>
            <w:r w:rsidRPr="003B405C">
              <w:rPr>
                <w:rFonts w:ascii="Trebuchet MS" w:eastAsiaTheme="minorHAnsi" w:hAnsi="Trebuchet MS"/>
                <w:bCs/>
                <w:lang w:val="ro-RO"/>
              </w:rPr>
              <w:t xml:space="preserve">clasificarea </w:t>
            </w:r>
            <w:r>
              <w:rPr>
                <w:rFonts w:ascii="Trebuchet MS" w:eastAsiaTheme="minorHAnsi" w:hAnsi="Trebuchet MS"/>
                <w:bCs/>
                <w:lang w:val="ro-RO"/>
              </w:rPr>
              <w:t>unităților de cazare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A6F58" w:rsidRDefault="003A6F58" w:rsidP="00A44EAD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A44EAD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399/2015, art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A44EAD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2(1)f)</w:t>
            </w:r>
          </w:p>
          <w:p w:rsidR="003A6F58" w:rsidRPr="00A44EAD" w:rsidRDefault="003A6F58" w:rsidP="00A44EAD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A44EAD">
              <w:rPr>
                <w:rFonts w:ascii="Trebuchet MS" w:eastAsiaTheme="minorHAnsi" w:hAnsi="Trebuchet MS"/>
                <w:bCs/>
                <w:color w:val="000000"/>
                <w:lang w:val="ro-RO"/>
              </w:rPr>
              <w:t>O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rdin MFP 1917/2005</w:t>
            </w:r>
          </w:p>
          <w:p w:rsidR="003A6F58" w:rsidRDefault="003A6F58" w:rsidP="00A44EAD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A44EAD">
              <w:rPr>
                <w:rFonts w:ascii="Trebuchet MS" w:eastAsiaTheme="minorHAnsi" w:hAnsi="Trebuchet MS"/>
                <w:bCs/>
                <w:color w:val="000000"/>
                <w:lang w:val="ro-RO"/>
              </w:rPr>
              <w:t>O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rdin MFP </w:t>
            </w:r>
            <w:r w:rsidRPr="00A44EAD">
              <w:rPr>
                <w:rFonts w:ascii="Trebuchet MS" w:eastAsiaTheme="minorHAnsi" w:hAnsi="Trebuchet MS"/>
                <w:bCs/>
                <w:color w:val="000000"/>
                <w:lang w:val="ro-RO"/>
              </w:rPr>
              <w:t>1802/2014</w:t>
            </w:r>
          </w:p>
          <w:p w:rsidR="003A6F58" w:rsidRPr="007F415F" w:rsidRDefault="003A6F58" w:rsidP="00A44EAD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5C3D7D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1860/2006</w:t>
            </w:r>
          </w:p>
        </w:tc>
      </w:tr>
      <w:tr w:rsidR="003A6F58" w:rsidTr="003A6F58">
        <w:trPr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vMerge/>
          </w:tcPr>
          <w:p w:rsidR="003A6F58" w:rsidRDefault="003A6F58" w:rsidP="008D7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Theme="minorHAnsi" w:hAnsi="Trebuchet MS"/>
                <w:b w:val="0"/>
                <w:bCs w:val="0"/>
                <w:color w:val="000000"/>
                <w:lang w:val="ro-RO"/>
              </w:rPr>
            </w:pPr>
          </w:p>
        </w:tc>
        <w:tc>
          <w:tcPr>
            <w:tcW w:w="1731" w:type="dxa"/>
            <w:vMerge/>
          </w:tcPr>
          <w:p w:rsidR="003A6F58" w:rsidRPr="00D73802" w:rsidRDefault="003A6F58" w:rsidP="008D740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:rsidR="003A6F58" w:rsidRDefault="003A6F58" w:rsidP="00A122C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A122C1">
              <w:rPr>
                <w:rFonts w:ascii="Trebuchet MS" w:eastAsiaTheme="minorHAnsi" w:hAnsi="Trebuchet MS"/>
                <w:bCs/>
                <w:color w:val="000000"/>
                <w:lang w:val="ro-RO"/>
              </w:rPr>
              <w:t>muncă prestată și plătită în zile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le de sărbătoare legală declarate</w:t>
            </w:r>
            <w:r w:rsidRPr="00A122C1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nelucrătoare</w:t>
            </w:r>
          </w:p>
          <w:p w:rsidR="003A6F58" w:rsidRDefault="003A6F58" w:rsidP="00703F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nerespectarea legislației naționale</w:t>
            </w:r>
            <w:r w:rsidRPr="00615194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privind acordarea claselor de salarizare</w:t>
            </w:r>
          </w:p>
          <w:p w:rsidR="003A6F58" w:rsidRDefault="003A6F58" w:rsidP="00703F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703F04">
              <w:rPr>
                <w:rFonts w:ascii="Trebuchet MS" w:eastAsiaTheme="minorHAnsi" w:hAnsi="Trebuchet MS"/>
                <w:bCs/>
                <w:color w:val="000000"/>
                <w:lang w:val="ro-RO"/>
              </w:rPr>
              <w:t>s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por salarial acordat pentru zile</w:t>
            </w:r>
            <w:r w:rsidRPr="00703F04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de concediu de odihnă</w:t>
            </w:r>
          </w:p>
          <w:p w:rsidR="003A6F58" w:rsidRPr="00703F04" w:rsidRDefault="003A6F58" w:rsidP="00703F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EA2D0B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îndemnizații 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neeligibile </w:t>
            </w:r>
            <w:r w:rsidRPr="00EA2D0B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pentru 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participarea ca membru în </w:t>
            </w:r>
            <w:r w:rsidRPr="00EA2D0B">
              <w:rPr>
                <w:rFonts w:ascii="Trebuchet MS" w:eastAsiaTheme="minorHAnsi" w:hAnsi="Trebuchet MS"/>
                <w:bCs/>
                <w:color w:val="000000"/>
                <w:lang w:val="ro-RO"/>
              </w:rPr>
              <w:t>comisii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le</w:t>
            </w:r>
            <w:r w:rsidRPr="00EA2D0B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de concurs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A6F58" w:rsidRPr="00A122C1" w:rsidRDefault="003A6F58" w:rsidP="00A122C1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A122C1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399/2015, art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A122C1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2(1)f)</w:t>
            </w:r>
          </w:p>
          <w:p w:rsidR="003A6F58" w:rsidRDefault="003A6F58" w:rsidP="00615194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A122C1">
              <w:rPr>
                <w:rFonts w:ascii="Trebuchet MS" w:eastAsiaTheme="minorHAnsi" w:hAnsi="Trebuchet MS"/>
                <w:bCs/>
                <w:color w:val="000000"/>
                <w:lang w:val="ro-RO"/>
              </w:rPr>
              <w:t>HG 139/2003, art</w:t>
            </w:r>
            <w:r>
              <w:rPr>
                <w:rFonts w:ascii="Trebuchet MS" w:eastAsiaTheme="minorHAnsi" w:hAnsi="Trebuchet MS"/>
                <w:bCs/>
                <w:color w:val="000000"/>
                <w:lang w:val="ro-RO"/>
              </w:rPr>
              <w:t>.</w:t>
            </w:r>
            <w:r w:rsidRPr="00A122C1">
              <w:rPr>
                <w:rFonts w:ascii="Trebuchet MS" w:eastAsiaTheme="minorHAnsi" w:hAnsi="Trebuchet MS"/>
                <w:bCs/>
                <w:color w:val="000000"/>
                <w:lang w:val="ro-RO"/>
              </w:rPr>
              <w:t xml:space="preserve"> 139 </w:t>
            </w:r>
          </w:p>
          <w:p w:rsidR="003A6F58" w:rsidRDefault="003A6F58" w:rsidP="00703F04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  <w:r w:rsidRPr="00DF35EA">
              <w:rPr>
                <w:rFonts w:ascii="Trebuchet MS" w:eastAsiaTheme="minorHAnsi" w:hAnsi="Trebuchet MS"/>
                <w:bCs/>
                <w:color w:val="000000"/>
                <w:lang w:val="ro-RO"/>
              </w:rPr>
              <w:t>Ordinul 77/2011</w:t>
            </w:r>
          </w:p>
          <w:p w:rsidR="003A6F58" w:rsidRPr="007F415F" w:rsidRDefault="003A6F58" w:rsidP="00615194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Theme="minorHAnsi" w:hAnsi="Trebuchet MS"/>
                <w:bCs/>
                <w:color w:val="000000"/>
                <w:lang w:val="ro-RO"/>
              </w:rPr>
            </w:pPr>
          </w:p>
        </w:tc>
      </w:tr>
    </w:tbl>
    <w:p w:rsidR="00D90281" w:rsidRDefault="00D90281" w:rsidP="003F5A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HAnsi" w:hAnsi="Trebuchet MS"/>
          <w:b/>
          <w:bCs/>
          <w:color w:val="000000"/>
          <w:lang w:val="ro-RO"/>
        </w:rPr>
      </w:pPr>
    </w:p>
    <w:p w:rsidR="00BE20FE" w:rsidRDefault="00BE20FE" w:rsidP="003F5A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HAnsi" w:hAnsi="Trebuchet MS"/>
          <w:b/>
          <w:bCs/>
          <w:color w:val="000000"/>
          <w:lang w:val="ro-RO"/>
        </w:rPr>
      </w:pPr>
    </w:p>
    <w:p w:rsidR="006D40E2" w:rsidRPr="008D56C5" w:rsidRDefault="006D40E2" w:rsidP="006D40E2">
      <w:pPr>
        <w:rPr>
          <w:rFonts w:ascii="Trebuchet MS" w:eastAsiaTheme="minorHAnsi" w:hAnsi="Trebuchet MS"/>
          <w:color w:val="000000"/>
          <w:lang w:val="ro-RO"/>
        </w:rPr>
      </w:pPr>
    </w:p>
    <w:sectPr w:rsidR="006D40E2" w:rsidRPr="008D56C5" w:rsidSect="003A6F58">
      <w:footerReference w:type="default" r:id="rId8"/>
      <w:pgSz w:w="12240" w:h="15840"/>
      <w:pgMar w:top="1440" w:right="1440" w:bottom="1440" w:left="1440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CE7" w:rsidRDefault="00B14CE7" w:rsidP="00EB0E33">
      <w:pPr>
        <w:spacing w:after="0" w:line="240" w:lineRule="auto"/>
      </w:pPr>
      <w:r>
        <w:separator/>
      </w:r>
    </w:p>
  </w:endnote>
  <w:endnote w:type="continuationSeparator" w:id="0">
    <w:p w:rsidR="00B14CE7" w:rsidRDefault="00B14CE7" w:rsidP="00EB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2237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5151" w:rsidRDefault="00F351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200">
          <w:rPr>
            <w:noProof/>
          </w:rPr>
          <w:t>1</w:t>
        </w:r>
        <w:r>
          <w:rPr>
            <w:noProof/>
          </w:rPr>
          <w:fldChar w:fldCharType="end"/>
        </w:r>
        <w:r w:rsidR="00915D41">
          <w:rPr>
            <w:noProof/>
          </w:rPr>
          <w:t>/7</w:t>
        </w:r>
      </w:p>
    </w:sdtContent>
  </w:sdt>
  <w:p w:rsidR="00F35151" w:rsidRDefault="00F3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CE7" w:rsidRDefault="00B14CE7" w:rsidP="00EB0E33">
      <w:pPr>
        <w:spacing w:after="0" w:line="240" w:lineRule="auto"/>
      </w:pPr>
      <w:r>
        <w:separator/>
      </w:r>
    </w:p>
  </w:footnote>
  <w:footnote w:type="continuationSeparator" w:id="0">
    <w:p w:rsidR="00B14CE7" w:rsidRDefault="00B14CE7" w:rsidP="00EB0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717E"/>
    <w:multiLevelType w:val="hybridMultilevel"/>
    <w:tmpl w:val="826CE4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26B0"/>
    <w:multiLevelType w:val="hybridMultilevel"/>
    <w:tmpl w:val="E6029B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26A0F"/>
    <w:multiLevelType w:val="hybridMultilevel"/>
    <w:tmpl w:val="26DAD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30F"/>
    <w:multiLevelType w:val="hybridMultilevel"/>
    <w:tmpl w:val="6DBA05A8"/>
    <w:lvl w:ilvl="0" w:tplc="09CC39A2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970D8"/>
    <w:multiLevelType w:val="hybridMultilevel"/>
    <w:tmpl w:val="CCF6A338"/>
    <w:lvl w:ilvl="0" w:tplc="040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4FEB32E7"/>
    <w:multiLevelType w:val="hybridMultilevel"/>
    <w:tmpl w:val="3210F2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C749B"/>
    <w:multiLevelType w:val="hybridMultilevel"/>
    <w:tmpl w:val="D75448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43946"/>
    <w:multiLevelType w:val="hybridMultilevel"/>
    <w:tmpl w:val="94504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BE"/>
    <w:rsid w:val="00005631"/>
    <w:rsid w:val="00005EF7"/>
    <w:rsid w:val="00016447"/>
    <w:rsid w:val="0001708C"/>
    <w:rsid w:val="00017AE4"/>
    <w:rsid w:val="00017D1C"/>
    <w:rsid w:val="000204B1"/>
    <w:rsid w:val="00022399"/>
    <w:rsid w:val="0002650A"/>
    <w:rsid w:val="00027A09"/>
    <w:rsid w:val="00030DBA"/>
    <w:rsid w:val="000328CE"/>
    <w:rsid w:val="00035809"/>
    <w:rsid w:val="0004027F"/>
    <w:rsid w:val="00040B2D"/>
    <w:rsid w:val="00044751"/>
    <w:rsid w:val="00044EF5"/>
    <w:rsid w:val="00045229"/>
    <w:rsid w:val="0004675B"/>
    <w:rsid w:val="000477D2"/>
    <w:rsid w:val="00050122"/>
    <w:rsid w:val="0005448E"/>
    <w:rsid w:val="000554DE"/>
    <w:rsid w:val="00060881"/>
    <w:rsid w:val="00061ECA"/>
    <w:rsid w:val="00063104"/>
    <w:rsid w:val="00065237"/>
    <w:rsid w:val="0006562B"/>
    <w:rsid w:val="0006576D"/>
    <w:rsid w:val="000660B1"/>
    <w:rsid w:val="00066436"/>
    <w:rsid w:val="00067274"/>
    <w:rsid w:val="00067CC4"/>
    <w:rsid w:val="00073992"/>
    <w:rsid w:val="000739E3"/>
    <w:rsid w:val="00076572"/>
    <w:rsid w:val="000826B5"/>
    <w:rsid w:val="000832F2"/>
    <w:rsid w:val="000841FE"/>
    <w:rsid w:val="00084800"/>
    <w:rsid w:val="00084C63"/>
    <w:rsid w:val="000852BD"/>
    <w:rsid w:val="00085B1A"/>
    <w:rsid w:val="00085EA5"/>
    <w:rsid w:val="000920BC"/>
    <w:rsid w:val="0009308A"/>
    <w:rsid w:val="000933D3"/>
    <w:rsid w:val="000937A3"/>
    <w:rsid w:val="00096849"/>
    <w:rsid w:val="00096F62"/>
    <w:rsid w:val="0009746B"/>
    <w:rsid w:val="000A4EC7"/>
    <w:rsid w:val="000B1054"/>
    <w:rsid w:val="000B2EED"/>
    <w:rsid w:val="000B3C40"/>
    <w:rsid w:val="000B5C4E"/>
    <w:rsid w:val="000B6A61"/>
    <w:rsid w:val="000C1414"/>
    <w:rsid w:val="000C5B12"/>
    <w:rsid w:val="000C7D7F"/>
    <w:rsid w:val="000D13A2"/>
    <w:rsid w:val="000D16B4"/>
    <w:rsid w:val="000D2C3B"/>
    <w:rsid w:val="000D41D6"/>
    <w:rsid w:val="000D5166"/>
    <w:rsid w:val="000D5772"/>
    <w:rsid w:val="000D5CDE"/>
    <w:rsid w:val="000D6AE1"/>
    <w:rsid w:val="000D7E76"/>
    <w:rsid w:val="000E0656"/>
    <w:rsid w:val="000E1BAB"/>
    <w:rsid w:val="000E35B9"/>
    <w:rsid w:val="000E37B7"/>
    <w:rsid w:val="000E5921"/>
    <w:rsid w:val="000E626A"/>
    <w:rsid w:val="000E6454"/>
    <w:rsid w:val="000F1708"/>
    <w:rsid w:val="000F2FBC"/>
    <w:rsid w:val="000F34E0"/>
    <w:rsid w:val="000F443C"/>
    <w:rsid w:val="000F49A6"/>
    <w:rsid w:val="000F4BA2"/>
    <w:rsid w:val="000F5461"/>
    <w:rsid w:val="000F5EB9"/>
    <w:rsid w:val="000F7673"/>
    <w:rsid w:val="00101DBC"/>
    <w:rsid w:val="00104F5E"/>
    <w:rsid w:val="00112A1F"/>
    <w:rsid w:val="00112EC6"/>
    <w:rsid w:val="001165D3"/>
    <w:rsid w:val="0011727A"/>
    <w:rsid w:val="00120DD6"/>
    <w:rsid w:val="00122830"/>
    <w:rsid w:val="00123031"/>
    <w:rsid w:val="00125CF0"/>
    <w:rsid w:val="00126BBF"/>
    <w:rsid w:val="00127FDE"/>
    <w:rsid w:val="001346D7"/>
    <w:rsid w:val="001368FB"/>
    <w:rsid w:val="00140711"/>
    <w:rsid w:val="001412C2"/>
    <w:rsid w:val="00144DB9"/>
    <w:rsid w:val="00145244"/>
    <w:rsid w:val="00145799"/>
    <w:rsid w:val="00145C60"/>
    <w:rsid w:val="00153066"/>
    <w:rsid w:val="0015345F"/>
    <w:rsid w:val="0015529A"/>
    <w:rsid w:val="00156BB7"/>
    <w:rsid w:val="001652EE"/>
    <w:rsid w:val="00166A72"/>
    <w:rsid w:val="00167536"/>
    <w:rsid w:val="00170AA4"/>
    <w:rsid w:val="00171240"/>
    <w:rsid w:val="00172E98"/>
    <w:rsid w:val="00174118"/>
    <w:rsid w:val="0017446B"/>
    <w:rsid w:val="00180868"/>
    <w:rsid w:val="001821CC"/>
    <w:rsid w:val="001913CF"/>
    <w:rsid w:val="00193393"/>
    <w:rsid w:val="00193B03"/>
    <w:rsid w:val="00193B8F"/>
    <w:rsid w:val="0019630E"/>
    <w:rsid w:val="001A148E"/>
    <w:rsid w:val="001A3ACE"/>
    <w:rsid w:val="001A44FA"/>
    <w:rsid w:val="001A6602"/>
    <w:rsid w:val="001A76A1"/>
    <w:rsid w:val="001B0F7B"/>
    <w:rsid w:val="001B31B5"/>
    <w:rsid w:val="001B526A"/>
    <w:rsid w:val="001B5FFB"/>
    <w:rsid w:val="001B6BA7"/>
    <w:rsid w:val="001B7D41"/>
    <w:rsid w:val="001C2A54"/>
    <w:rsid w:val="001C3B68"/>
    <w:rsid w:val="001C4795"/>
    <w:rsid w:val="001C509B"/>
    <w:rsid w:val="001C54B3"/>
    <w:rsid w:val="001C584F"/>
    <w:rsid w:val="001C7EFF"/>
    <w:rsid w:val="001D069A"/>
    <w:rsid w:val="001D1E32"/>
    <w:rsid w:val="001D3E8C"/>
    <w:rsid w:val="001D44F6"/>
    <w:rsid w:val="001D4F8A"/>
    <w:rsid w:val="001D5D4A"/>
    <w:rsid w:val="001E0C1F"/>
    <w:rsid w:val="001E334A"/>
    <w:rsid w:val="001E5229"/>
    <w:rsid w:val="001E797F"/>
    <w:rsid w:val="001E7EB9"/>
    <w:rsid w:val="001F0ED7"/>
    <w:rsid w:val="001F11D5"/>
    <w:rsid w:val="001F27C2"/>
    <w:rsid w:val="001F4150"/>
    <w:rsid w:val="001F4687"/>
    <w:rsid w:val="001F6588"/>
    <w:rsid w:val="001F67D2"/>
    <w:rsid w:val="001F68BC"/>
    <w:rsid w:val="0020276C"/>
    <w:rsid w:val="00204E0B"/>
    <w:rsid w:val="002053DF"/>
    <w:rsid w:val="002115E9"/>
    <w:rsid w:val="00211D06"/>
    <w:rsid w:val="00211FFC"/>
    <w:rsid w:val="002158BE"/>
    <w:rsid w:val="00217777"/>
    <w:rsid w:val="00221F79"/>
    <w:rsid w:val="002272A5"/>
    <w:rsid w:val="00232F10"/>
    <w:rsid w:val="002332B5"/>
    <w:rsid w:val="00234279"/>
    <w:rsid w:val="00236B8A"/>
    <w:rsid w:val="00237320"/>
    <w:rsid w:val="0024052A"/>
    <w:rsid w:val="002412AA"/>
    <w:rsid w:val="00241E81"/>
    <w:rsid w:val="0024204C"/>
    <w:rsid w:val="002438E5"/>
    <w:rsid w:val="002462BE"/>
    <w:rsid w:val="0025179E"/>
    <w:rsid w:val="00251ACD"/>
    <w:rsid w:val="00252ADF"/>
    <w:rsid w:val="00252EB0"/>
    <w:rsid w:val="0025336A"/>
    <w:rsid w:val="00256439"/>
    <w:rsid w:val="00257F8E"/>
    <w:rsid w:val="002634F6"/>
    <w:rsid w:val="00266E6D"/>
    <w:rsid w:val="00267F3C"/>
    <w:rsid w:val="0027125E"/>
    <w:rsid w:val="0027232D"/>
    <w:rsid w:val="00274A06"/>
    <w:rsid w:val="00275B1F"/>
    <w:rsid w:val="00281A11"/>
    <w:rsid w:val="002820C0"/>
    <w:rsid w:val="00283358"/>
    <w:rsid w:val="002837DD"/>
    <w:rsid w:val="00283E25"/>
    <w:rsid w:val="002844FF"/>
    <w:rsid w:val="00284912"/>
    <w:rsid w:val="00285FB7"/>
    <w:rsid w:val="00290D84"/>
    <w:rsid w:val="0029582C"/>
    <w:rsid w:val="002975AB"/>
    <w:rsid w:val="002A0806"/>
    <w:rsid w:val="002A3CCD"/>
    <w:rsid w:val="002A69F6"/>
    <w:rsid w:val="002B0D70"/>
    <w:rsid w:val="002B2754"/>
    <w:rsid w:val="002B2CCD"/>
    <w:rsid w:val="002B54D2"/>
    <w:rsid w:val="002B56A7"/>
    <w:rsid w:val="002B7218"/>
    <w:rsid w:val="002C22BB"/>
    <w:rsid w:val="002C3EFE"/>
    <w:rsid w:val="002C6CA0"/>
    <w:rsid w:val="002C6FB3"/>
    <w:rsid w:val="002C7ACB"/>
    <w:rsid w:val="002C7C1B"/>
    <w:rsid w:val="002D397E"/>
    <w:rsid w:val="002D3DC1"/>
    <w:rsid w:val="002D5BB5"/>
    <w:rsid w:val="002D5C5F"/>
    <w:rsid w:val="002E1258"/>
    <w:rsid w:val="002E20EC"/>
    <w:rsid w:val="002E2BA5"/>
    <w:rsid w:val="002E412E"/>
    <w:rsid w:val="002E4996"/>
    <w:rsid w:val="002E5128"/>
    <w:rsid w:val="002F1FE1"/>
    <w:rsid w:val="002F21CF"/>
    <w:rsid w:val="002F3B08"/>
    <w:rsid w:val="002F44B7"/>
    <w:rsid w:val="00300A23"/>
    <w:rsid w:val="00305D87"/>
    <w:rsid w:val="00307050"/>
    <w:rsid w:val="00307687"/>
    <w:rsid w:val="00307A1B"/>
    <w:rsid w:val="00307C22"/>
    <w:rsid w:val="00307D17"/>
    <w:rsid w:val="00307E32"/>
    <w:rsid w:val="003100A8"/>
    <w:rsid w:val="00312598"/>
    <w:rsid w:val="0031341D"/>
    <w:rsid w:val="00314252"/>
    <w:rsid w:val="0031582A"/>
    <w:rsid w:val="00316BDD"/>
    <w:rsid w:val="003210D2"/>
    <w:rsid w:val="00322A98"/>
    <w:rsid w:val="00326C26"/>
    <w:rsid w:val="00332E91"/>
    <w:rsid w:val="00333711"/>
    <w:rsid w:val="00333DCB"/>
    <w:rsid w:val="00336B66"/>
    <w:rsid w:val="00336C74"/>
    <w:rsid w:val="00337D2A"/>
    <w:rsid w:val="00341ADB"/>
    <w:rsid w:val="0034299D"/>
    <w:rsid w:val="003429A1"/>
    <w:rsid w:val="00342A86"/>
    <w:rsid w:val="00344A75"/>
    <w:rsid w:val="00345C57"/>
    <w:rsid w:val="003472DC"/>
    <w:rsid w:val="00350A7A"/>
    <w:rsid w:val="00354E1E"/>
    <w:rsid w:val="003555AA"/>
    <w:rsid w:val="00356D0B"/>
    <w:rsid w:val="003570FE"/>
    <w:rsid w:val="00357A98"/>
    <w:rsid w:val="0036181F"/>
    <w:rsid w:val="00362D90"/>
    <w:rsid w:val="00370F68"/>
    <w:rsid w:val="0037552D"/>
    <w:rsid w:val="003809A2"/>
    <w:rsid w:val="00381BA8"/>
    <w:rsid w:val="00382389"/>
    <w:rsid w:val="0038564F"/>
    <w:rsid w:val="00385727"/>
    <w:rsid w:val="00387B81"/>
    <w:rsid w:val="00391A6F"/>
    <w:rsid w:val="00392EE3"/>
    <w:rsid w:val="003931F6"/>
    <w:rsid w:val="00394262"/>
    <w:rsid w:val="003A031D"/>
    <w:rsid w:val="003A22E8"/>
    <w:rsid w:val="003A30C0"/>
    <w:rsid w:val="003A4426"/>
    <w:rsid w:val="003A4872"/>
    <w:rsid w:val="003A4BF0"/>
    <w:rsid w:val="003A6F58"/>
    <w:rsid w:val="003B0D27"/>
    <w:rsid w:val="003B1A89"/>
    <w:rsid w:val="003B2023"/>
    <w:rsid w:val="003B2502"/>
    <w:rsid w:val="003B405C"/>
    <w:rsid w:val="003C3224"/>
    <w:rsid w:val="003C4DCF"/>
    <w:rsid w:val="003C50DB"/>
    <w:rsid w:val="003C6776"/>
    <w:rsid w:val="003D0E04"/>
    <w:rsid w:val="003D26F9"/>
    <w:rsid w:val="003D36FA"/>
    <w:rsid w:val="003D56B1"/>
    <w:rsid w:val="003D622D"/>
    <w:rsid w:val="003E1BE6"/>
    <w:rsid w:val="003E248C"/>
    <w:rsid w:val="003E575B"/>
    <w:rsid w:val="003E6529"/>
    <w:rsid w:val="003E7AE0"/>
    <w:rsid w:val="003F01B5"/>
    <w:rsid w:val="003F1CF0"/>
    <w:rsid w:val="003F5AF2"/>
    <w:rsid w:val="003F711D"/>
    <w:rsid w:val="00400B24"/>
    <w:rsid w:val="00402E9E"/>
    <w:rsid w:val="00403084"/>
    <w:rsid w:val="00404066"/>
    <w:rsid w:val="00404745"/>
    <w:rsid w:val="0040620A"/>
    <w:rsid w:val="00407AEC"/>
    <w:rsid w:val="00410652"/>
    <w:rsid w:val="004122BA"/>
    <w:rsid w:val="004136FB"/>
    <w:rsid w:val="004141EC"/>
    <w:rsid w:val="00422A1F"/>
    <w:rsid w:val="00424115"/>
    <w:rsid w:val="00424192"/>
    <w:rsid w:val="00424A55"/>
    <w:rsid w:val="004251F0"/>
    <w:rsid w:val="0042585C"/>
    <w:rsid w:val="0042587A"/>
    <w:rsid w:val="00426E03"/>
    <w:rsid w:val="004304EC"/>
    <w:rsid w:val="004316B7"/>
    <w:rsid w:val="004328AE"/>
    <w:rsid w:val="00433A54"/>
    <w:rsid w:val="00441CDA"/>
    <w:rsid w:val="00441D32"/>
    <w:rsid w:val="00444232"/>
    <w:rsid w:val="0044434E"/>
    <w:rsid w:val="00444E8B"/>
    <w:rsid w:val="0044509F"/>
    <w:rsid w:val="00446324"/>
    <w:rsid w:val="00451F8C"/>
    <w:rsid w:val="00454D43"/>
    <w:rsid w:val="00455538"/>
    <w:rsid w:val="00456A14"/>
    <w:rsid w:val="00460905"/>
    <w:rsid w:val="00465ED3"/>
    <w:rsid w:val="00466293"/>
    <w:rsid w:val="004662D2"/>
    <w:rsid w:val="0046749E"/>
    <w:rsid w:val="00472F93"/>
    <w:rsid w:val="00473CB7"/>
    <w:rsid w:val="004746BE"/>
    <w:rsid w:val="00474A8E"/>
    <w:rsid w:val="00474E00"/>
    <w:rsid w:val="00474E53"/>
    <w:rsid w:val="00474EE6"/>
    <w:rsid w:val="00475263"/>
    <w:rsid w:val="00476C37"/>
    <w:rsid w:val="004815B8"/>
    <w:rsid w:val="00482AE4"/>
    <w:rsid w:val="004840FD"/>
    <w:rsid w:val="00485342"/>
    <w:rsid w:val="00485979"/>
    <w:rsid w:val="00485DAA"/>
    <w:rsid w:val="00490B2D"/>
    <w:rsid w:val="00490D8A"/>
    <w:rsid w:val="00491DD4"/>
    <w:rsid w:val="00491E22"/>
    <w:rsid w:val="0049246E"/>
    <w:rsid w:val="00493D9E"/>
    <w:rsid w:val="00493F43"/>
    <w:rsid w:val="00495C48"/>
    <w:rsid w:val="00496138"/>
    <w:rsid w:val="00496928"/>
    <w:rsid w:val="004A13BE"/>
    <w:rsid w:val="004A3C09"/>
    <w:rsid w:val="004A4F9A"/>
    <w:rsid w:val="004A55DC"/>
    <w:rsid w:val="004A7CC5"/>
    <w:rsid w:val="004B04BB"/>
    <w:rsid w:val="004B201C"/>
    <w:rsid w:val="004B2065"/>
    <w:rsid w:val="004B3B4D"/>
    <w:rsid w:val="004B4089"/>
    <w:rsid w:val="004B4200"/>
    <w:rsid w:val="004B47F6"/>
    <w:rsid w:val="004B6A6A"/>
    <w:rsid w:val="004B6B44"/>
    <w:rsid w:val="004B7254"/>
    <w:rsid w:val="004C057A"/>
    <w:rsid w:val="004C380F"/>
    <w:rsid w:val="004C4DBA"/>
    <w:rsid w:val="004C535F"/>
    <w:rsid w:val="004C70E7"/>
    <w:rsid w:val="004C7D85"/>
    <w:rsid w:val="004C7EA5"/>
    <w:rsid w:val="004D216C"/>
    <w:rsid w:val="004D5179"/>
    <w:rsid w:val="004D553F"/>
    <w:rsid w:val="004D6513"/>
    <w:rsid w:val="004D6E1B"/>
    <w:rsid w:val="004E0BA1"/>
    <w:rsid w:val="004E1D16"/>
    <w:rsid w:val="004E1DEB"/>
    <w:rsid w:val="004E2B50"/>
    <w:rsid w:val="004E30B3"/>
    <w:rsid w:val="004E4EAB"/>
    <w:rsid w:val="004E61EE"/>
    <w:rsid w:val="004E7D0B"/>
    <w:rsid w:val="004F0A53"/>
    <w:rsid w:val="004F24E9"/>
    <w:rsid w:val="004F32EB"/>
    <w:rsid w:val="004F69F5"/>
    <w:rsid w:val="004F7343"/>
    <w:rsid w:val="004F7E27"/>
    <w:rsid w:val="00501E49"/>
    <w:rsid w:val="005110B6"/>
    <w:rsid w:val="00512ED2"/>
    <w:rsid w:val="00514BFE"/>
    <w:rsid w:val="00515DD5"/>
    <w:rsid w:val="00516FCD"/>
    <w:rsid w:val="00520D4A"/>
    <w:rsid w:val="00520FA6"/>
    <w:rsid w:val="00523EEB"/>
    <w:rsid w:val="0052512D"/>
    <w:rsid w:val="00525AA6"/>
    <w:rsid w:val="00525B1A"/>
    <w:rsid w:val="00531540"/>
    <w:rsid w:val="00532687"/>
    <w:rsid w:val="0053296D"/>
    <w:rsid w:val="00537595"/>
    <w:rsid w:val="005379A0"/>
    <w:rsid w:val="00541F32"/>
    <w:rsid w:val="00542521"/>
    <w:rsid w:val="00542780"/>
    <w:rsid w:val="00544821"/>
    <w:rsid w:val="00545237"/>
    <w:rsid w:val="00545BFC"/>
    <w:rsid w:val="005510E7"/>
    <w:rsid w:val="005518B6"/>
    <w:rsid w:val="00552A97"/>
    <w:rsid w:val="00554917"/>
    <w:rsid w:val="00554EDB"/>
    <w:rsid w:val="00556F97"/>
    <w:rsid w:val="00563516"/>
    <w:rsid w:val="00564496"/>
    <w:rsid w:val="0056495A"/>
    <w:rsid w:val="00571263"/>
    <w:rsid w:val="00572EF1"/>
    <w:rsid w:val="00573DF1"/>
    <w:rsid w:val="00575C6C"/>
    <w:rsid w:val="00576760"/>
    <w:rsid w:val="00577075"/>
    <w:rsid w:val="00580219"/>
    <w:rsid w:val="00583B72"/>
    <w:rsid w:val="005850B5"/>
    <w:rsid w:val="00585E7A"/>
    <w:rsid w:val="00587B77"/>
    <w:rsid w:val="0059295B"/>
    <w:rsid w:val="00593DDC"/>
    <w:rsid w:val="00595786"/>
    <w:rsid w:val="005957BC"/>
    <w:rsid w:val="005973AB"/>
    <w:rsid w:val="00597655"/>
    <w:rsid w:val="005A05DB"/>
    <w:rsid w:val="005A0886"/>
    <w:rsid w:val="005A0C5F"/>
    <w:rsid w:val="005A1680"/>
    <w:rsid w:val="005A67F4"/>
    <w:rsid w:val="005B1618"/>
    <w:rsid w:val="005B36FC"/>
    <w:rsid w:val="005B4D60"/>
    <w:rsid w:val="005C1375"/>
    <w:rsid w:val="005C2440"/>
    <w:rsid w:val="005C2D1E"/>
    <w:rsid w:val="005C3D7D"/>
    <w:rsid w:val="005C487E"/>
    <w:rsid w:val="005C6FC7"/>
    <w:rsid w:val="005C72E7"/>
    <w:rsid w:val="005D2072"/>
    <w:rsid w:val="005D243A"/>
    <w:rsid w:val="005D2EFB"/>
    <w:rsid w:val="005D4927"/>
    <w:rsid w:val="005D50BB"/>
    <w:rsid w:val="005D6E92"/>
    <w:rsid w:val="005E081C"/>
    <w:rsid w:val="005E1D6E"/>
    <w:rsid w:val="005E2E4D"/>
    <w:rsid w:val="005E2EEF"/>
    <w:rsid w:val="005E4340"/>
    <w:rsid w:val="005E6905"/>
    <w:rsid w:val="005E6F0F"/>
    <w:rsid w:val="005F100B"/>
    <w:rsid w:val="005F2223"/>
    <w:rsid w:val="005F71C3"/>
    <w:rsid w:val="005F7606"/>
    <w:rsid w:val="005F7EDA"/>
    <w:rsid w:val="00601E94"/>
    <w:rsid w:val="00602E01"/>
    <w:rsid w:val="00602FF3"/>
    <w:rsid w:val="00607BB0"/>
    <w:rsid w:val="00612C17"/>
    <w:rsid w:val="0061326A"/>
    <w:rsid w:val="00615194"/>
    <w:rsid w:val="00616DA3"/>
    <w:rsid w:val="00622FB1"/>
    <w:rsid w:val="00625163"/>
    <w:rsid w:val="00627816"/>
    <w:rsid w:val="00627CFA"/>
    <w:rsid w:val="00631F50"/>
    <w:rsid w:val="006326B0"/>
    <w:rsid w:val="00632B43"/>
    <w:rsid w:val="00633C2B"/>
    <w:rsid w:val="00634835"/>
    <w:rsid w:val="0063559E"/>
    <w:rsid w:val="00636647"/>
    <w:rsid w:val="006370B8"/>
    <w:rsid w:val="006409CC"/>
    <w:rsid w:val="00642BAF"/>
    <w:rsid w:val="0064376E"/>
    <w:rsid w:val="00644016"/>
    <w:rsid w:val="0064526F"/>
    <w:rsid w:val="006470B5"/>
    <w:rsid w:val="00651BDC"/>
    <w:rsid w:val="00653029"/>
    <w:rsid w:val="00653CF8"/>
    <w:rsid w:val="00653F10"/>
    <w:rsid w:val="00660428"/>
    <w:rsid w:val="00665DED"/>
    <w:rsid w:val="006665D2"/>
    <w:rsid w:val="006666B6"/>
    <w:rsid w:val="00670DD2"/>
    <w:rsid w:val="00672F55"/>
    <w:rsid w:val="00676ECD"/>
    <w:rsid w:val="0067735C"/>
    <w:rsid w:val="00677833"/>
    <w:rsid w:val="0068032A"/>
    <w:rsid w:val="00681170"/>
    <w:rsid w:val="00684103"/>
    <w:rsid w:val="006845B4"/>
    <w:rsid w:val="00684F97"/>
    <w:rsid w:val="00687D62"/>
    <w:rsid w:val="00690BD6"/>
    <w:rsid w:val="006926FE"/>
    <w:rsid w:val="0069384C"/>
    <w:rsid w:val="006939A4"/>
    <w:rsid w:val="00695AEF"/>
    <w:rsid w:val="00696447"/>
    <w:rsid w:val="006A4B13"/>
    <w:rsid w:val="006A553A"/>
    <w:rsid w:val="006A61E4"/>
    <w:rsid w:val="006A6522"/>
    <w:rsid w:val="006B00B8"/>
    <w:rsid w:val="006B2D36"/>
    <w:rsid w:val="006B49DA"/>
    <w:rsid w:val="006B66D6"/>
    <w:rsid w:val="006B7EB9"/>
    <w:rsid w:val="006C4842"/>
    <w:rsid w:val="006D3625"/>
    <w:rsid w:val="006D40E2"/>
    <w:rsid w:val="006D481E"/>
    <w:rsid w:val="006D6EB8"/>
    <w:rsid w:val="006D74CF"/>
    <w:rsid w:val="006E1F57"/>
    <w:rsid w:val="006E2801"/>
    <w:rsid w:val="006E35F4"/>
    <w:rsid w:val="006E53CF"/>
    <w:rsid w:val="006E649A"/>
    <w:rsid w:val="006E68A0"/>
    <w:rsid w:val="006F2309"/>
    <w:rsid w:val="006F23D1"/>
    <w:rsid w:val="006F5B94"/>
    <w:rsid w:val="006F6A82"/>
    <w:rsid w:val="006F6E1B"/>
    <w:rsid w:val="007002F1"/>
    <w:rsid w:val="00700A78"/>
    <w:rsid w:val="00701C2D"/>
    <w:rsid w:val="00703F04"/>
    <w:rsid w:val="00703F1D"/>
    <w:rsid w:val="0071280C"/>
    <w:rsid w:val="0071370D"/>
    <w:rsid w:val="0071663B"/>
    <w:rsid w:val="007204F3"/>
    <w:rsid w:val="00720AB9"/>
    <w:rsid w:val="00721C4C"/>
    <w:rsid w:val="007227EB"/>
    <w:rsid w:val="00724261"/>
    <w:rsid w:val="0072625F"/>
    <w:rsid w:val="007321D4"/>
    <w:rsid w:val="0073296D"/>
    <w:rsid w:val="007340D7"/>
    <w:rsid w:val="00734349"/>
    <w:rsid w:val="007344B7"/>
    <w:rsid w:val="00736150"/>
    <w:rsid w:val="00740E32"/>
    <w:rsid w:val="00742764"/>
    <w:rsid w:val="00742799"/>
    <w:rsid w:val="00743999"/>
    <w:rsid w:val="00747591"/>
    <w:rsid w:val="00751217"/>
    <w:rsid w:val="00751596"/>
    <w:rsid w:val="00753981"/>
    <w:rsid w:val="00753FB0"/>
    <w:rsid w:val="0075406D"/>
    <w:rsid w:val="00755F97"/>
    <w:rsid w:val="0075663A"/>
    <w:rsid w:val="00756F69"/>
    <w:rsid w:val="00760694"/>
    <w:rsid w:val="0076160D"/>
    <w:rsid w:val="00761B2C"/>
    <w:rsid w:val="00763081"/>
    <w:rsid w:val="007674E1"/>
    <w:rsid w:val="00770A8E"/>
    <w:rsid w:val="00772B9F"/>
    <w:rsid w:val="00773C72"/>
    <w:rsid w:val="00774C63"/>
    <w:rsid w:val="00775E0A"/>
    <w:rsid w:val="0077692A"/>
    <w:rsid w:val="00776994"/>
    <w:rsid w:val="00776FB1"/>
    <w:rsid w:val="00777A69"/>
    <w:rsid w:val="007805B8"/>
    <w:rsid w:val="007811D5"/>
    <w:rsid w:val="0078354D"/>
    <w:rsid w:val="0078519A"/>
    <w:rsid w:val="00785EFE"/>
    <w:rsid w:val="00786EA4"/>
    <w:rsid w:val="00787EE8"/>
    <w:rsid w:val="0079250C"/>
    <w:rsid w:val="00794680"/>
    <w:rsid w:val="00794F0C"/>
    <w:rsid w:val="00795DC9"/>
    <w:rsid w:val="00795E1C"/>
    <w:rsid w:val="00796191"/>
    <w:rsid w:val="00797493"/>
    <w:rsid w:val="007A035E"/>
    <w:rsid w:val="007A1AA7"/>
    <w:rsid w:val="007A1E23"/>
    <w:rsid w:val="007A227D"/>
    <w:rsid w:val="007A56C7"/>
    <w:rsid w:val="007A705A"/>
    <w:rsid w:val="007B0215"/>
    <w:rsid w:val="007B05E9"/>
    <w:rsid w:val="007B0CC9"/>
    <w:rsid w:val="007B0F66"/>
    <w:rsid w:val="007B1A80"/>
    <w:rsid w:val="007B2617"/>
    <w:rsid w:val="007B4F82"/>
    <w:rsid w:val="007C0407"/>
    <w:rsid w:val="007C2873"/>
    <w:rsid w:val="007C32D4"/>
    <w:rsid w:val="007C4F07"/>
    <w:rsid w:val="007C561D"/>
    <w:rsid w:val="007C7397"/>
    <w:rsid w:val="007C7CFF"/>
    <w:rsid w:val="007D532B"/>
    <w:rsid w:val="007D54C9"/>
    <w:rsid w:val="007E0194"/>
    <w:rsid w:val="007E36E2"/>
    <w:rsid w:val="007E39D8"/>
    <w:rsid w:val="007E3D31"/>
    <w:rsid w:val="007E3E17"/>
    <w:rsid w:val="007F05B6"/>
    <w:rsid w:val="007F0669"/>
    <w:rsid w:val="007F26B5"/>
    <w:rsid w:val="007F28B3"/>
    <w:rsid w:val="007F415F"/>
    <w:rsid w:val="007F4343"/>
    <w:rsid w:val="007F76BC"/>
    <w:rsid w:val="007F79FA"/>
    <w:rsid w:val="007F7ECB"/>
    <w:rsid w:val="00801DE2"/>
    <w:rsid w:val="00804276"/>
    <w:rsid w:val="00807137"/>
    <w:rsid w:val="00807D54"/>
    <w:rsid w:val="00812FC9"/>
    <w:rsid w:val="00814DC9"/>
    <w:rsid w:val="0082030F"/>
    <w:rsid w:val="00821321"/>
    <w:rsid w:val="00821396"/>
    <w:rsid w:val="00822150"/>
    <w:rsid w:val="008224BC"/>
    <w:rsid w:val="00822F6C"/>
    <w:rsid w:val="00823600"/>
    <w:rsid w:val="00824337"/>
    <w:rsid w:val="00824889"/>
    <w:rsid w:val="00825D6F"/>
    <w:rsid w:val="00826AB9"/>
    <w:rsid w:val="008316FA"/>
    <w:rsid w:val="00834485"/>
    <w:rsid w:val="0083480D"/>
    <w:rsid w:val="00840A5C"/>
    <w:rsid w:val="008415BE"/>
    <w:rsid w:val="00847D03"/>
    <w:rsid w:val="0085094C"/>
    <w:rsid w:val="008518D8"/>
    <w:rsid w:val="00852F40"/>
    <w:rsid w:val="0085396A"/>
    <w:rsid w:val="0085480B"/>
    <w:rsid w:val="008608F3"/>
    <w:rsid w:val="00861527"/>
    <w:rsid w:val="00862446"/>
    <w:rsid w:val="0086250C"/>
    <w:rsid w:val="00865751"/>
    <w:rsid w:val="00865A0D"/>
    <w:rsid w:val="008669F1"/>
    <w:rsid w:val="00866BA2"/>
    <w:rsid w:val="0086729D"/>
    <w:rsid w:val="0087223D"/>
    <w:rsid w:val="0087242B"/>
    <w:rsid w:val="0087462C"/>
    <w:rsid w:val="008761AC"/>
    <w:rsid w:val="008810E7"/>
    <w:rsid w:val="00883DBD"/>
    <w:rsid w:val="00885D12"/>
    <w:rsid w:val="008860D4"/>
    <w:rsid w:val="008873AC"/>
    <w:rsid w:val="00887404"/>
    <w:rsid w:val="008917E2"/>
    <w:rsid w:val="008935BA"/>
    <w:rsid w:val="00893D51"/>
    <w:rsid w:val="0089432B"/>
    <w:rsid w:val="0089442B"/>
    <w:rsid w:val="00895A26"/>
    <w:rsid w:val="00896BC3"/>
    <w:rsid w:val="00897AEB"/>
    <w:rsid w:val="008A00F7"/>
    <w:rsid w:val="008A13DF"/>
    <w:rsid w:val="008A1F76"/>
    <w:rsid w:val="008A3880"/>
    <w:rsid w:val="008A5FC4"/>
    <w:rsid w:val="008B0870"/>
    <w:rsid w:val="008B3169"/>
    <w:rsid w:val="008C01B0"/>
    <w:rsid w:val="008C0F4D"/>
    <w:rsid w:val="008C18AD"/>
    <w:rsid w:val="008C229D"/>
    <w:rsid w:val="008C255B"/>
    <w:rsid w:val="008C3E75"/>
    <w:rsid w:val="008C6A2F"/>
    <w:rsid w:val="008C733B"/>
    <w:rsid w:val="008C7A95"/>
    <w:rsid w:val="008C7C6F"/>
    <w:rsid w:val="008D2F61"/>
    <w:rsid w:val="008D56C5"/>
    <w:rsid w:val="008D5FAA"/>
    <w:rsid w:val="008D740F"/>
    <w:rsid w:val="008E1702"/>
    <w:rsid w:val="008E1AE7"/>
    <w:rsid w:val="008E2225"/>
    <w:rsid w:val="008E6429"/>
    <w:rsid w:val="008E78E4"/>
    <w:rsid w:val="008F00C6"/>
    <w:rsid w:val="008F068D"/>
    <w:rsid w:val="008F12FC"/>
    <w:rsid w:val="008F2E8C"/>
    <w:rsid w:val="008F4275"/>
    <w:rsid w:val="008F679F"/>
    <w:rsid w:val="0090012D"/>
    <w:rsid w:val="009016E9"/>
    <w:rsid w:val="00901A87"/>
    <w:rsid w:val="00902253"/>
    <w:rsid w:val="009047C2"/>
    <w:rsid w:val="00906DF8"/>
    <w:rsid w:val="0091004A"/>
    <w:rsid w:val="00911566"/>
    <w:rsid w:val="00911C27"/>
    <w:rsid w:val="00911E4F"/>
    <w:rsid w:val="00913FE9"/>
    <w:rsid w:val="009140DD"/>
    <w:rsid w:val="00915D41"/>
    <w:rsid w:val="009166E1"/>
    <w:rsid w:val="009167C4"/>
    <w:rsid w:val="00916A83"/>
    <w:rsid w:val="00917328"/>
    <w:rsid w:val="00917756"/>
    <w:rsid w:val="00917CD7"/>
    <w:rsid w:val="00920F20"/>
    <w:rsid w:val="009235E8"/>
    <w:rsid w:val="009259E3"/>
    <w:rsid w:val="009267D6"/>
    <w:rsid w:val="00926AC0"/>
    <w:rsid w:val="00930575"/>
    <w:rsid w:val="009311FC"/>
    <w:rsid w:val="009325CB"/>
    <w:rsid w:val="00940AAE"/>
    <w:rsid w:val="009438ED"/>
    <w:rsid w:val="009459A0"/>
    <w:rsid w:val="00945E59"/>
    <w:rsid w:val="00952C20"/>
    <w:rsid w:val="009533AC"/>
    <w:rsid w:val="00953FA3"/>
    <w:rsid w:val="009549F1"/>
    <w:rsid w:val="00954C26"/>
    <w:rsid w:val="00954C2A"/>
    <w:rsid w:val="009554D0"/>
    <w:rsid w:val="00961FBC"/>
    <w:rsid w:val="009631CE"/>
    <w:rsid w:val="00966DE8"/>
    <w:rsid w:val="009671BC"/>
    <w:rsid w:val="00973B74"/>
    <w:rsid w:val="00981DD7"/>
    <w:rsid w:val="00987711"/>
    <w:rsid w:val="00987D01"/>
    <w:rsid w:val="009916EB"/>
    <w:rsid w:val="00996A68"/>
    <w:rsid w:val="009A1A29"/>
    <w:rsid w:val="009A1CD3"/>
    <w:rsid w:val="009A346D"/>
    <w:rsid w:val="009A42B3"/>
    <w:rsid w:val="009A72E7"/>
    <w:rsid w:val="009B206F"/>
    <w:rsid w:val="009B45B0"/>
    <w:rsid w:val="009C0651"/>
    <w:rsid w:val="009C1991"/>
    <w:rsid w:val="009C38E9"/>
    <w:rsid w:val="009C3BC0"/>
    <w:rsid w:val="009C495F"/>
    <w:rsid w:val="009C7A9A"/>
    <w:rsid w:val="009D1CD8"/>
    <w:rsid w:val="009D200D"/>
    <w:rsid w:val="009D3F19"/>
    <w:rsid w:val="009D51F3"/>
    <w:rsid w:val="009E0399"/>
    <w:rsid w:val="009E2A2F"/>
    <w:rsid w:val="009E398E"/>
    <w:rsid w:val="009E50FE"/>
    <w:rsid w:val="009F13F3"/>
    <w:rsid w:val="009F24B4"/>
    <w:rsid w:val="009F2E25"/>
    <w:rsid w:val="009F49C4"/>
    <w:rsid w:val="009F6255"/>
    <w:rsid w:val="009F7815"/>
    <w:rsid w:val="00A00D0B"/>
    <w:rsid w:val="00A02D07"/>
    <w:rsid w:val="00A038F8"/>
    <w:rsid w:val="00A0778D"/>
    <w:rsid w:val="00A11D58"/>
    <w:rsid w:val="00A122C1"/>
    <w:rsid w:val="00A12866"/>
    <w:rsid w:val="00A12F21"/>
    <w:rsid w:val="00A15637"/>
    <w:rsid w:val="00A15EFC"/>
    <w:rsid w:val="00A2537A"/>
    <w:rsid w:val="00A26BB9"/>
    <w:rsid w:val="00A2736D"/>
    <w:rsid w:val="00A34243"/>
    <w:rsid w:val="00A42AC8"/>
    <w:rsid w:val="00A43484"/>
    <w:rsid w:val="00A43FA5"/>
    <w:rsid w:val="00A44EAD"/>
    <w:rsid w:val="00A473FB"/>
    <w:rsid w:val="00A47F33"/>
    <w:rsid w:val="00A50CE6"/>
    <w:rsid w:val="00A51B5A"/>
    <w:rsid w:val="00A51CDB"/>
    <w:rsid w:val="00A54485"/>
    <w:rsid w:val="00A57887"/>
    <w:rsid w:val="00A623AA"/>
    <w:rsid w:val="00A63F3C"/>
    <w:rsid w:val="00A64473"/>
    <w:rsid w:val="00A6701C"/>
    <w:rsid w:val="00A6724A"/>
    <w:rsid w:val="00A673EF"/>
    <w:rsid w:val="00A6752C"/>
    <w:rsid w:val="00A707B5"/>
    <w:rsid w:val="00A70DBC"/>
    <w:rsid w:val="00A7103C"/>
    <w:rsid w:val="00A729C2"/>
    <w:rsid w:val="00A75746"/>
    <w:rsid w:val="00A80DEC"/>
    <w:rsid w:val="00A82946"/>
    <w:rsid w:val="00A82C8A"/>
    <w:rsid w:val="00A831C2"/>
    <w:rsid w:val="00A8492A"/>
    <w:rsid w:val="00A85405"/>
    <w:rsid w:val="00A855CE"/>
    <w:rsid w:val="00A90D1F"/>
    <w:rsid w:val="00A917CA"/>
    <w:rsid w:val="00A91D76"/>
    <w:rsid w:val="00A92744"/>
    <w:rsid w:val="00A95461"/>
    <w:rsid w:val="00A95493"/>
    <w:rsid w:val="00AA02FA"/>
    <w:rsid w:val="00AA192F"/>
    <w:rsid w:val="00AA20BD"/>
    <w:rsid w:val="00AA6B34"/>
    <w:rsid w:val="00AB0A19"/>
    <w:rsid w:val="00AB0D3A"/>
    <w:rsid w:val="00AB2154"/>
    <w:rsid w:val="00AB3CDB"/>
    <w:rsid w:val="00AB61EE"/>
    <w:rsid w:val="00AB6C6D"/>
    <w:rsid w:val="00AC050D"/>
    <w:rsid w:val="00AC06A8"/>
    <w:rsid w:val="00AC2BC7"/>
    <w:rsid w:val="00AC3D5F"/>
    <w:rsid w:val="00AC5902"/>
    <w:rsid w:val="00AD1BC3"/>
    <w:rsid w:val="00AD280F"/>
    <w:rsid w:val="00AD2C2C"/>
    <w:rsid w:val="00AD347D"/>
    <w:rsid w:val="00AD3B43"/>
    <w:rsid w:val="00AE4EA9"/>
    <w:rsid w:val="00AE5A5D"/>
    <w:rsid w:val="00AE6E1F"/>
    <w:rsid w:val="00AE729C"/>
    <w:rsid w:val="00AF05DA"/>
    <w:rsid w:val="00AF1688"/>
    <w:rsid w:val="00AF2B54"/>
    <w:rsid w:val="00AF403D"/>
    <w:rsid w:val="00AF5307"/>
    <w:rsid w:val="00B00587"/>
    <w:rsid w:val="00B01E0B"/>
    <w:rsid w:val="00B02075"/>
    <w:rsid w:val="00B022F5"/>
    <w:rsid w:val="00B02E19"/>
    <w:rsid w:val="00B03C1B"/>
    <w:rsid w:val="00B04990"/>
    <w:rsid w:val="00B05BBD"/>
    <w:rsid w:val="00B13ACA"/>
    <w:rsid w:val="00B14AD0"/>
    <w:rsid w:val="00B14CE7"/>
    <w:rsid w:val="00B164EB"/>
    <w:rsid w:val="00B211B2"/>
    <w:rsid w:val="00B23D57"/>
    <w:rsid w:val="00B246A8"/>
    <w:rsid w:val="00B258EA"/>
    <w:rsid w:val="00B27B6E"/>
    <w:rsid w:val="00B31D63"/>
    <w:rsid w:val="00B32EE5"/>
    <w:rsid w:val="00B3321A"/>
    <w:rsid w:val="00B3414C"/>
    <w:rsid w:val="00B3429A"/>
    <w:rsid w:val="00B35D61"/>
    <w:rsid w:val="00B40936"/>
    <w:rsid w:val="00B44E5B"/>
    <w:rsid w:val="00B46E86"/>
    <w:rsid w:val="00B50E52"/>
    <w:rsid w:val="00B52312"/>
    <w:rsid w:val="00B55577"/>
    <w:rsid w:val="00B55942"/>
    <w:rsid w:val="00B56626"/>
    <w:rsid w:val="00B56A81"/>
    <w:rsid w:val="00B60724"/>
    <w:rsid w:val="00B60F46"/>
    <w:rsid w:val="00B61392"/>
    <w:rsid w:val="00B62758"/>
    <w:rsid w:val="00B642B0"/>
    <w:rsid w:val="00B64818"/>
    <w:rsid w:val="00B675E7"/>
    <w:rsid w:val="00B71A63"/>
    <w:rsid w:val="00B72793"/>
    <w:rsid w:val="00B72EEC"/>
    <w:rsid w:val="00B730EB"/>
    <w:rsid w:val="00B7343C"/>
    <w:rsid w:val="00B74C07"/>
    <w:rsid w:val="00B76A33"/>
    <w:rsid w:val="00B80DEC"/>
    <w:rsid w:val="00B837A4"/>
    <w:rsid w:val="00B8522B"/>
    <w:rsid w:val="00B86C41"/>
    <w:rsid w:val="00B90628"/>
    <w:rsid w:val="00B90826"/>
    <w:rsid w:val="00B91FA6"/>
    <w:rsid w:val="00B9279B"/>
    <w:rsid w:val="00B92F07"/>
    <w:rsid w:val="00B935E8"/>
    <w:rsid w:val="00B954A3"/>
    <w:rsid w:val="00B97F16"/>
    <w:rsid w:val="00BA295C"/>
    <w:rsid w:val="00BB0625"/>
    <w:rsid w:val="00BB1873"/>
    <w:rsid w:val="00BB467B"/>
    <w:rsid w:val="00BB4C14"/>
    <w:rsid w:val="00BB4C6A"/>
    <w:rsid w:val="00BB6FE7"/>
    <w:rsid w:val="00BC0398"/>
    <w:rsid w:val="00BC0B07"/>
    <w:rsid w:val="00BC29C4"/>
    <w:rsid w:val="00BC7484"/>
    <w:rsid w:val="00BD0859"/>
    <w:rsid w:val="00BD1D1A"/>
    <w:rsid w:val="00BD259D"/>
    <w:rsid w:val="00BD2CBF"/>
    <w:rsid w:val="00BD3008"/>
    <w:rsid w:val="00BD4185"/>
    <w:rsid w:val="00BD59F9"/>
    <w:rsid w:val="00BD76C3"/>
    <w:rsid w:val="00BE1D9B"/>
    <w:rsid w:val="00BE20FE"/>
    <w:rsid w:val="00BE45A7"/>
    <w:rsid w:val="00BE5827"/>
    <w:rsid w:val="00BE65BC"/>
    <w:rsid w:val="00BE716D"/>
    <w:rsid w:val="00BE7AD3"/>
    <w:rsid w:val="00BE7E7C"/>
    <w:rsid w:val="00BF1F5E"/>
    <w:rsid w:val="00BF48EF"/>
    <w:rsid w:val="00BF5E59"/>
    <w:rsid w:val="00C000BB"/>
    <w:rsid w:val="00C00A37"/>
    <w:rsid w:val="00C012F7"/>
    <w:rsid w:val="00C01AD1"/>
    <w:rsid w:val="00C03675"/>
    <w:rsid w:val="00C04C87"/>
    <w:rsid w:val="00C050BB"/>
    <w:rsid w:val="00C05346"/>
    <w:rsid w:val="00C1020E"/>
    <w:rsid w:val="00C126E9"/>
    <w:rsid w:val="00C161B6"/>
    <w:rsid w:val="00C2162E"/>
    <w:rsid w:val="00C2181E"/>
    <w:rsid w:val="00C226A5"/>
    <w:rsid w:val="00C25094"/>
    <w:rsid w:val="00C272D7"/>
    <w:rsid w:val="00C307EE"/>
    <w:rsid w:val="00C31B36"/>
    <w:rsid w:val="00C33318"/>
    <w:rsid w:val="00C35F5C"/>
    <w:rsid w:val="00C3610C"/>
    <w:rsid w:val="00C37CF1"/>
    <w:rsid w:val="00C43D9D"/>
    <w:rsid w:val="00C45197"/>
    <w:rsid w:val="00C4689C"/>
    <w:rsid w:val="00C618A7"/>
    <w:rsid w:val="00C65805"/>
    <w:rsid w:val="00C6636B"/>
    <w:rsid w:val="00C66ECD"/>
    <w:rsid w:val="00C66F31"/>
    <w:rsid w:val="00C71347"/>
    <w:rsid w:val="00C71EA3"/>
    <w:rsid w:val="00C71F3B"/>
    <w:rsid w:val="00C73D6D"/>
    <w:rsid w:val="00C76DBF"/>
    <w:rsid w:val="00C77085"/>
    <w:rsid w:val="00C772AC"/>
    <w:rsid w:val="00C77954"/>
    <w:rsid w:val="00C80BEC"/>
    <w:rsid w:val="00C84984"/>
    <w:rsid w:val="00C8528D"/>
    <w:rsid w:val="00C868ED"/>
    <w:rsid w:val="00C90400"/>
    <w:rsid w:val="00C906BF"/>
    <w:rsid w:val="00C90E78"/>
    <w:rsid w:val="00C93C0B"/>
    <w:rsid w:val="00C94673"/>
    <w:rsid w:val="00CA0EDA"/>
    <w:rsid w:val="00CA709A"/>
    <w:rsid w:val="00CA7842"/>
    <w:rsid w:val="00CB01BF"/>
    <w:rsid w:val="00CB1597"/>
    <w:rsid w:val="00CB3A92"/>
    <w:rsid w:val="00CB5A5D"/>
    <w:rsid w:val="00CB5BA0"/>
    <w:rsid w:val="00CB5DE0"/>
    <w:rsid w:val="00CB6617"/>
    <w:rsid w:val="00CB78DF"/>
    <w:rsid w:val="00CC0FB9"/>
    <w:rsid w:val="00CC1570"/>
    <w:rsid w:val="00CC1895"/>
    <w:rsid w:val="00CC3FCB"/>
    <w:rsid w:val="00CD1B43"/>
    <w:rsid w:val="00CD3BEA"/>
    <w:rsid w:val="00CD4B90"/>
    <w:rsid w:val="00CD4EEA"/>
    <w:rsid w:val="00CD54BF"/>
    <w:rsid w:val="00CD6843"/>
    <w:rsid w:val="00CE27CD"/>
    <w:rsid w:val="00CE46D9"/>
    <w:rsid w:val="00CF1E38"/>
    <w:rsid w:val="00CF4A74"/>
    <w:rsid w:val="00CF4DA4"/>
    <w:rsid w:val="00CF5406"/>
    <w:rsid w:val="00CF786D"/>
    <w:rsid w:val="00CF7C93"/>
    <w:rsid w:val="00D00D6C"/>
    <w:rsid w:val="00D00F9F"/>
    <w:rsid w:val="00D01870"/>
    <w:rsid w:val="00D01DE2"/>
    <w:rsid w:val="00D046BA"/>
    <w:rsid w:val="00D100A0"/>
    <w:rsid w:val="00D11B87"/>
    <w:rsid w:val="00D1354B"/>
    <w:rsid w:val="00D14838"/>
    <w:rsid w:val="00D14D6C"/>
    <w:rsid w:val="00D14EBE"/>
    <w:rsid w:val="00D16EE2"/>
    <w:rsid w:val="00D17381"/>
    <w:rsid w:val="00D20089"/>
    <w:rsid w:val="00D22C2D"/>
    <w:rsid w:val="00D22D94"/>
    <w:rsid w:val="00D2353E"/>
    <w:rsid w:val="00D237AB"/>
    <w:rsid w:val="00D314AD"/>
    <w:rsid w:val="00D4033F"/>
    <w:rsid w:val="00D408F7"/>
    <w:rsid w:val="00D40D02"/>
    <w:rsid w:val="00D433C8"/>
    <w:rsid w:val="00D4430B"/>
    <w:rsid w:val="00D55D8C"/>
    <w:rsid w:val="00D57186"/>
    <w:rsid w:val="00D60870"/>
    <w:rsid w:val="00D619BC"/>
    <w:rsid w:val="00D63C3A"/>
    <w:rsid w:val="00D641E8"/>
    <w:rsid w:val="00D66F78"/>
    <w:rsid w:val="00D7183B"/>
    <w:rsid w:val="00D73802"/>
    <w:rsid w:val="00D73B97"/>
    <w:rsid w:val="00D7504F"/>
    <w:rsid w:val="00D75AD8"/>
    <w:rsid w:val="00D7618E"/>
    <w:rsid w:val="00D76B77"/>
    <w:rsid w:val="00D76F80"/>
    <w:rsid w:val="00D81F0A"/>
    <w:rsid w:val="00D82ABF"/>
    <w:rsid w:val="00D8315A"/>
    <w:rsid w:val="00D83421"/>
    <w:rsid w:val="00D83D23"/>
    <w:rsid w:val="00D846C5"/>
    <w:rsid w:val="00D86507"/>
    <w:rsid w:val="00D86A57"/>
    <w:rsid w:val="00D86B7D"/>
    <w:rsid w:val="00D87200"/>
    <w:rsid w:val="00D90281"/>
    <w:rsid w:val="00D9170F"/>
    <w:rsid w:val="00D9210C"/>
    <w:rsid w:val="00D94A94"/>
    <w:rsid w:val="00D9553A"/>
    <w:rsid w:val="00D955AD"/>
    <w:rsid w:val="00DA1A5C"/>
    <w:rsid w:val="00DA2630"/>
    <w:rsid w:val="00DA2836"/>
    <w:rsid w:val="00DA57A5"/>
    <w:rsid w:val="00DA7D24"/>
    <w:rsid w:val="00DB050A"/>
    <w:rsid w:val="00DB5B44"/>
    <w:rsid w:val="00DB5FA8"/>
    <w:rsid w:val="00DC04ED"/>
    <w:rsid w:val="00DC132C"/>
    <w:rsid w:val="00DC1899"/>
    <w:rsid w:val="00DC5D06"/>
    <w:rsid w:val="00DC5F61"/>
    <w:rsid w:val="00DC6C21"/>
    <w:rsid w:val="00DC76F9"/>
    <w:rsid w:val="00DC7CBE"/>
    <w:rsid w:val="00DD25B7"/>
    <w:rsid w:val="00DD2BAB"/>
    <w:rsid w:val="00DD32F3"/>
    <w:rsid w:val="00DD3E7E"/>
    <w:rsid w:val="00DD48CF"/>
    <w:rsid w:val="00DD65D0"/>
    <w:rsid w:val="00DD6C81"/>
    <w:rsid w:val="00DE0CC4"/>
    <w:rsid w:val="00DE0EDA"/>
    <w:rsid w:val="00DE11AB"/>
    <w:rsid w:val="00DE2183"/>
    <w:rsid w:val="00DE5141"/>
    <w:rsid w:val="00DE6806"/>
    <w:rsid w:val="00DF215C"/>
    <w:rsid w:val="00DF25F7"/>
    <w:rsid w:val="00DF263D"/>
    <w:rsid w:val="00DF35EA"/>
    <w:rsid w:val="00DF49D5"/>
    <w:rsid w:val="00E00331"/>
    <w:rsid w:val="00E0087E"/>
    <w:rsid w:val="00E03F03"/>
    <w:rsid w:val="00E048F4"/>
    <w:rsid w:val="00E05690"/>
    <w:rsid w:val="00E05F45"/>
    <w:rsid w:val="00E07FE9"/>
    <w:rsid w:val="00E1024F"/>
    <w:rsid w:val="00E113A6"/>
    <w:rsid w:val="00E124FE"/>
    <w:rsid w:val="00E14451"/>
    <w:rsid w:val="00E15992"/>
    <w:rsid w:val="00E22504"/>
    <w:rsid w:val="00E227A1"/>
    <w:rsid w:val="00E22FDA"/>
    <w:rsid w:val="00E22FF1"/>
    <w:rsid w:val="00E2309D"/>
    <w:rsid w:val="00E248D0"/>
    <w:rsid w:val="00E24E55"/>
    <w:rsid w:val="00E251E1"/>
    <w:rsid w:val="00E260A2"/>
    <w:rsid w:val="00E3090B"/>
    <w:rsid w:val="00E31FEF"/>
    <w:rsid w:val="00E32A0F"/>
    <w:rsid w:val="00E37120"/>
    <w:rsid w:val="00E43B53"/>
    <w:rsid w:val="00E43F63"/>
    <w:rsid w:val="00E444EC"/>
    <w:rsid w:val="00E45052"/>
    <w:rsid w:val="00E53571"/>
    <w:rsid w:val="00E53B97"/>
    <w:rsid w:val="00E55DF0"/>
    <w:rsid w:val="00E63E78"/>
    <w:rsid w:val="00E67E15"/>
    <w:rsid w:val="00E702A2"/>
    <w:rsid w:val="00E72EEA"/>
    <w:rsid w:val="00E76E40"/>
    <w:rsid w:val="00E80589"/>
    <w:rsid w:val="00E80A5D"/>
    <w:rsid w:val="00E80F31"/>
    <w:rsid w:val="00E81EF4"/>
    <w:rsid w:val="00E84E01"/>
    <w:rsid w:val="00E85786"/>
    <w:rsid w:val="00E90EEA"/>
    <w:rsid w:val="00E93E2E"/>
    <w:rsid w:val="00E94DBF"/>
    <w:rsid w:val="00E95947"/>
    <w:rsid w:val="00E968C5"/>
    <w:rsid w:val="00E96A0A"/>
    <w:rsid w:val="00EA1ED1"/>
    <w:rsid w:val="00EA2D0B"/>
    <w:rsid w:val="00EA38B8"/>
    <w:rsid w:val="00EA4F28"/>
    <w:rsid w:val="00EA5B57"/>
    <w:rsid w:val="00EA6302"/>
    <w:rsid w:val="00EA64CB"/>
    <w:rsid w:val="00EB002C"/>
    <w:rsid w:val="00EB05A2"/>
    <w:rsid w:val="00EB0E33"/>
    <w:rsid w:val="00EB3FF0"/>
    <w:rsid w:val="00EC0ECC"/>
    <w:rsid w:val="00EC15BB"/>
    <w:rsid w:val="00EC4A7B"/>
    <w:rsid w:val="00EC681A"/>
    <w:rsid w:val="00EC6DC3"/>
    <w:rsid w:val="00EC796D"/>
    <w:rsid w:val="00EC7F08"/>
    <w:rsid w:val="00ED3CDF"/>
    <w:rsid w:val="00ED4169"/>
    <w:rsid w:val="00ED46BD"/>
    <w:rsid w:val="00ED5B98"/>
    <w:rsid w:val="00ED6E34"/>
    <w:rsid w:val="00EE0BCC"/>
    <w:rsid w:val="00EE1F5A"/>
    <w:rsid w:val="00EE2E38"/>
    <w:rsid w:val="00EE5BA3"/>
    <w:rsid w:val="00EE7876"/>
    <w:rsid w:val="00EF1838"/>
    <w:rsid w:val="00EF228A"/>
    <w:rsid w:val="00EF317A"/>
    <w:rsid w:val="00EF3CF4"/>
    <w:rsid w:val="00EF5CE1"/>
    <w:rsid w:val="00EF7AB8"/>
    <w:rsid w:val="00EF7F3C"/>
    <w:rsid w:val="00F010EB"/>
    <w:rsid w:val="00F05120"/>
    <w:rsid w:val="00F05317"/>
    <w:rsid w:val="00F064C4"/>
    <w:rsid w:val="00F1122D"/>
    <w:rsid w:val="00F1574C"/>
    <w:rsid w:val="00F1623F"/>
    <w:rsid w:val="00F1724F"/>
    <w:rsid w:val="00F20857"/>
    <w:rsid w:val="00F212F6"/>
    <w:rsid w:val="00F2291C"/>
    <w:rsid w:val="00F23833"/>
    <w:rsid w:val="00F24D4D"/>
    <w:rsid w:val="00F25F74"/>
    <w:rsid w:val="00F266BA"/>
    <w:rsid w:val="00F269FE"/>
    <w:rsid w:val="00F30823"/>
    <w:rsid w:val="00F327DF"/>
    <w:rsid w:val="00F35151"/>
    <w:rsid w:val="00F370F9"/>
    <w:rsid w:val="00F37253"/>
    <w:rsid w:val="00F40543"/>
    <w:rsid w:val="00F40925"/>
    <w:rsid w:val="00F41990"/>
    <w:rsid w:val="00F41BB9"/>
    <w:rsid w:val="00F42F26"/>
    <w:rsid w:val="00F43BF0"/>
    <w:rsid w:val="00F43CE1"/>
    <w:rsid w:val="00F44AB8"/>
    <w:rsid w:val="00F45CE0"/>
    <w:rsid w:val="00F51B48"/>
    <w:rsid w:val="00F53B5A"/>
    <w:rsid w:val="00F54B74"/>
    <w:rsid w:val="00F559B8"/>
    <w:rsid w:val="00F562A1"/>
    <w:rsid w:val="00F6078C"/>
    <w:rsid w:val="00F60E91"/>
    <w:rsid w:val="00F61BFF"/>
    <w:rsid w:val="00F61ED7"/>
    <w:rsid w:val="00F62455"/>
    <w:rsid w:val="00F64DC4"/>
    <w:rsid w:val="00F66F30"/>
    <w:rsid w:val="00F70ABF"/>
    <w:rsid w:val="00F71030"/>
    <w:rsid w:val="00F7153A"/>
    <w:rsid w:val="00F73A94"/>
    <w:rsid w:val="00F73C69"/>
    <w:rsid w:val="00F7503D"/>
    <w:rsid w:val="00F756B9"/>
    <w:rsid w:val="00F8038D"/>
    <w:rsid w:val="00F8086D"/>
    <w:rsid w:val="00F81730"/>
    <w:rsid w:val="00F84411"/>
    <w:rsid w:val="00F84AEA"/>
    <w:rsid w:val="00F85C2F"/>
    <w:rsid w:val="00F8616A"/>
    <w:rsid w:val="00F875FC"/>
    <w:rsid w:val="00F87848"/>
    <w:rsid w:val="00F9283D"/>
    <w:rsid w:val="00F93FFB"/>
    <w:rsid w:val="00F955B5"/>
    <w:rsid w:val="00F97B75"/>
    <w:rsid w:val="00FA059E"/>
    <w:rsid w:val="00FA1061"/>
    <w:rsid w:val="00FA1F1B"/>
    <w:rsid w:val="00FA2C83"/>
    <w:rsid w:val="00FA5F60"/>
    <w:rsid w:val="00FB1B81"/>
    <w:rsid w:val="00FB2DE8"/>
    <w:rsid w:val="00FB2E5E"/>
    <w:rsid w:val="00FB2EB5"/>
    <w:rsid w:val="00FB480A"/>
    <w:rsid w:val="00FB5A02"/>
    <w:rsid w:val="00FC09C1"/>
    <w:rsid w:val="00FC0EC9"/>
    <w:rsid w:val="00FC3692"/>
    <w:rsid w:val="00FC3CBA"/>
    <w:rsid w:val="00FC4B80"/>
    <w:rsid w:val="00FC7D0E"/>
    <w:rsid w:val="00FD0F96"/>
    <w:rsid w:val="00FD33C8"/>
    <w:rsid w:val="00FD526F"/>
    <w:rsid w:val="00FD57F4"/>
    <w:rsid w:val="00FD5B33"/>
    <w:rsid w:val="00FD6D18"/>
    <w:rsid w:val="00FE19F1"/>
    <w:rsid w:val="00FE1D6A"/>
    <w:rsid w:val="00FE5BA9"/>
    <w:rsid w:val="00FF0794"/>
    <w:rsid w:val="00FF4D1B"/>
    <w:rsid w:val="00FF5218"/>
    <w:rsid w:val="00FF5C60"/>
    <w:rsid w:val="00FF6EDF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E7DE"/>
  <w15:chartTrackingRefBased/>
  <w15:docId w15:val="{ACB24EB0-FED7-41B5-9459-00000B1A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E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4E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E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C7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E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0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E3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D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347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52312"/>
    <w:pPr>
      <w:spacing w:after="0" w:line="240" w:lineRule="auto"/>
    </w:pPr>
    <w:rPr>
      <w:rFonts w:ascii="Cambria" w:eastAsia="MS Mincho" w:hAnsi="Cambria"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2312"/>
    <w:pPr>
      <w:spacing w:after="0" w:line="240" w:lineRule="auto"/>
    </w:pPr>
    <w:rPr>
      <w:lang w:val="ro-RO"/>
    </w:rPr>
  </w:style>
  <w:style w:type="character" w:customStyle="1" w:styleId="hps">
    <w:name w:val="hps"/>
    <w:basedOn w:val="DefaultParagraphFont"/>
    <w:rsid w:val="00B52312"/>
  </w:style>
  <w:style w:type="table" w:styleId="GridTable1Light-Accent6">
    <w:name w:val="Grid Table 1 Light Accent 6"/>
    <w:basedOn w:val="TableNormal"/>
    <w:uiPriority w:val="46"/>
    <w:rsid w:val="00C000B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Normal"/>
    <w:uiPriority w:val="50"/>
    <w:rsid w:val="00C000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6811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7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CB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CB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4A3F-E9E0-4D9A-B66A-0E865A5F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Stefanescu</dc:creator>
  <cp:keywords/>
  <dc:description/>
  <cp:lastModifiedBy>steluta.bulaceanu</cp:lastModifiedBy>
  <cp:revision>5</cp:revision>
  <dcterms:created xsi:type="dcterms:W3CDTF">2018-01-18T16:28:00Z</dcterms:created>
  <dcterms:modified xsi:type="dcterms:W3CDTF">2018-01-18T16:37:00Z</dcterms:modified>
</cp:coreProperties>
</file>