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27E" w:rsidRDefault="00656CDF">
      <w:pPr>
        <w:spacing w:after="0"/>
        <w:ind w:left="-1440" w:right="10460"/>
      </w:pPr>
      <w:bookmarkStart w:id="0" w:name="_GoBack"/>
      <w:bookmarkEnd w:id="0"/>
      <w:r>
        <w:rPr>
          <w:noProof/>
        </w:rPr>
        <w:drawing>
          <wp:anchor distT="0" distB="0" distL="114300" distR="114300" simplePos="0" relativeHeight="251658240" behindDoc="0" locked="0" layoutInCell="1" allowOverlap="0">
            <wp:simplePos x="0" y="0"/>
            <wp:positionH relativeFrom="page">
              <wp:posOffset>176784</wp:posOffset>
            </wp:positionH>
            <wp:positionV relativeFrom="page">
              <wp:posOffset>0</wp:posOffset>
            </wp:positionV>
            <wp:extent cx="7196328" cy="10692385"/>
            <wp:effectExtent l="0" t="0" r="0" b="0"/>
            <wp:wrapTopAndBottom/>
            <wp:docPr id="20122" name="Picture 20122"/>
            <wp:cNvGraphicFramePr/>
            <a:graphic xmlns:a="http://schemas.openxmlformats.org/drawingml/2006/main">
              <a:graphicData uri="http://schemas.openxmlformats.org/drawingml/2006/picture">
                <pic:pic xmlns:pic="http://schemas.openxmlformats.org/drawingml/2006/picture">
                  <pic:nvPicPr>
                    <pic:cNvPr id="20122" name="Picture 20122"/>
                    <pic:cNvPicPr/>
                  </pic:nvPicPr>
                  <pic:blipFill>
                    <a:blip r:embed="rId5"/>
                    <a:stretch>
                      <a:fillRect/>
                    </a:stretch>
                  </pic:blipFill>
                  <pic:spPr>
                    <a:xfrm>
                      <a:off x="0" y="0"/>
                      <a:ext cx="7196328" cy="10692385"/>
                    </a:xfrm>
                    <a:prstGeom prst="rect">
                      <a:avLst/>
                    </a:prstGeom>
                  </pic:spPr>
                </pic:pic>
              </a:graphicData>
            </a:graphic>
          </wp:anchor>
        </w:drawing>
      </w:r>
      <w:r>
        <w:br w:type="page"/>
      </w:r>
    </w:p>
    <w:tbl>
      <w:tblPr>
        <w:tblStyle w:val="TableGrid"/>
        <w:tblpPr w:vertAnchor="page" w:horzAnchor="page" w:tblpX="294" w:tblpY="6"/>
        <w:tblOverlap w:val="never"/>
        <w:tblW w:w="11307" w:type="dxa"/>
        <w:tblInd w:w="0" w:type="dxa"/>
        <w:tblCellMar>
          <w:top w:w="102" w:type="dxa"/>
          <w:left w:w="6" w:type="dxa"/>
          <w:bottom w:w="39" w:type="dxa"/>
          <w:right w:w="26" w:type="dxa"/>
        </w:tblCellMar>
        <w:tblLook w:val="04A0" w:firstRow="1" w:lastRow="0" w:firstColumn="1" w:lastColumn="0" w:noHBand="0" w:noVBand="1"/>
      </w:tblPr>
      <w:tblGrid>
        <w:gridCol w:w="420"/>
        <w:gridCol w:w="4165"/>
        <w:gridCol w:w="5401"/>
        <w:gridCol w:w="156"/>
        <w:gridCol w:w="216"/>
        <w:gridCol w:w="660"/>
        <w:gridCol w:w="288"/>
      </w:tblGrid>
      <w:tr w:rsidR="00FD327E">
        <w:trPr>
          <w:trHeight w:val="7238"/>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lastRenderedPageBreak/>
              <w:t>2</w:t>
            </w:r>
          </w:p>
        </w:tc>
        <w:tc>
          <w:tcPr>
            <w:tcW w:w="4165"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color w:val="7030A0"/>
                <w:sz w:val="18"/>
              </w:rPr>
              <w:t>7. Anexe</w:t>
            </w:r>
          </w:p>
          <w:p w:rsidR="00FD327E" w:rsidRDefault="00656CDF">
            <w:pPr>
              <w:spacing w:after="0" w:line="262" w:lineRule="auto"/>
            </w:pPr>
            <w:r>
              <w:rPr>
                <w:sz w:val="18"/>
              </w:rPr>
              <w:t>Prezentul ghid include următoarele anexe, care fac parte integrantă din acesta:</w:t>
            </w:r>
          </w:p>
          <w:p w:rsidR="00FD327E" w:rsidRDefault="00656CDF">
            <w:pPr>
              <w:numPr>
                <w:ilvl w:val="0"/>
                <w:numId w:val="1"/>
              </w:numPr>
              <w:spacing w:after="0" w:line="262" w:lineRule="auto"/>
            </w:pPr>
            <w:r>
              <w:rPr>
                <w:sz w:val="18"/>
              </w:rPr>
              <w:t>Anexa 1 - Declaraţia de eligibilitate - este obligatorierespectarea modelului</w:t>
            </w:r>
          </w:p>
          <w:p w:rsidR="00FD327E" w:rsidRDefault="00656CDF">
            <w:pPr>
              <w:numPr>
                <w:ilvl w:val="0"/>
                <w:numId w:val="1"/>
              </w:numPr>
              <w:spacing w:after="0" w:line="262" w:lineRule="auto"/>
            </w:pPr>
            <w:r>
              <w:rPr>
                <w:sz w:val="18"/>
              </w:rPr>
              <w:t xml:space="preserve">Anexa 2 - Declaraţia de angajament (Model B 5.1)-este obligatorie respectarea modelului </w:t>
            </w:r>
          </w:p>
          <w:p w:rsidR="00FD327E" w:rsidRDefault="00656CDF">
            <w:pPr>
              <w:numPr>
                <w:ilvl w:val="0"/>
                <w:numId w:val="1"/>
              </w:numPr>
              <w:spacing w:after="3"/>
            </w:pPr>
            <w:r>
              <w:rPr>
                <w:sz w:val="18"/>
              </w:rPr>
              <w:t>Anexa 3 – Grila de verificare a proiectului</w:t>
            </w:r>
          </w:p>
          <w:p w:rsidR="00FD327E" w:rsidRDefault="00656CDF">
            <w:pPr>
              <w:numPr>
                <w:ilvl w:val="0"/>
                <w:numId w:val="1"/>
              </w:numPr>
              <w:spacing w:after="0" w:line="262" w:lineRule="auto"/>
            </w:pPr>
            <w:r>
              <w:rPr>
                <w:sz w:val="18"/>
              </w:rPr>
              <w:t>Anexa 4 – Liste de verificare a dosarului achiziţiei • Anexa 5 - Calculul finanţării nerambursabile pentru proiectele gener</w:t>
            </w:r>
            <w:r>
              <w:rPr>
                <w:sz w:val="18"/>
              </w:rPr>
              <w:t>atoare de venit – Metoda necesarului de finanţare („funding gap”) - este obligatorie respectarea modelului</w:t>
            </w:r>
          </w:p>
          <w:p w:rsidR="00FD327E" w:rsidRDefault="00656CDF">
            <w:pPr>
              <w:numPr>
                <w:ilvl w:val="0"/>
                <w:numId w:val="1"/>
              </w:numPr>
              <w:spacing w:after="3"/>
            </w:pPr>
            <w:r>
              <w:rPr>
                <w:sz w:val="18"/>
              </w:rPr>
              <w:t xml:space="preserve">Anexa 6 – Lista de cheltuieli eligibile si neeligibile </w:t>
            </w:r>
          </w:p>
          <w:p w:rsidR="00FD327E" w:rsidRDefault="00656CDF">
            <w:pPr>
              <w:numPr>
                <w:ilvl w:val="0"/>
                <w:numId w:val="1"/>
              </w:numPr>
              <w:spacing w:after="3"/>
            </w:pPr>
            <w:r>
              <w:rPr>
                <w:sz w:val="18"/>
              </w:rPr>
              <w:t>Anexa 7 – Termeni si definitii</w:t>
            </w:r>
          </w:p>
          <w:p w:rsidR="00FD327E" w:rsidRDefault="00656CDF">
            <w:pPr>
              <w:numPr>
                <w:ilvl w:val="0"/>
                <w:numId w:val="1"/>
              </w:numPr>
              <w:spacing w:after="0" w:line="262" w:lineRule="auto"/>
            </w:pPr>
            <w:r>
              <w:rPr>
                <w:sz w:val="18"/>
              </w:rPr>
              <w:t>Anexa 8_A si 8_B – Criterii de eligibilitate ale solicitantulu</w:t>
            </w:r>
            <w:r>
              <w:rPr>
                <w:sz w:val="18"/>
              </w:rPr>
              <w:t>i si ale proiectului</w:t>
            </w:r>
          </w:p>
          <w:p w:rsidR="00FD327E" w:rsidRDefault="00656CDF">
            <w:pPr>
              <w:numPr>
                <w:ilvl w:val="0"/>
                <w:numId w:val="1"/>
              </w:numPr>
              <w:spacing w:after="0" w:line="262" w:lineRule="auto"/>
            </w:pPr>
            <w:r>
              <w:rPr>
                <w:sz w:val="18"/>
              </w:rPr>
              <w:t>Anexa 9 – Anexele la depunerea și contractareacererii de finanţare</w:t>
            </w:r>
          </w:p>
          <w:p w:rsidR="00FD327E" w:rsidRDefault="00656CDF">
            <w:pPr>
              <w:numPr>
                <w:ilvl w:val="0"/>
                <w:numId w:val="1"/>
              </w:numPr>
              <w:spacing w:after="0" w:line="262" w:lineRule="auto"/>
            </w:pPr>
            <w:r>
              <w:rPr>
                <w:sz w:val="18"/>
              </w:rPr>
              <w:t>Anexa 10 – Condiţii specifice aplicabile prioritatii deinvestitii .</w:t>
            </w:r>
          </w:p>
          <w:p w:rsidR="00FD327E" w:rsidRDefault="00656CDF">
            <w:pPr>
              <w:numPr>
                <w:ilvl w:val="0"/>
                <w:numId w:val="1"/>
              </w:numPr>
              <w:spacing w:after="3"/>
            </w:pPr>
            <w:r>
              <w:rPr>
                <w:sz w:val="18"/>
              </w:rPr>
              <w:t>Anexa 11 – Formularul cererii de finantare</w:t>
            </w:r>
          </w:p>
          <w:p w:rsidR="00FD327E" w:rsidRDefault="00656CDF">
            <w:pPr>
              <w:numPr>
                <w:ilvl w:val="0"/>
                <w:numId w:val="1"/>
              </w:numPr>
              <w:spacing w:after="0" w:line="262" w:lineRule="auto"/>
            </w:pPr>
            <w:r>
              <w:rPr>
                <w:sz w:val="18"/>
              </w:rPr>
              <w:t>Anexa 12 – Instructiuni de completare a cererii definanta</w:t>
            </w:r>
            <w:r>
              <w:rPr>
                <w:sz w:val="18"/>
              </w:rPr>
              <w:t>re</w:t>
            </w:r>
          </w:p>
          <w:p w:rsidR="00FD327E" w:rsidRDefault="00656CDF">
            <w:pPr>
              <w:numPr>
                <w:ilvl w:val="0"/>
                <w:numId w:val="1"/>
              </w:numPr>
              <w:spacing w:after="0" w:line="262" w:lineRule="auto"/>
            </w:pPr>
            <w:r>
              <w:rPr>
                <w:sz w:val="18"/>
              </w:rPr>
              <w:t>Anexa 13 – Consimtamantul privid prelucrareadatelor cu carater personal</w:t>
            </w:r>
          </w:p>
          <w:p w:rsidR="00FD327E" w:rsidRDefault="00656CDF">
            <w:pPr>
              <w:numPr>
                <w:ilvl w:val="0"/>
                <w:numId w:val="1"/>
              </w:numPr>
              <w:spacing w:after="0"/>
            </w:pPr>
            <w:r>
              <w:rPr>
                <w:sz w:val="18"/>
              </w:rPr>
              <w:t>Anexa 14 – Declaraţie privind evitarea dubleifinanţări</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color w:val="7030A0"/>
                <w:sz w:val="18"/>
              </w:rPr>
              <w:t>7. Anexe</w:t>
            </w:r>
          </w:p>
          <w:p w:rsidR="00FD327E" w:rsidRDefault="00656CDF">
            <w:pPr>
              <w:spacing w:after="0" w:line="262" w:lineRule="auto"/>
            </w:pPr>
            <w:r>
              <w:rPr>
                <w:sz w:val="18"/>
              </w:rPr>
              <w:t>Prezentul ghid include următoarele anexe, care fac parte integrantă din acesta:</w:t>
            </w:r>
          </w:p>
          <w:p w:rsidR="00FD327E" w:rsidRDefault="00656CDF">
            <w:pPr>
              <w:numPr>
                <w:ilvl w:val="0"/>
                <w:numId w:val="2"/>
              </w:numPr>
              <w:spacing w:after="0" w:line="262" w:lineRule="auto"/>
            </w:pPr>
            <w:r>
              <w:rPr>
                <w:sz w:val="18"/>
              </w:rPr>
              <w:t>Anexa 1 - Declaraţia de eligibilitate - este obligatorie respectareamodelului</w:t>
            </w:r>
          </w:p>
          <w:p w:rsidR="00FD327E" w:rsidRDefault="00656CDF">
            <w:pPr>
              <w:numPr>
                <w:ilvl w:val="0"/>
                <w:numId w:val="2"/>
              </w:numPr>
              <w:spacing w:after="0" w:line="262" w:lineRule="auto"/>
            </w:pPr>
            <w:r>
              <w:rPr>
                <w:sz w:val="18"/>
              </w:rPr>
              <w:t xml:space="preserve">Anexa 2 - Declaraţia de angajament (Model B 5.1)- este obligatorierespectarea modelului </w:t>
            </w:r>
          </w:p>
          <w:p w:rsidR="00FD327E" w:rsidRDefault="00656CDF">
            <w:pPr>
              <w:numPr>
                <w:ilvl w:val="0"/>
                <w:numId w:val="2"/>
              </w:numPr>
              <w:spacing w:after="3"/>
            </w:pPr>
            <w:r>
              <w:rPr>
                <w:sz w:val="18"/>
              </w:rPr>
              <w:t>Anexa 3 – Grila de verificare a proiectului</w:t>
            </w:r>
          </w:p>
          <w:p w:rsidR="00FD327E" w:rsidRDefault="00656CDF">
            <w:pPr>
              <w:numPr>
                <w:ilvl w:val="0"/>
                <w:numId w:val="2"/>
              </w:numPr>
              <w:spacing w:after="3"/>
            </w:pPr>
            <w:r>
              <w:rPr>
                <w:sz w:val="18"/>
              </w:rPr>
              <w:t>Anexa 4 – Liste de verificare a dosarului ach</w:t>
            </w:r>
            <w:r>
              <w:rPr>
                <w:sz w:val="18"/>
              </w:rPr>
              <w:t xml:space="preserve">iziţiei </w:t>
            </w:r>
          </w:p>
          <w:p w:rsidR="00FD327E" w:rsidRDefault="00656CDF">
            <w:pPr>
              <w:numPr>
                <w:ilvl w:val="0"/>
                <w:numId w:val="2"/>
              </w:numPr>
              <w:spacing w:after="0" w:line="262" w:lineRule="auto"/>
            </w:pPr>
            <w:r>
              <w:rPr>
                <w:sz w:val="18"/>
              </w:rPr>
              <w:t>Anexa 5 - Calculul finanţării nerambursabile pentru proiectele generatoare de venit – Metoda necesarului de finanţare („funding gap”) - este obligatorie respectarea modelului</w:t>
            </w:r>
          </w:p>
          <w:p w:rsidR="00FD327E" w:rsidRDefault="00656CDF">
            <w:pPr>
              <w:numPr>
                <w:ilvl w:val="0"/>
                <w:numId w:val="2"/>
              </w:numPr>
              <w:spacing w:after="3"/>
            </w:pPr>
            <w:r>
              <w:rPr>
                <w:sz w:val="18"/>
              </w:rPr>
              <w:t xml:space="preserve">Anexa 6 – Lista de cheltuieli eligibile si neeligibile </w:t>
            </w:r>
          </w:p>
          <w:p w:rsidR="00FD327E" w:rsidRDefault="00656CDF">
            <w:pPr>
              <w:numPr>
                <w:ilvl w:val="0"/>
                <w:numId w:val="2"/>
              </w:numPr>
              <w:spacing w:after="3"/>
            </w:pPr>
            <w:r>
              <w:rPr>
                <w:sz w:val="18"/>
              </w:rPr>
              <w:t>Anexa 7 – Termen</w:t>
            </w:r>
            <w:r>
              <w:rPr>
                <w:sz w:val="18"/>
              </w:rPr>
              <w:t>i si definitii</w:t>
            </w:r>
          </w:p>
          <w:p w:rsidR="00FD327E" w:rsidRDefault="00656CDF">
            <w:pPr>
              <w:numPr>
                <w:ilvl w:val="0"/>
                <w:numId w:val="2"/>
              </w:numPr>
              <w:spacing w:after="0" w:line="262" w:lineRule="auto"/>
            </w:pPr>
            <w:r>
              <w:rPr>
                <w:sz w:val="18"/>
              </w:rPr>
              <w:t>Anexa 8_A si 8_B – Criterii de eligibilitate ale solicitantului si ale proiectului</w:t>
            </w:r>
          </w:p>
          <w:p w:rsidR="00FD327E" w:rsidRDefault="00656CDF">
            <w:pPr>
              <w:numPr>
                <w:ilvl w:val="0"/>
                <w:numId w:val="2"/>
              </w:numPr>
              <w:spacing w:after="3"/>
            </w:pPr>
            <w:r>
              <w:rPr>
                <w:sz w:val="18"/>
              </w:rPr>
              <w:t>Anexa 9 – Anexele la depunerea și contractarea cererii de finanţare</w:t>
            </w:r>
          </w:p>
          <w:p w:rsidR="00FD327E" w:rsidRDefault="00656CDF">
            <w:pPr>
              <w:numPr>
                <w:ilvl w:val="0"/>
                <w:numId w:val="2"/>
              </w:numPr>
              <w:spacing w:after="3"/>
            </w:pPr>
            <w:r>
              <w:rPr>
                <w:sz w:val="18"/>
              </w:rPr>
              <w:t>Anexa 10 – Condiţii specifice aplicabile prioritatii de investitii .</w:t>
            </w:r>
          </w:p>
          <w:p w:rsidR="00FD327E" w:rsidRDefault="00656CDF">
            <w:pPr>
              <w:numPr>
                <w:ilvl w:val="0"/>
                <w:numId w:val="2"/>
              </w:numPr>
              <w:spacing w:after="3"/>
            </w:pPr>
            <w:r>
              <w:rPr>
                <w:sz w:val="18"/>
              </w:rPr>
              <w:t>Anexa 11 – Formularul</w:t>
            </w:r>
            <w:r>
              <w:rPr>
                <w:sz w:val="18"/>
              </w:rPr>
              <w:t xml:space="preserve"> cererii de finantare</w:t>
            </w:r>
          </w:p>
          <w:p w:rsidR="00FD327E" w:rsidRDefault="00656CDF">
            <w:pPr>
              <w:numPr>
                <w:ilvl w:val="0"/>
                <w:numId w:val="2"/>
              </w:numPr>
              <w:spacing w:after="3"/>
            </w:pPr>
            <w:r>
              <w:rPr>
                <w:sz w:val="18"/>
              </w:rPr>
              <w:t>Anexa 12 – Instructiuni de completare a cererii de finantare</w:t>
            </w:r>
          </w:p>
          <w:p w:rsidR="00FD327E" w:rsidRDefault="00656CDF">
            <w:pPr>
              <w:numPr>
                <w:ilvl w:val="0"/>
                <w:numId w:val="2"/>
              </w:numPr>
              <w:spacing w:after="0" w:line="262" w:lineRule="auto"/>
            </w:pPr>
            <w:r>
              <w:rPr>
                <w:sz w:val="18"/>
              </w:rPr>
              <w:t>Anexa 13 – Consimtamantul privid prelucrarea datelor cu caraterpersonal</w:t>
            </w:r>
          </w:p>
          <w:p w:rsidR="00FD327E" w:rsidRDefault="00656CDF">
            <w:pPr>
              <w:numPr>
                <w:ilvl w:val="0"/>
                <w:numId w:val="2"/>
              </w:numPr>
              <w:spacing w:after="3"/>
            </w:pPr>
            <w:r>
              <w:rPr>
                <w:sz w:val="18"/>
              </w:rPr>
              <w:t>Anexa 14 – Declaraţie privind evitarea dublei finanţări</w:t>
            </w:r>
          </w:p>
          <w:p w:rsidR="00FD327E" w:rsidRDefault="00656CDF">
            <w:pPr>
              <w:numPr>
                <w:ilvl w:val="0"/>
                <w:numId w:val="2"/>
              </w:numPr>
              <w:spacing w:after="0"/>
            </w:pPr>
            <w:r>
              <w:rPr>
                <w:b/>
                <w:color w:val="FF0000"/>
                <w:sz w:val="18"/>
              </w:rPr>
              <w:t>Anexa 15 – Certificarea aplicatiei</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564"/>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t>3</w:t>
            </w:r>
          </w:p>
        </w:tc>
        <w:tc>
          <w:tcPr>
            <w:tcW w:w="9566" w:type="dxa"/>
            <w:gridSpan w:val="2"/>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0"/>
              <w:ind w:left="24"/>
              <w:jc w:val="center"/>
            </w:pPr>
            <w:r>
              <w:rPr>
                <w:b/>
                <w:color w:val="0070C0"/>
                <w:sz w:val="18"/>
              </w:rPr>
              <w:t>Anexa 6 – Lista de cheltuieli eligibile si neeligibile</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2653"/>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3.1</w:t>
            </w:r>
          </w:p>
        </w:tc>
        <w:tc>
          <w:tcPr>
            <w:tcW w:w="4165" w:type="dxa"/>
            <w:tcBorders>
              <w:top w:val="single" w:sz="5" w:space="0" w:color="000000"/>
              <w:left w:val="single" w:sz="5" w:space="0" w:color="000000"/>
              <w:bottom w:val="single" w:sz="5" w:space="0" w:color="000000"/>
              <w:right w:val="single" w:sz="5" w:space="0" w:color="000000"/>
            </w:tcBorders>
          </w:tcPr>
          <w:p w:rsidR="00FD327E" w:rsidRDefault="00656CDF">
            <w:pPr>
              <w:spacing w:after="243"/>
            </w:pPr>
            <w:r>
              <w:rPr>
                <w:sz w:val="18"/>
              </w:rPr>
              <w:t>42 - studii de teren</w:t>
            </w:r>
          </w:p>
          <w:p w:rsidR="00FD327E" w:rsidRDefault="00656CDF">
            <w:pPr>
              <w:spacing w:after="3"/>
            </w:pPr>
            <w:r>
              <w:rPr>
                <w:sz w:val="18"/>
              </w:rPr>
              <w:t>Aplicabila intregii categorii 14 :</w:t>
            </w:r>
          </w:p>
          <w:p w:rsidR="00FD327E" w:rsidRDefault="00656CDF">
            <w:pPr>
              <w:spacing w:after="0"/>
            </w:pPr>
            <w:r>
              <w:rPr>
                <w:sz w:val="18"/>
              </w:rPr>
              <w:t>Este eligibila in limita maxima a 10% din valoarea cheltuielilor eligibile finantate în cadrul capitolului 4 „Cheltuieli pentru investiţia de bază” , cu excepţia serviciilor de consultanţă pentru asigurarea managementului proiectului, inclusiv cheltuieli n</w:t>
            </w:r>
            <w:r>
              <w:rPr>
                <w:sz w:val="18"/>
              </w:rPr>
              <w:t>ecesare pentru pregatirea proiectului (în cazul externalizarii) și a cheltuielilor cu salariile membrilor echipei de management a proiectului</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sz w:val="18"/>
              </w:rPr>
              <w:t>42 - studii de teren</w:t>
            </w:r>
          </w:p>
          <w:p w:rsidR="00FD327E" w:rsidRDefault="00656CDF">
            <w:pPr>
              <w:spacing w:after="3"/>
            </w:pPr>
            <w:r>
              <w:rPr>
                <w:sz w:val="18"/>
              </w:rPr>
              <w:t>Aplicabila intregii categorii 14 :</w:t>
            </w:r>
          </w:p>
          <w:p w:rsidR="00FD327E" w:rsidRDefault="00656CDF">
            <w:pPr>
              <w:spacing w:after="0"/>
            </w:pPr>
            <w:r>
              <w:rPr>
                <w:sz w:val="18"/>
              </w:rPr>
              <w:t>Este eligibila in limita maxima a 10% din valoarea cheltui</w:t>
            </w:r>
            <w:r>
              <w:rPr>
                <w:sz w:val="18"/>
              </w:rPr>
              <w:t>elilor eligibile finantate în cadrul subcategoriilor 53+54+56</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2893"/>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3.2</w:t>
            </w:r>
          </w:p>
        </w:tc>
        <w:tc>
          <w:tcPr>
            <w:tcW w:w="4165" w:type="dxa"/>
            <w:tcBorders>
              <w:top w:val="single" w:sz="5" w:space="0" w:color="000000"/>
              <w:left w:val="single" w:sz="5" w:space="0" w:color="000000"/>
              <w:bottom w:val="single" w:sz="5" w:space="0" w:color="000000"/>
              <w:right w:val="single" w:sz="5" w:space="0" w:color="000000"/>
            </w:tcBorders>
          </w:tcPr>
          <w:p w:rsidR="00FD327E" w:rsidRDefault="00656CDF">
            <w:pPr>
              <w:spacing w:after="240" w:line="262" w:lineRule="auto"/>
            </w:pPr>
            <w:r>
              <w:rPr>
                <w:sz w:val="18"/>
              </w:rPr>
              <w:t>43 - cheltuieli pentru obţinere avize, acorduri, autorizaţii</w:t>
            </w:r>
          </w:p>
          <w:p w:rsidR="00FD327E" w:rsidRDefault="00656CDF">
            <w:pPr>
              <w:spacing w:after="3"/>
            </w:pPr>
            <w:r>
              <w:rPr>
                <w:sz w:val="18"/>
              </w:rPr>
              <w:t>Aplicabila intregii categorii 14 :</w:t>
            </w:r>
          </w:p>
          <w:p w:rsidR="00FD327E" w:rsidRDefault="00656CDF">
            <w:pPr>
              <w:spacing w:after="0"/>
            </w:pPr>
            <w:r>
              <w:rPr>
                <w:sz w:val="18"/>
              </w:rPr>
              <w:t>Este eligibila in limita maxima a 10% din valoarea cheltuielilor eligibile finantate în cadrul capitolului 4 „Cheltuieli pentru investiţia de bază” , cu excepţia serviciilor de consultanţă pentru asigurarea managementului proiectului, inclusiv cheltuieli n</w:t>
            </w:r>
            <w:r>
              <w:rPr>
                <w:sz w:val="18"/>
              </w:rPr>
              <w:t>ecesare pentru pregatirea proiectului (în cazul externalizarii) și a cheltuielilor cu salariile membrilor echipei de management a proiectului</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0" w:line="262" w:lineRule="auto"/>
              <w:ind w:right="744"/>
            </w:pPr>
            <w:r>
              <w:rPr>
                <w:b/>
                <w:sz w:val="18"/>
              </w:rPr>
              <w:t>43 - cheltuieli pentru obţinere avize, acorduri, autorizaţii</w:t>
            </w:r>
          </w:p>
          <w:p w:rsidR="00FD327E" w:rsidRDefault="00656CDF">
            <w:pPr>
              <w:spacing w:after="3"/>
            </w:pPr>
            <w:r>
              <w:rPr>
                <w:sz w:val="18"/>
              </w:rPr>
              <w:t>Aplicabila intregii categorii 14 :</w:t>
            </w:r>
          </w:p>
          <w:p w:rsidR="00FD327E" w:rsidRDefault="00656CDF">
            <w:pPr>
              <w:spacing w:after="0"/>
              <w:jc w:val="both"/>
            </w:pPr>
            <w:r>
              <w:rPr>
                <w:sz w:val="18"/>
              </w:rPr>
              <w:t>Este eligibila in limita maxima a 10% din valoarea cheltuielilor eligibile finantate</w:t>
            </w:r>
            <w:r>
              <w:rPr>
                <w:b/>
                <w:color w:val="FF0000"/>
                <w:sz w:val="18"/>
              </w:rPr>
              <w:t xml:space="preserve"> în cadrul subcategoriilor 53+54+56</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2653"/>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3.2</w:t>
            </w:r>
          </w:p>
        </w:tc>
        <w:tc>
          <w:tcPr>
            <w:tcW w:w="4165" w:type="dxa"/>
            <w:tcBorders>
              <w:top w:val="single" w:sz="5" w:space="0" w:color="000000"/>
              <w:left w:val="single" w:sz="5" w:space="0" w:color="000000"/>
              <w:bottom w:val="single" w:sz="5" w:space="0" w:color="000000"/>
              <w:right w:val="single" w:sz="5" w:space="0" w:color="000000"/>
            </w:tcBorders>
          </w:tcPr>
          <w:p w:rsidR="00FD327E" w:rsidRDefault="00656CDF">
            <w:pPr>
              <w:spacing w:after="243"/>
            </w:pPr>
            <w:r>
              <w:rPr>
                <w:sz w:val="18"/>
              </w:rPr>
              <w:t>44 - proiectare și inginerie</w:t>
            </w:r>
          </w:p>
          <w:p w:rsidR="00FD327E" w:rsidRDefault="00656CDF">
            <w:pPr>
              <w:spacing w:after="3"/>
            </w:pPr>
            <w:r>
              <w:rPr>
                <w:sz w:val="18"/>
              </w:rPr>
              <w:t>Aplicabila intregii categorii 14 :</w:t>
            </w:r>
          </w:p>
          <w:p w:rsidR="00FD327E" w:rsidRDefault="00656CDF">
            <w:pPr>
              <w:spacing w:after="0"/>
            </w:pPr>
            <w:r>
              <w:rPr>
                <w:sz w:val="18"/>
              </w:rPr>
              <w:t>Este eligibila in limita maxima a 10% din valoarea cheltuielilor eligibile finantate în cadrul capitolului 4 „Cheltuieli pentru investiţia de bază” , cu excepţia serviciilor de consultanţă pentru asigurarea managementului proiectului, inclusiv cheltuieli n</w:t>
            </w:r>
            <w:r>
              <w:rPr>
                <w:sz w:val="18"/>
              </w:rPr>
              <w:t>ecesare pentru pregatirea proiectului (în cazul externalizarii) și a cheltuielilor cu salariile membrilor echipei de management a proiectului</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sz w:val="18"/>
              </w:rPr>
              <w:t>44 - proiectare și inginerie</w:t>
            </w:r>
          </w:p>
          <w:p w:rsidR="00FD327E" w:rsidRDefault="00656CDF">
            <w:pPr>
              <w:spacing w:after="3"/>
            </w:pPr>
            <w:r>
              <w:rPr>
                <w:sz w:val="18"/>
              </w:rPr>
              <w:t>Aplicabila intregii categorii 14 :</w:t>
            </w:r>
          </w:p>
          <w:p w:rsidR="00FD327E" w:rsidRDefault="00656CDF">
            <w:pPr>
              <w:spacing w:after="0"/>
              <w:jc w:val="both"/>
            </w:pPr>
            <w:r>
              <w:rPr>
                <w:sz w:val="18"/>
              </w:rPr>
              <w:t>Este eligibila in limita maxima a 10% din valoarea cheltuielilor eligibile finantate î</w:t>
            </w:r>
            <w:r>
              <w:rPr>
                <w:b/>
                <w:color w:val="FF0000"/>
                <w:sz w:val="18"/>
              </w:rPr>
              <w:t>n cadrul subcategoriilor 53+54+56</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bl>
    <w:p w:rsidR="00FD327E" w:rsidRDefault="00656CDF">
      <w:pPr>
        <w:spacing w:after="0"/>
        <w:ind w:left="-1440" w:right="10460"/>
      </w:pPr>
      <w:r>
        <w:br w:type="page"/>
      </w:r>
    </w:p>
    <w:tbl>
      <w:tblPr>
        <w:tblStyle w:val="TableGrid"/>
        <w:tblpPr w:vertAnchor="page" w:horzAnchor="page" w:tblpX="294" w:tblpY="6"/>
        <w:tblOverlap w:val="never"/>
        <w:tblW w:w="11307" w:type="dxa"/>
        <w:tblInd w:w="0" w:type="dxa"/>
        <w:tblCellMar>
          <w:top w:w="100" w:type="dxa"/>
          <w:left w:w="6" w:type="dxa"/>
          <w:bottom w:w="39" w:type="dxa"/>
          <w:right w:w="39" w:type="dxa"/>
        </w:tblCellMar>
        <w:tblLook w:val="04A0" w:firstRow="1" w:lastRow="0" w:firstColumn="1" w:lastColumn="0" w:noHBand="0" w:noVBand="1"/>
      </w:tblPr>
      <w:tblGrid>
        <w:gridCol w:w="420"/>
        <w:gridCol w:w="4165"/>
        <w:gridCol w:w="5401"/>
        <w:gridCol w:w="156"/>
        <w:gridCol w:w="216"/>
        <w:gridCol w:w="660"/>
        <w:gridCol w:w="288"/>
      </w:tblGrid>
      <w:tr w:rsidR="00FD327E">
        <w:trPr>
          <w:trHeight w:val="2857"/>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3.4</w:t>
            </w:r>
          </w:p>
        </w:tc>
        <w:tc>
          <w:tcPr>
            <w:tcW w:w="4165" w:type="dxa"/>
            <w:tcBorders>
              <w:top w:val="single" w:sz="5" w:space="0" w:color="000000"/>
              <w:left w:val="single" w:sz="5" w:space="0" w:color="000000"/>
              <w:bottom w:val="single" w:sz="5" w:space="0" w:color="000000"/>
              <w:right w:val="single" w:sz="5" w:space="0" w:color="000000"/>
            </w:tcBorders>
          </w:tcPr>
          <w:p w:rsidR="00FD327E" w:rsidRDefault="00656CDF">
            <w:pPr>
              <w:spacing w:after="243"/>
            </w:pPr>
            <w:r>
              <w:rPr>
                <w:sz w:val="18"/>
              </w:rPr>
              <w:t>45 - cheltuieli pentru consultanţă</w:t>
            </w:r>
          </w:p>
          <w:p w:rsidR="00FD327E" w:rsidRDefault="00656CDF">
            <w:pPr>
              <w:spacing w:after="3"/>
            </w:pPr>
            <w:r>
              <w:rPr>
                <w:sz w:val="18"/>
              </w:rPr>
              <w:t>Aplicabila intregii categorii 14 :</w:t>
            </w:r>
          </w:p>
          <w:p w:rsidR="00FD327E" w:rsidRDefault="00656CDF">
            <w:pPr>
              <w:spacing w:after="0"/>
            </w:pPr>
            <w:r>
              <w:rPr>
                <w:sz w:val="18"/>
              </w:rPr>
              <w:t>Este eligibila in limita maxima a 10% din valoarea cheltuielilor eligibile finantate în cadrul capitolului 4 „Cheltuieli pentru investiţia de bază” , cu excepţia serviciilor de consultanţă pentru asigurarea managementului proiectului, inclusiv cheltuieli n</w:t>
            </w:r>
            <w:r>
              <w:rPr>
                <w:sz w:val="18"/>
              </w:rPr>
              <w:t>ecesare pentru pregatirea proiectului (în cazul externalizarii) și a cheltuielilor cu salariile membrilor echipei de management a proiectului</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sz w:val="18"/>
              </w:rPr>
              <w:t>45 - cheltuieli pentru consultanţă</w:t>
            </w:r>
          </w:p>
          <w:p w:rsidR="00FD327E" w:rsidRDefault="00656CDF">
            <w:pPr>
              <w:spacing w:after="3"/>
            </w:pPr>
            <w:r>
              <w:rPr>
                <w:sz w:val="18"/>
              </w:rPr>
              <w:t>Aplicabila intregii categorii 14 :</w:t>
            </w:r>
          </w:p>
          <w:p w:rsidR="00FD327E" w:rsidRDefault="00656CDF">
            <w:pPr>
              <w:spacing w:after="0"/>
              <w:jc w:val="both"/>
            </w:pPr>
            <w:r>
              <w:rPr>
                <w:sz w:val="18"/>
              </w:rPr>
              <w:t>Este eligibila in limita maxima a 10% din va</w:t>
            </w:r>
            <w:r>
              <w:rPr>
                <w:sz w:val="18"/>
              </w:rPr>
              <w:t>loarea cheltuielilor eligibile finantate</w:t>
            </w:r>
            <w:r>
              <w:rPr>
                <w:b/>
                <w:color w:val="FF0000"/>
                <w:sz w:val="18"/>
              </w:rPr>
              <w:t xml:space="preserve"> în cadrul subcategoriilor 53+54+56</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2653"/>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3.5</w:t>
            </w:r>
          </w:p>
        </w:tc>
        <w:tc>
          <w:tcPr>
            <w:tcW w:w="4165" w:type="dxa"/>
            <w:tcBorders>
              <w:top w:val="single" w:sz="5" w:space="0" w:color="000000"/>
              <w:left w:val="single" w:sz="5" w:space="0" w:color="000000"/>
              <w:bottom w:val="single" w:sz="5" w:space="0" w:color="000000"/>
              <w:right w:val="single" w:sz="5" w:space="0" w:color="000000"/>
            </w:tcBorders>
          </w:tcPr>
          <w:p w:rsidR="00FD327E" w:rsidRDefault="00656CDF">
            <w:pPr>
              <w:spacing w:after="243"/>
            </w:pPr>
            <w:r>
              <w:rPr>
                <w:sz w:val="18"/>
              </w:rPr>
              <w:t>46 - cheltuieli pentru asistenţă tehnică</w:t>
            </w:r>
          </w:p>
          <w:p w:rsidR="00FD327E" w:rsidRDefault="00656CDF">
            <w:pPr>
              <w:spacing w:after="3"/>
            </w:pPr>
            <w:r>
              <w:rPr>
                <w:sz w:val="18"/>
              </w:rPr>
              <w:t>Aplicabila intregii categorii 14 :</w:t>
            </w:r>
          </w:p>
          <w:p w:rsidR="00FD327E" w:rsidRDefault="00656CDF">
            <w:pPr>
              <w:spacing w:after="0"/>
            </w:pPr>
            <w:r>
              <w:rPr>
                <w:sz w:val="18"/>
              </w:rPr>
              <w:t>Este eligibila in limita maxima a 10% din valoarea cheltuielilor eligibile finantate în cadrul capitolului 4 „Cheltuieli pentru investiţia de bază” , cu excepţia serviciilor de consultanţă pentru asigurarea managementului proiectului, inclusiv cheltuieli n</w:t>
            </w:r>
            <w:r>
              <w:rPr>
                <w:sz w:val="18"/>
              </w:rPr>
              <w:t>ecesare pentru pregatirea proiectului (în cazul externalizarii) și a cheltuielilor cu salariile membrilor echipei de management a proiectului</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sz w:val="18"/>
              </w:rPr>
              <w:t>46 - cheltuieli pentru asistenţă tehnică</w:t>
            </w:r>
          </w:p>
          <w:p w:rsidR="00FD327E" w:rsidRDefault="00656CDF">
            <w:pPr>
              <w:spacing w:after="3"/>
            </w:pPr>
            <w:r>
              <w:rPr>
                <w:sz w:val="18"/>
              </w:rPr>
              <w:t>Aplicabila intregii categorii 14 :</w:t>
            </w:r>
          </w:p>
          <w:p w:rsidR="00FD327E" w:rsidRDefault="00656CDF">
            <w:pPr>
              <w:spacing w:after="0"/>
              <w:jc w:val="both"/>
            </w:pPr>
            <w:r>
              <w:rPr>
                <w:sz w:val="18"/>
              </w:rPr>
              <w:t xml:space="preserve">Este eligibila in limita maxima a 10% din valoarea cheltuielilor eligibile finantate </w:t>
            </w:r>
            <w:r>
              <w:rPr>
                <w:b/>
                <w:color w:val="FF0000"/>
                <w:sz w:val="18"/>
              </w:rPr>
              <w:t>în cadrul subcategoriilor 53+54+56</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1692"/>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3.6</w:t>
            </w:r>
          </w:p>
        </w:tc>
        <w:tc>
          <w:tcPr>
            <w:tcW w:w="4165" w:type="dxa"/>
            <w:tcBorders>
              <w:top w:val="single" w:sz="5" w:space="0" w:color="000000"/>
              <w:left w:val="single" w:sz="5" w:space="0" w:color="000000"/>
              <w:bottom w:val="single" w:sz="5" w:space="0" w:color="000000"/>
              <w:right w:val="single" w:sz="5" w:space="0" w:color="000000"/>
            </w:tcBorders>
          </w:tcPr>
          <w:p w:rsidR="00FD327E" w:rsidRDefault="00656CDF">
            <w:pPr>
              <w:spacing w:after="243"/>
            </w:pPr>
            <w:r>
              <w:rPr>
                <w:b/>
                <w:sz w:val="18"/>
              </w:rPr>
              <w:t>60 - cheltuieli diverse și neprevăzute</w:t>
            </w:r>
          </w:p>
          <w:p w:rsidR="00FD327E" w:rsidRDefault="00656CDF">
            <w:pPr>
              <w:spacing w:after="0" w:line="262" w:lineRule="auto"/>
            </w:pPr>
            <w:r>
              <w:rPr>
                <w:b/>
                <w:sz w:val="18"/>
              </w:rPr>
              <w:t>Se consideră eligibile dacă sunt detaliate corespunzător prin documente justificative şi doar în limita a 10% din valoarea eligibilă a cheltuielilor eligibile cuprinse la subcapitolul 1.2,</w:t>
            </w:r>
          </w:p>
          <w:p w:rsidR="00FD327E" w:rsidRDefault="00656CDF">
            <w:pPr>
              <w:spacing w:after="0"/>
            </w:pPr>
            <w:r>
              <w:rPr>
                <w:b/>
                <w:sz w:val="18"/>
              </w:rPr>
              <w:t>1.3 capitolul 2 si capitolul 4</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sz w:val="18"/>
              </w:rPr>
              <w:t>60 - cheltuieli diverse și neprevăzu</w:t>
            </w:r>
            <w:r>
              <w:rPr>
                <w:b/>
                <w:sz w:val="18"/>
              </w:rPr>
              <w:t>te</w:t>
            </w:r>
          </w:p>
          <w:p w:rsidR="00FD327E" w:rsidRDefault="00656CDF">
            <w:pPr>
              <w:spacing w:after="0" w:line="262" w:lineRule="auto"/>
            </w:pPr>
            <w:r>
              <w:rPr>
                <w:b/>
                <w:sz w:val="18"/>
              </w:rPr>
              <w:t xml:space="preserve">Se consideră eligibile dacă sunt detaliate corespunzător prin documente justificative şi doar în limita a 10% din valoarea eligibilă a cheltuielilor eligibile </w:t>
            </w:r>
            <w:r>
              <w:rPr>
                <w:b/>
                <w:color w:val="FF0000"/>
                <w:sz w:val="18"/>
              </w:rPr>
              <w:t>cuprinse la subcategoriile</w:t>
            </w:r>
          </w:p>
          <w:p w:rsidR="00FD327E" w:rsidRDefault="00656CDF">
            <w:pPr>
              <w:spacing w:after="0"/>
            </w:pPr>
            <w:r>
              <w:rPr>
                <w:b/>
                <w:color w:val="FF0000"/>
                <w:sz w:val="18"/>
              </w:rPr>
              <w:t>38+39+40+53+54+56</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6698"/>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3.7</w:t>
            </w:r>
          </w:p>
        </w:tc>
        <w:tc>
          <w:tcPr>
            <w:tcW w:w="9566" w:type="dxa"/>
            <w:gridSpan w:val="2"/>
            <w:tcBorders>
              <w:top w:val="single" w:sz="5" w:space="0" w:color="000000"/>
              <w:left w:val="single" w:sz="5" w:space="0" w:color="000000"/>
              <w:bottom w:val="single" w:sz="5" w:space="0" w:color="000000"/>
              <w:right w:val="single" w:sz="5" w:space="0" w:color="000000"/>
            </w:tcBorders>
          </w:tcPr>
          <w:p w:rsidR="00FD327E" w:rsidRDefault="00656CDF">
            <w:pPr>
              <w:spacing w:after="243"/>
              <w:ind w:right="16"/>
              <w:jc w:val="center"/>
            </w:pPr>
            <w:r>
              <w:rPr>
                <w:b/>
                <w:sz w:val="18"/>
              </w:rPr>
              <w:t xml:space="preserve">S-a introdus o noua subcategorie de cheltuieli : </w:t>
            </w:r>
          </w:p>
          <w:p w:rsidR="00FD327E" w:rsidRDefault="00656CDF">
            <w:pPr>
              <w:spacing w:after="243"/>
              <w:ind w:left="34"/>
              <w:jc w:val="center"/>
            </w:pPr>
            <w:r>
              <w:rPr>
                <w:b/>
                <w:color w:val="FF0000"/>
                <w:sz w:val="18"/>
              </w:rPr>
              <w:t>56 - Cheltuieli conexe investitiei de baza</w:t>
            </w:r>
            <w:r>
              <w:rPr>
                <w:b/>
                <w:sz w:val="18"/>
              </w:rPr>
              <w:t>.</w:t>
            </w:r>
          </w:p>
          <w:p w:rsidR="00FD327E" w:rsidRDefault="00656CDF">
            <w:pPr>
              <w:spacing w:after="240" w:line="262" w:lineRule="auto"/>
              <w:jc w:val="center"/>
            </w:pPr>
            <w:r>
              <w:rPr>
                <w:b/>
                <w:sz w:val="18"/>
              </w:rPr>
              <w:t>În cadrul proiectului, proiectantul poate delimita un obiect conex obiectivului de investitie cuprinzand lucrări și dotări care se execută pe amplasamentul delimitat din punct de vedere juridic al proiectului pentru :</w:t>
            </w:r>
          </w:p>
          <w:p w:rsidR="00FD327E" w:rsidRDefault="00656CDF">
            <w:pPr>
              <w:numPr>
                <w:ilvl w:val="0"/>
                <w:numId w:val="3"/>
              </w:numPr>
              <w:spacing w:after="3"/>
              <w:jc w:val="center"/>
            </w:pPr>
            <w:r>
              <w:rPr>
                <w:b/>
                <w:sz w:val="18"/>
              </w:rPr>
              <w:t>Repararea sistemului de colectare a ap</w:t>
            </w:r>
            <w:r>
              <w:rPr>
                <w:b/>
                <w:sz w:val="18"/>
              </w:rPr>
              <w:t>elor meteorice de la nivelul terasei ;</w:t>
            </w:r>
          </w:p>
          <w:p w:rsidR="00FD327E" w:rsidRDefault="00656CDF">
            <w:pPr>
              <w:numPr>
                <w:ilvl w:val="0"/>
                <w:numId w:val="3"/>
              </w:numPr>
              <w:spacing w:after="3"/>
              <w:jc w:val="center"/>
            </w:pPr>
            <w:r>
              <w:rPr>
                <w:b/>
                <w:sz w:val="18"/>
              </w:rPr>
              <w:t>Reabilitarea/construirea aleilor și a căilor de acces pe amplasamentul delimitat din punct de vedere juridic al</w:t>
            </w:r>
          </w:p>
          <w:p w:rsidR="00FD327E" w:rsidRDefault="00656CDF">
            <w:pPr>
              <w:spacing w:after="3"/>
              <w:ind w:left="32"/>
              <w:jc w:val="center"/>
            </w:pPr>
            <w:r>
              <w:rPr>
                <w:b/>
                <w:sz w:val="18"/>
              </w:rPr>
              <w:t>imobilului;</w:t>
            </w:r>
          </w:p>
          <w:p w:rsidR="00FD327E" w:rsidRDefault="00656CDF">
            <w:pPr>
              <w:numPr>
                <w:ilvl w:val="0"/>
                <w:numId w:val="3"/>
              </w:numPr>
              <w:spacing w:after="0" w:line="262" w:lineRule="auto"/>
              <w:jc w:val="center"/>
            </w:pPr>
            <w:r>
              <w:rPr>
                <w:b/>
                <w:sz w:val="18"/>
              </w:rPr>
              <w:t>Iluminatul exterior . Eg: iluminatul aleilor, iluminatul căilor de acces către ambulatoriu și</w:t>
            </w:r>
            <w:r>
              <w:rPr>
                <w:b/>
                <w:sz w:val="18"/>
              </w:rPr>
              <w:t xml:space="preserve"> de la ambulatoriu cătresecţiile/clădirile spitalului, iluminatul căilor de acces către și de la UPU/CPU. Nu sunt eligibile cheltuielile cu</w:t>
            </w:r>
          </w:p>
          <w:p w:rsidR="00FD327E" w:rsidRDefault="00656CDF">
            <w:pPr>
              <w:spacing w:after="3"/>
              <w:ind w:left="34"/>
              <w:jc w:val="center"/>
            </w:pPr>
            <w:r>
              <w:rPr>
                <w:b/>
                <w:sz w:val="18"/>
              </w:rPr>
              <w:t>iluminatul architectural.</w:t>
            </w:r>
          </w:p>
          <w:p w:rsidR="00FD327E" w:rsidRDefault="00656CDF">
            <w:pPr>
              <w:numPr>
                <w:ilvl w:val="0"/>
                <w:numId w:val="3"/>
              </w:numPr>
              <w:spacing w:after="3"/>
              <w:jc w:val="center"/>
            </w:pPr>
            <w:r>
              <w:rPr>
                <w:b/>
                <w:sz w:val="18"/>
              </w:rPr>
              <w:t>Recondiţionare/Realizare spaţii verzi;</w:t>
            </w:r>
          </w:p>
          <w:p w:rsidR="00FD327E" w:rsidRDefault="00656CDF">
            <w:pPr>
              <w:numPr>
                <w:ilvl w:val="0"/>
                <w:numId w:val="3"/>
              </w:numPr>
              <w:spacing w:after="3"/>
              <w:jc w:val="center"/>
            </w:pPr>
            <w:r>
              <w:rPr>
                <w:b/>
                <w:sz w:val="18"/>
              </w:rPr>
              <w:t>Construire clădire aferentă centralei termice;</w:t>
            </w:r>
          </w:p>
          <w:p w:rsidR="00FD327E" w:rsidRDefault="00656CDF">
            <w:pPr>
              <w:numPr>
                <w:ilvl w:val="0"/>
                <w:numId w:val="3"/>
              </w:numPr>
              <w:spacing w:after="3"/>
              <w:jc w:val="center"/>
            </w:pPr>
            <w:r>
              <w:rPr>
                <w:b/>
                <w:sz w:val="18"/>
              </w:rPr>
              <w:t>Cons</w:t>
            </w:r>
            <w:r>
              <w:rPr>
                <w:b/>
                <w:sz w:val="18"/>
              </w:rPr>
              <w:t>truire/reabilitare/modernizare/extindere parcare pentru ambulanţe/autosanitare/autospeciale de intervenţie</w:t>
            </w:r>
          </w:p>
          <w:p w:rsidR="00FD327E" w:rsidRDefault="00656CDF">
            <w:pPr>
              <w:spacing w:after="243"/>
              <w:ind w:left="34"/>
              <w:jc w:val="center"/>
            </w:pPr>
            <w:r>
              <w:rPr>
                <w:b/>
                <w:sz w:val="18"/>
              </w:rPr>
              <w:t>a medicului de urgenţă/autospeciale de consultaţii la domiciliu</w:t>
            </w:r>
          </w:p>
          <w:p w:rsidR="00FD327E" w:rsidRDefault="00656CDF">
            <w:pPr>
              <w:spacing w:after="0" w:line="262" w:lineRule="auto"/>
              <w:jc w:val="center"/>
            </w:pPr>
            <w:r>
              <w:rPr>
                <w:b/>
                <w:sz w:val="18"/>
              </w:rPr>
              <w:t>Se cuprind cheltuielile pentru procurarea de bunuri aferente obiectivului conex care,</w:t>
            </w:r>
            <w:r>
              <w:rPr>
                <w:b/>
                <w:sz w:val="18"/>
              </w:rPr>
              <w:t xml:space="preserve"> conform legii, intră în categoria mijloacelor fixe şi/sau obiectelor de inventar,sunt necesare implementarii proiectului şi respectă</w:t>
            </w:r>
          </w:p>
          <w:p w:rsidR="00FD327E" w:rsidRDefault="00656CDF">
            <w:pPr>
              <w:spacing w:after="3"/>
              <w:ind w:left="34"/>
              <w:jc w:val="center"/>
            </w:pPr>
            <w:r>
              <w:rPr>
                <w:b/>
                <w:sz w:val="18"/>
              </w:rPr>
              <w:t>prevederile contractului de finanţare.</w:t>
            </w:r>
          </w:p>
          <w:p w:rsidR="00FD327E" w:rsidRDefault="00656CDF">
            <w:pPr>
              <w:spacing w:after="0" w:line="262" w:lineRule="auto"/>
              <w:jc w:val="center"/>
            </w:pPr>
            <w:r>
              <w:rPr>
                <w:b/>
                <w:sz w:val="18"/>
              </w:rPr>
              <w:t>Recondiţionarea/Realizarea căilor de acces alături de iluminatul acestora vor fi el</w:t>
            </w:r>
            <w:r>
              <w:rPr>
                <w:b/>
                <w:sz w:val="18"/>
              </w:rPr>
              <w:t>igibile în condiţiile în care vor fi realizate pe același amplasament delimitat din punct de vedere juridic cu clădirea în care își desfășoară activitatea</w:t>
            </w:r>
          </w:p>
          <w:p w:rsidR="00FD327E" w:rsidRDefault="00656CDF">
            <w:pPr>
              <w:spacing w:after="243"/>
              <w:ind w:left="32"/>
              <w:jc w:val="center"/>
            </w:pPr>
            <w:r>
              <w:rPr>
                <w:b/>
                <w:sz w:val="18"/>
              </w:rPr>
              <w:t>ambulatoriul ( eg. Curtea spitalului)</w:t>
            </w:r>
          </w:p>
          <w:p w:rsidR="00FD327E" w:rsidRDefault="00656CDF">
            <w:pPr>
              <w:spacing w:after="3"/>
              <w:ind w:left="36"/>
              <w:jc w:val="center"/>
            </w:pPr>
            <w:r>
              <w:rPr>
                <w:b/>
                <w:sz w:val="18"/>
              </w:rPr>
              <w:t>Incadrarea acestora se va face distinct in subcategoria corespunzatoare</w:t>
            </w:r>
          </w:p>
          <w:p w:rsidR="00FD327E" w:rsidRDefault="00656CDF">
            <w:pPr>
              <w:spacing w:after="0"/>
              <w:ind w:left="60"/>
              <w:jc w:val="both"/>
            </w:pPr>
            <w:r>
              <w:rPr>
                <w:b/>
                <w:sz w:val="18"/>
              </w:rPr>
              <w:t>SUNT ELIGIBILE DOAR IN LIMITA A 15% DIN VALOAREA ELIGIBILA A SUBATEGORIILOR 38+39+40+53+54+57</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bl>
    <w:p w:rsidR="00FD327E" w:rsidRDefault="00656CDF">
      <w:pPr>
        <w:spacing w:after="0"/>
        <w:ind w:left="-1440" w:right="10460"/>
      </w:pPr>
      <w:r>
        <w:br w:type="page"/>
      </w:r>
    </w:p>
    <w:tbl>
      <w:tblPr>
        <w:tblStyle w:val="TableGrid"/>
        <w:tblpPr w:vertAnchor="page" w:horzAnchor="page" w:tblpX="294" w:tblpY="6"/>
        <w:tblOverlap w:val="never"/>
        <w:tblW w:w="11307" w:type="dxa"/>
        <w:tblInd w:w="0" w:type="dxa"/>
        <w:tblCellMar>
          <w:top w:w="100" w:type="dxa"/>
          <w:left w:w="6" w:type="dxa"/>
          <w:bottom w:w="269" w:type="dxa"/>
          <w:right w:w="3" w:type="dxa"/>
        </w:tblCellMar>
        <w:tblLook w:val="04A0" w:firstRow="1" w:lastRow="0" w:firstColumn="1" w:lastColumn="0" w:noHBand="0" w:noVBand="1"/>
      </w:tblPr>
      <w:tblGrid>
        <w:gridCol w:w="420"/>
        <w:gridCol w:w="4165"/>
        <w:gridCol w:w="5401"/>
        <w:gridCol w:w="156"/>
        <w:gridCol w:w="216"/>
        <w:gridCol w:w="660"/>
        <w:gridCol w:w="288"/>
      </w:tblGrid>
      <w:tr w:rsidR="00FD327E">
        <w:trPr>
          <w:trHeight w:val="10083"/>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t>4</w:t>
            </w:r>
          </w:p>
        </w:tc>
        <w:tc>
          <w:tcPr>
            <w:tcW w:w="4165" w:type="dxa"/>
            <w:tcBorders>
              <w:top w:val="single" w:sz="5" w:space="0" w:color="000000"/>
              <w:left w:val="single" w:sz="5" w:space="0" w:color="000000"/>
              <w:bottom w:val="single" w:sz="5" w:space="0" w:color="000000"/>
              <w:right w:val="single" w:sz="5" w:space="0" w:color="000000"/>
            </w:tcBorders>
          </w:tcPr>
          <w:p w:rsidR="00FD327E" w:rsidRDefault="00656CDF">
            <w:pPr>
              <w:spacing w:after="240" w:line="262" w:lineRule="auto"/>
            </w:pPr>
            <w:r>
              <w:rPr>
                <w:b/>
                <w:color w:val="0070C0"/>
                <w:sz w:val="18"/>
              </w:rPr>
              <w:t>Anexa 8.A – Criterii de eligibilitate ale solicitantului</w:t>
            </w:r>
          </w:p>
          <w:p w:rsidR="00FD327E" w:rsidRDefault="00656CDF">
            <w:pPr>
              <w:numPr>
                <w:ilvl w:val="0"/>
                <w:numId w:val="4"/>
              </w:numPr>
              <w:spacing w:after="240" w:line="262" w:lineRule="auto"/>
              <w:ind w:right="300"/>
              <w:jc w:val="both"/>
            </w:pPr>
            <w:r>
              <w:rPr>
                <w:sz w:val="18"/>
              </w:rPr>
              <w:t>Solicitantul de finanţare/partenerii trebuie sădemonstreze drepturile asupra imobilului conform prevederilor ghidului specific al solicitantului</w:t>
            </w:r>
          </w:p>
          <w:p w:rsidR="00FD327E" w:rsidRDefault="00656CDF">
            <w:pPr>
              <w:spacing w:after="240" w:line="262" w:lineRule="auto"/>
            </w:pPr>
            <w:r>
              <w:rPr>
                <w:sz w:val="18"/>
              </w:rPr>
              <w:t>5.1 Drepturile eligibile la data depunerii cererii de finanţare și pe o perioadă de minim 5 ani de la data plăţii finale, aplicabile apelurilor care se lansează prin prezentul ghid, sunt :</w:t>
            </w:r>
          </w:p>
          <w:p w:rsidR="00FD327E" w:rsidRDefault="00656CDF">
            <w:pPr>
              <w:spacing w:after="3"/>
            </w:pPr>
            <w:r>
              <w:rPr>
                <w:sz w:val="18"/>
              </w:rPr>
              <w:t>a)Dreptul de proprietate publică sau privată</w:t>
            </w:r>
          </w:p>
          <w:p w:rsidR="00FD327E" w:rsidRDefault="00656CDF">
            <w:pPr>
              <w:spacing w:after="205" w:line="300" w:lineRule="auto"/>
            </w:pPr>
            <w:r>
              <w:rPr>
                <w:sz w:val="18"/>
              </w:rPr>
              <w:t>b)Dreptul de administr</w:t>
            </w:r>
            <w:r>
              <w:rPr>
                <w:sz w:val="18"/>
              </w:rPr>
              <w:t>are aferent proprietăţii publice Ȋn conformitate cu prevederile Codului Civil şi a Legii nr.213/1998</w:t>
            </w:r>
          </w:p>
          <w:p w:rsidR="00FD327E" w:rsidRDefault="00656CDF">
            <w:pPr>
              <w:spacing w:after="240" w:line="262" w:lineRule="auto"/>
            </w:pPr>
            <w:r>
              <w:rPr>
                <w:sz w:val="18"/>
              </w:rPr>
              <w:t>Pentru proiectele care vizeaza exclusiv dotari (acele proiecte care nu includ lucrari ce necesita sau nu necesita autorizare conform legii) nu este necesar</w:t>
            </w:r>
            <w:r>
              <w:rPr>
                <w:sz w:val="18"/>
              </w:rPr>
              <w:t xml:space="preserve">a dovedirea dreptului de proprietate. </w:t>
            </w:r>
          </w:p>
          <w:p w:rsidR="00FD327E" w:rsidRDefault="00656CDF">
            <w:pPr>
              <w:spacing w:after="240" w:line="262" w:lineRule="auto"/>
            </w:pPr>
            <w:r>
              <w:rPr>
                <w:sz w:val="18"/>
              </w:rPr>
              <w:t>În accepţiunea AMPOR, dreptul de administrare înscris în Cartea funciară în favoarea unei instituţii de drept public, cu personalitate juridică şi care desfăşoară activităţi în domeniul sănătăţii, nu este considerat s</w:t>
            </w:r>
            <w:r>
              <w:rPr>
                <w:sz w:val="18"/>
              </w:rPr>
              <w:t>arcină. Proiectul devine neeligibil dacă intervine o hotărâre judecătorească definitivă până la finalizarea perioadei de durabilitate, care să afecteze dreptul invocat de către solicitant pentru realizarea proiectului.</w:t>
            </w:r>
          </w:p>
          <w:p w:rsidR="00FD327E" w:rsidRDefault="00656CDF">
            <w:pPr>
              <w:spacing w:after="240" w:line="262" w:lineRule="auto"/>
            </w:pPr>
            <w:r>
              <w:rPr>
                <w:sz w:val="18"/>
              </w:rPr>
              <w:t>Se acceptă dreptul de proprietate pri</w:t>
            </w:r>
            <w:r>
              <w:rPr>
                <w:sz w:val="18"/>
              </w:rPr>
              <w:t xml:space="preserve">n înscrierea provizorie a acestuia. </w:t>
            </w:r>
          </w:p>
          <w:p w:rsidR="00FD327E" w:rsidRDefault="00656CDF">
            <w:pPr>
              <w:spacing w:after="0"/>
              <w:ind w:right="8"/>
            </w:pPr>
            <w:r>
              <w:rPr>
                <w:sz w:val="18"/>
              </w:rPr>
              <w:t>Beneficiarul trebuie să aibe înscrierea definitivă a dreptului de proprietate în termen de maxim 12 luni de la data intrării în vigoare a contractului de finanţare in conformitate cu clauzele specifice aplicabile prezen</w:t>
            </w:r>
            <w:r>
              <w:rPr>
                <w:sz w:val="18"/>
              </w:rPr>
              <w:t>telor apeluri .</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color w:val="0070C0"/>
                <w:sz w:val="18"/>
              </w:rPr>
              <w:t>Anexa 8.A – Criterii de eligibilitate ale solicitantului</w:t>
            </w:r>
          </w:p>
          <w:p w:rsidR="00FD327E" w:rsidRDefault="00656CDF">
            <w:pPr>
              <w:numPr>
                <w:ilvl w:val="0"/>
                <w:numId w:val="5"/>
              </w:numPr>
              <w:spacing w:after="240" w:line="262" w:lineRule="auto"/>
              <w:ind w:right="540"/>
              <w:jc w:val="both"/>
            </w:pPr>
            <w:r>
              <w:rPr>
                <w:sz w:val="18"/>
              </w:rPr>
              <w:t>Solicitantul de finanţare/partenerii trebuie să demonstrezedrepturile asupra imobilului conform prevederilor ghidului specific al solicitantului</w:t>
            </w:r>
          </w:p>
          <w:p w:rsidR="00FD327E" w:rsidRDefault="00656CDF">
            <w:pPr>
              <w:spacing w:after="240" w:line="262" w:lineRule="auto"/>
            </w:pPr>
            <w:r>
              <w:rPr>
                <w:sz w:val="18"/>
              </w:rPr>
              <w:t>5.1 Drepturile eligibile la data depun</w:t>
            </w:r>
            <w:r>
              <w:rPr>
                <w:sz w:val="18"/>
              </w:rPr>
              <w:t>erii cererii de finanţare și pe o perioadă de minim 5 ani de la data plăţii finale, aplicabile apelurilor care se lansează prin prezentul ghid, sunt :</w:t>
            </w:r>
          </w:p>
          <w:p w:rsidR="00FD327E" w:rsidRDefault="00656CDF">
            <w:pPr>
              <w:spacing w:after="55"/>
            </w:pPr>
            <w:r>
              <w:rPr>
                <w:sz w:val="18"/>
              </w:rPr>
              <w:t>a)Dreptul de proprietate publică sau privată</w:t>
            </w:r>
          </w:p>
          <w:p w:rsidR="00FD327E" w:rsidRDefault="00656CDF">
            <w:pPr>
              <w:spacing w:after="223" w:line="281" w:lineRule="auto"/>
            </w:pPr>
            <w:r>
              <w:rPr>
                <w:sz w:val="18"/>
              </w:rPr>
              <w:t xml:space="preserve">b)Dreptul de administrare aferent proprietăţii publice - Ȋn </w:t>
            </w:r>
            <w:r>
              <w:rPr>
                <w:sz w:val="18"/>
              </w:rPr>
              <w:t>conformitate cu prevederile Codului Civil şi a Legii nr.213/1998</w:t>
            </w:r>
          </w:p>
          <w:p w:rsidR="00FD327E" w:rsidRDefault="00656CDF">
            <w:pPr>
              <w:spacing w:after="240" w:line="262" w:lineRule="auto"/>
            </w:pPr>
            <w:r>
              <w:rPr>
                <w:b/>
                <w:color w:val="FF0000"/>
                <w:sz w:val="18"/>
              </w:rPr>
              <w:t>Pentru proiectele, inclusiv obiectele de investitii care vizeaza doar dotari/ activitati doar de dotare si au lucrari care nu necesita autorizarea, nu este necesara dovedirea dreptului de pro</w:t>
            </w:r>
            <w:r>
              <w:rPr>
                <w:b/>
                <w:color w:val="FF0000"/>
                <w:sz w:val="18"/>
              </w:rPr>
              <w:t xml:space="preserve">prietate. </w:t>
            </w:r>
          </w:p>
          <w:p w:rsidR="00FD327E" w:rsidRDefault="00656CDF">
            <w:pPr>
              <w:spacing w:after="240" w:line="262" w:lineRule="auto"/>
            </w:pPr>
            <w:r>
              <w:rPr>
                <w:b/>
                <w:color w:val="FF0000"/>
                <w:sz w:val="18"/>
              </w:rPr>
              <w:t>Pentru proiectele, inclusiv obiectele de investitii care vizeaza doar dotari / activitati doar de dotare si au lucrari care necesita autorizarea, se vor aplica prevederile punctelor 5.1.A sau 5.1.B, dupa caz.</w:t>
            </w:r>
          </w:p>
          <w:p w:rsidR="00FD327E" w:rsidRDefault="00656CDF">
            <w:pPr>
              <w:spacing w:after="240" w:line="262" w:lineRule="auto"/>
            </w:pPr>
            <w:r>
              <w:rPr>
                <w:sz w:val="18"/>
              </w:rPr>
              <w:t>În accepţiunea AMPOR, dreptul de administrare înscris în Cartea funciară în favoarea unei instituţii de drept public, cu personalitate juridică şi care desfăşoară activităţi în domeniul sănătăţii, nu este considerat sarcină. Proiectul devine neeligibil dac</w:t>
            </w:r>
            <w:r>
              <w:rPr>
                <w:sz w:val="18"/>
              </w:rPr>
              <w:t>ă intervine o hotărâre judecătorească definitivă până la finalizarea perioadei de durabilitate, care să afecteze dreptul invocat de către solicitant pentru realizarea proiectului.</w:t>
            </w:r>
          </w:p>
          <w:p w:rsidR="00FD327E" w:rsidRDefault="00656CDF">
            <w:pPr>
              <w:spacing w:after="240" w:line="262" w:lineRule="auto"/>
            </w:pPr>
            <w:r>
              <w:rPr>
                <w:sz w:val="18"/>
              </w:rPr>
              <w:t xml:space="preserve">Se acceptă dreptul de proprietate prin înscrierea provizorie a acestuia. </w:t>
            </w:r>
          </w:p>
          <w:p w:rsidR="00FD327E" w:rsidRDefault="00656CDF">
            <w:pPr>
              <w:spacing w:after="0"/>
            </w:pPr>
            <w:r>
              <w:rPr>
                <w:sz w:val="18"/>
              </w:rPr>
              <w:t>Be</w:t>
            </w:r>
            <w:r>
              <w:rPr>
                <w:sz w:val="18"/>
              </w:rPr>
              <w:t>neficiarul trebuie să aibe înscrierea definitivă a dreptului de proprietate în termen de maxim 12 luni de la data intrării în vigoare a contractului de finanţare in conformitate cu clauzele specifice aplicabile prezentelor apeluri .</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bl>
    <w:p w:rsidR="00FD327E" w:rsidRDefault="00656CDF">
      <w:pPr>
        <w:spacing w:after="0"/>
        <w:ind w:left="-1440" w:right="10460"/>
      </w:pPr>
      <w:r>
        <w:br w:type="page"/>
      </w:r>
    </w:p>
    <w:tbl>
      <w:tblPr>
        <w:tblStyle w:val="TableGrid"/>
        <w:tblpPr w:vertAnchor="page" w:horzAnchor="page" w:tblpX="294" w:tblpY="6"/>
        <w:tblOverlap w:val="never"/>
        <w:tblW w:w="11307" w:type="dxa"/>
        <w:tblInd w:w="0" w:type="dxa"/>
        <w:tblCellMar>
          <w:top w:w="100" w:type="dxa"/>
          <w:left w:w="6" w:type="dxa"/>
          <w:bottom w:w="41" w:type="dxa"/>
          <w:right w:w="15" w:type="dxa"/>
        </w:tblCellMar>
        <w:tblLook w:val="04A0" w:firstRow="1" w:lastRow="0" w:firstColumn="1" w:lastColumn="0" w:noHBand="0" w:noVBand="1"/>
      </w:tblPr>
      <w:tblGrid>
        <w:gridCol w:w="420"/>
        <w:gridCol w:w="4165"/>
        <w:gridCol w:w="5401"/>
        <w:gridCol w:w="156"/>
        <w:gridCol w:w="216"/>
        <w:gridCol w:w="660"/>
        <w:gridCol w:w="288"/>
      </w:tblGrid>
      <w:tr w:rsidR="00FD327E">
        <w:trPr>
          <w:trHeight w:val="7946"/>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t>5</w:t>
            </w:r>
          </w:p>
        </w:tc>
        <w:tc>
          <w:tcPr>
            <w:tcW w:w="4165"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jc w:val="both"/>
            </w:pPr>
            <w:r>
              <w:rPr>
                <w:b/>
                <w:color w:val="0070C0"/>
                <w:sz w:val="18"/>
              </w:rPr>
              <w:t xml:space="preserve">Anexa 8.B – Criterii de eligibilitate ale proiectului </w:t>
            </w:r>
          </w:p>
          <w:p w:rsidR="00FD327E" w:rsidRDefault="00656CDF">
            <w:pPr>
              <w:numPr>
                <w:ilvl w:val="0"/>
                <w:numId w:val="6"/>
              </w:numPr>
              <w:spacing w:after="0" w:line="262" w:lineRule="auto"/>
            </w:pPr>
            <w:r>
              <w:rPr>
                <w:color w:val="7030A0"/>
                <w:sz w:val="18"/>
              </w:rPr>
              <w:t>Proiectul precum și activităţile proiectului seîncadrează în obiectivele specifice corespunzătoare priorităţii de investiţii 8.1 a POR.</w:t>
            </w:r>
          </w:p>
          <w:p w:rsidR="00FD327E" w:rsidRDefault="00656CDF">
            <w:pPr>
              <w:spacing w:after="0" w:line="262" w:lineRule="auto"/>
            </w:pPr>
            <w:r>
              <w:rPr>
                <w:color w:val="7030A0"/>
                <w:sz w:val="18"/>
              </w:rPr>
              <w:t xml:space="preserve"> Pentru a fi eligibil proiectul trebuie să se încadreze în obiect</w:t>
            </w:r>
            <w:r>
              <w:rPr>
                <w:color w:val="7030A0"/>
                <w:sz w:val="18"/>
              </w:rPr>
              <w:t>ivul specific 8.1 sau 8.2 al priorităţii de investiţii</w:t>
            </w:r>
          </w:p>
          <w:p w:rsidR="00FD327E" w:rsidRDefault="00656CDF">
            <w:pPr>
              <w:spacing w:after="240" w:line="262" w:lineRule="auto"/>
              <w:jc w:val="both"/>
            </w:pPr>
            <w:r>
              <w:rPr>
                <w:color w:val="7030A0"/>
                <w:sz w:val="18"/>
              </w:rPr>
              <w:t>8.1. finanţate prin POR 2014-2020, conform prevederilor ghidului specific al solicitantului.</w:t>
            </w:r>
          </w:p>
          <w:p w:rsidR="00FD327E" w:rsidRDefault="00656CDF">
            <w:pPr>
              <w:numPr>
                <w:ilvl w:val="1"/>
                <w:numId w:val="6"/>
              </w:numPr>
              <w:spacing w:after="0" w:line="262" w:lineRule="auto"/>
            </w:pPr>
            <w:r>
              <w:rPr>
                <w:sz w:val="18"/>
              </w:rPr>
              <w:t>Eligibilitatea unei activităţi nu implică în modobligatoriu eligibilitatea cheltuielilor efectuate pentru re</w:t>
            </w:r>
            <w:r>
              <w:rPr>
                <w:sz w:val="18"/>
              </w:rPr>
              <w:t xml:space="preserve">alizarea respectivei activităţi. </w:t>
            </w:r>
          </w:p>
          <w:p w:rsidR="00FD327E" w:rsidRDefault="00656CDF">
            <w:pPr>
              <w:numPr>
                <w:ilvl w:val="1"/>
                <w:numId w:val="6"/>
              </w:numPr>
              <w:spacing w:after="3"/>
            </w:pPr>
            <w:r>
              <w:rPr>
                <w:sz w:val="18"/>
              </w:rPr>
              <w:t>În acest sens, recomandăm consultarea:</w:t>
            </w:r>
          </w:p>
          <w:p w:rsidR="00FD327E" w:rsidRDefault="00656CDF">
            <w:pPr>
              <w:numPr>
                <w:ilvl w:val="0"/>
                <w:numId w:val="7"/>
              </w:numPr>
              <w:spacing w:after="3"/>
              <w:ind w:hanging="108"/>
            </w:pPr>
            <w:r>
              <w:rPr>
                <w:sz w:val="18"/>
              </w:rPr>
              <w:t xml:space="preserve">Secţiunii 1.1 din prezentul Ghid. </w:t>
            </w:r>
          </w:p>
          <w:p w:rsidR="00FD327E" w:rsidRDefault="00656CDF">
            <w:pPr>
              <w:numPr>
                <w:ilvl w:val="0"/>
                <w:numId w:val="7"/>
              </w:numPr>
              <w:spacing w:after="3"/>
              <w:ind w:hanging="108"/>
            </w:pPr>
            <w:r>
              <w:rPr>
                <w:sz w:val="18"/>
              </w:rPr>
              <w:t xml:space="preserve">Anexei 6 - Lista de cheltuieli eligibile si neeligibile </w:t>
            </w:r>
          </w:p>
          <w:p w:rsidR="00FD327E" w:rsidRDefault="00656CDF">
            <w:pPr>
              <w:numPr>
                <w:ilvl w:val="0"/>
                <w:numId w:val="7"/>
              </w:numPr>
              <w:spacing w:after="243"/>
              <w:ind w:hanging="108"/>
            </w:pPr>
            <w:r>
              <w:rPr>
                <w:sz w:val="18"/>
              </w:rPr>
              <w:t>Anexei 7 - Termeni și definiţii</w:t>
            </w:r>
          </w:p>
          <w:p w:rsidR="00FD327E" w:rsidRDefault="00656CDF">
            <w:pPr>
              <w:spacing w:after="0"/>
            </w:pPr>
            <w:r>
              <w:rPr>
                <w:sz w:val="18"/>
              </w:rPr>
              <w:t xml:space="preserve">S-a eliminat urmatoarele criterii : criteriul nr. 8 si criteriul nr.9 </w:t>
            </w:r>
          </w:p>
        </w:tc>
        <w:tc>
          <w:tcPr>
            <w:tcW w:w="5401" w:type="dxa"/>
            <w:tcBorders>
              <w:top w:val="single" w:sz="5" w:space="0" w:color="000000"/>
              <w:left w:val="single" w:sz="5" w:space="0" w:color="000000"/>
              <w:bottom w:val="single" w:sz="5" w:space="0" w:color="000000"/>
              <w:right w:val="single" w:sz="5" w:space="0" w:color="000000"/>
            </w:tcBorders>
          </w:tcPr>
          <w:p w:rsidR="00FD327E" w:rsidRDefault="00656CDF">
            <w:pPr>
              <w:spacing w:after="3"/>
            </w:pPr>
            <w:r>
              <w:rPr>
                <w:b/>
                <w:color w:val="0070C0"/>
                <w:sz w:val="18"/>
              </w:rPr>
              <w:t xml:space="preserve">Anexa 8.B – Criterii de eligibilitate ale proiectului </w:t>
            </w:r>
          </w:p>
          <w:p w:rsidR="00FD327E" w:rsidRDefault="00656CDF">
            <w:pPr>
              <w:numPr>
                <w:ilvl w:val="0"/>
                <w:numId w:val="8"/>
              </w:numPr>
              <w:spacing w:after="0" w:line="262" w:lineRule="auto"/>
            </w:pPr>
            <w:r>
              <w:rPr>
                <w:color w:val="7030A0"/>
                <w:sz w:val="18"/>
              </w:rPr>
              <w:t>Proiectul precum și activităţile proiectului se încadrează înobiectivele specifice corespunzătoare priorităţii de investiţii 8.1 a</w:t>
            </w:r>
          </w:p>
          <w:p w:rsidR="00FD327E" w:rsidRDefault="00656CDF">
            <w:pPr>
              <w:spacing w:after="3"/>
            </w:pPr>
            <w:r>
              <w:rPr>
                <w:color w:val="7030A0"/>
                <w:sz w:val="18"/>
              </w:rPr>
              <w:t>POR.</w:t>
            </w:r>
          </w:p>
          <w:p w:rsidR="00FD327E" w:rsidRDefault="00656CDF">
            <w:pPr>
              <w:spacing w:after="0" w:line="262" w:lineRule="auto"/>
            </w:pPr>
            <w:r>
              <w:rPr>
                <w:color w:val="7030A0"/>
                <w:sz w:val="18"/>
              </w:rPr>
              <w:t xml:space="preserve"> Pentru a fi eligibil proiectul trebuie să se încadreze în obiectivul specific 8.1 sau 8.2 al priorităţii de investiţii 8.1. finanţate prin POR</w:t>
            </w:r>
          </w:p>
          <w:p w:rsidR="00FD327E" w:rsidRDefault="00656CDF">
            <w:pPr>
              <w:spacing w:after="0" w:line="262" w:lineRule="auto"/>
              <w:ind w:right="326"/>
              <w:jc w:val="both"/>
            </w:pPr>
            <w:r>
              <w:rPr>
                <w:color w:val="7030A0"/>
                <w:sz w:val="18"/>
              </w:rPr>
              <w:t xml:space="preserve">2014-2020, conform prevederilor ghidului specific al solicitantului. </w:t>
            </w:r>
            <w:r>
              <w:rPr>
                <w:sz w:val="18"/>
              </w:rPr>
              <w:t>2.1 Eligibilitatea unei activităţi nu</w:t>
            </w:r>
            <w:r>
              <w:rPr>
                <w:sz w:val="18"/>
              </w:rPr>
              <w:t xml:space="preserve"> implică în mod obligatoriu eligibilitatea cheltuielilor efectuate pentru realizarea respectivei activităţi. </w:t>
            </w:r>
          </w:p>
          <w:p w:rsidR="00FD327E" w:rsidRDefault="00656CDF">
            <w:pPr>
              <w:spacing w:after="3"/>
            </w:pPr>
            <w:r>
              <w:rPr>
                <w:sz w:val="18"/>
              </w:rPr>
              <w:t>2.2 În acest sens, recomandăm consultarea:</w:t>
            </w:r>
          </w:p>
          <w:p w:rsidR="00FD327E" w:rsidRDefault="00656CDF">
            <w:pPr>
              <w:numPr>
                <w:ilvl w:val="0"/>
                <w:numId w:val="9"/>
              </w:numPr>
              <w:spacing w:after="3"/>
              <w:ind w:hanging="108"/>
            </w:pPr>
            <w:r>
              <w:rPr>
                <w:sz w:val="18"/>
              </w:rPr>
              <w:t xml:space="preserve">Secţiunii 1.1 din prezentul Ghid. </w:t>
            </w:r>
          </w:p>
          <w:p w:rsidR="00FD327E" w:rsidRDefault="00656CDF">
            <w:pPr>
              <w:numPr>
                <w:ilvl w:val="0"/>
                <w:numId w:val="9"/>
              </w:numPr>
              <w:spacing w:after="3"/>
              <w:ind w:hanging="108"/>
            </w:pPr>
            <w:r>
              <w:rPr>
                <w:sz w:val="18"/>
              </w:rPr>
              <w:t xml:space="preserve">Anexei 6 - Lista de cheltuieli eligibile si neeligibile </w:t>
            </w:r>
          </w:p>
          <w:p w:rsidR="00FD327E" w:rsidRDefault="00656CDF">
            <w:pPr>
              <w:numPr>
                <w:ilvl w:val="0"/>
                <w:numId w:val="9"/>
              </w:numPr>
              <w:spacing w:after="3"/>
              <w:ind w:hanging="108"/>
            </w:pPr>
            <w:r>
              <w:rPr>
                <w:sz w:val="18"/>
              </w:rPr>
              <w:t xml:space="preserve">Anexei 7 - </w:t>
            </w:r>
            <w:r>
              <w:rPr>
                <w:sz w:val="18"/>
              </w:rPr>
              <w:t>Termeni și definiţii</w:t>
            </w:r>
          </w:p>
          <w:p w:rsidR="00FD327E" w:rsidRDefault="00656CDF">
            <w:pPr>
              <w:spacing w:after="0" w:line="262" w:lineRule="auto"/>
            </w:pPr>
            <w:r>
              <w:rPr>
                <w:b/>
                <w:color w:val="FF0000"/>
                <w:sz w:val="18"/>
              </w:rPr>
              <w:t>2.3 Valoarea proiectului se încadrează în limitele minime și maxime, conform secţiunii 2.4 din prezentul ghid.</w:t>
            </w:r>
          </w:p>
          <w:p w:rsidR="00FD327E" w:rsidRDefault="00656CDF">
            <w:pPr>
              <w:numPr>
                <w:ilvl w:val="0"/>
                <w:numId w:val="10"/>
              </w:numPr>
              <w:spacing w:after="0" w:line="262" w:lineRule="auto"/>
            </w:pPr>
            <w:r>
              <w:rPr>
                <w:b/>
                <w:color w:val="FF0000"/>
                <w:sz w:val="18"/>
              </w:rPr>
              <w:t>Ulterior întrării în vigoare a contractului de finanţare, valoarea minimă a cheltuielilor eligibile poate scădea sub limita prevăzută la secţiunea 2.4, fără ca proiectul să devină neeligibil, numai ca urmare a atribuirii contractelor de achiziţie publică l</w:t>
            </w:r>
            <w:r>
              <w:rPr>
                <w:b/>
                <w:color w:val="FF0000"/>
                <w:sz w:val="18"/>
              </w:rPr>
              <w:t>a o valoare mai mică decât cea estimată în cererea de finanţare.</w:t>
            </w:r>
          </w:p>
          <w:p w:rsidR="00FD327E" w:rsidRDefault="00656CDF">
            <w:pPr>
              <w:numPr>
                <w:ilvl w:val="0"/>
                <w:numId w:val="10"/>
              </w:numPr>
              <w:spacing w:after="0" w:line="262" w:lineRule="auto"/>
            </w:pPr>
            <w:r>
              <w:rPr>
                <w:b/>
                <w:color w:val="FF0000"/>
                <w:sz w:val="18"/>
              </w:rPr>
              <w:t>Ulterior intrării în vigoare a contractului de finanţare, oricemodificare a acestuia, nu poate conduce la creșterea valorii finanţării nerambursabile și a procentului pe care aceasta îl repre</w:t>
            </w:r>
            <w:r>
              <w:rPr>
                <w:b/>
                <w:color w:val="FF0000"/>
                <w:sz w:val="18"/>
              </w:rPr>
              <w:t xml:space="preserve">zintă din valoarea totală eligibilă și implicit la creșterea valorii totale eligibile a proiectului, conform prevederilor contractului de finanţare. </w:t>
            </w:r>
          </w:p>
          <w:p w:rsidR="00FD327E" w:rsidRDefault="00656CDF">
            <w:pPr>
              <w:spacing w:after="3"/>
            </w:pPr>
            <w:r>
              <w:rPr>
                <w:b/>
                <w:color w:val="FF0000"/>
                <w:sz w:val="18"/>
              </w:rPr>
              <w:t>2.4 Conformitatea proiectului cu Ordinul Ministrului Sanatatii</w:t>
            </w:r>
          </w:p>
          <w:p w:rsidR="00FD327E" w:rsidRDefault="00656CDF">
            <w:pPr>
              <w:spacing w:after="0" w:line="262" w:lineRule="auto"/>
            </w:pPr>
            <w:r>
              <w:rPr>
                <w:b/>
                <w:color w:val="FFC000"/>
                <w:sz w:val="18"/>
              </w:rPr>
              <w:t>a) Proiectul trebuie sa se regaseasca pe li</w:t>
            </w:r>
            <w:r>
              <w:rPr>
                <w:b/>
                <w:color w:val="FFC000"/>
                <w:sz w:val="18"/>
              </w:rPr>
              <w:t>sta unitatilor sanitare eligibile în care se vor realiza investiţiile din Programul</w:t>
            </w:r>
          </w:p>
          <w:p w:rsidR="00FD327E" w:rsidRDefault="00656CDF">
            <w:pPr>
              <w:spacing w:after="3"/>
            </w:pPr>
            <w:r>
              <w:rPr>
                <w:b/>
                <w:color w:val="FFC000"/>
                <w:sz w:val="18"/>
              </w:rPr>
              <w:t>Operaţional Regional 2014-2020 aprobate prin Ordinul</w:t>
            </w:r>
          </w:p>
          <w:p w:rsidR="00FD327E" w:rsidRDefault="00656CDF">
            <w:pPr>
              <w:spacing w:after="0"/>
            </w:pPr>
            <w:r>
              <w:rPr>
                <w:b/>
                <w:color w:val="FFC000"/>
                <w:sz w:val="18"/>
              </w:rPr>
              <w:t>Ministrului Sanatatii .</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6734"/>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t>6</w:t>
            </w:r>
          </w:p>
        </w:tc>
        <w:tc>
          <w:tcPr>
            <w:tcW w:w="4165"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b/>
                <w:color w:val="0070C0"/>
                <w:sz w:val="18"/>
              </w:rPr>
              <w:t>Anexa 8.B - Criterii de eligibilitate a proiectului</w:t>
            </w:r>
          </w:p>
          <w:p w:rsidR="00FD327E" w:rsidRDefault="00656CDF">
            <w:pPr>
              <w:numPr>
                <w:ilvl w:val="0"/>
                <w:numId w:val="11"/>
              </w:numPr>
              <w:spacing w:after="240" w:line="262" w:lineRule="auto"/>
            </w:pPr>
            <w:r>
              <w:rPr>
                <w:color w:val="7030A0"/>
                <w:sz w:val="18"/>
              </w:rPr>
              <w:t xml:space="preserve">Proiectul propus prin prezenta cerere de finanţarenu a mai beneficiat de finanţare publică, pentru acelaşi tip de activităţi realizate asupra aceleiaşi infrastructuri/ aceluiaşi segment de infrastructură şi nu beneficiază de fonduri publice din alte surse </w:t>
            </w:r>
            <w:r>
              <w:rPr>
                <w:color w:val="7030A0"/>
                <w:sz w:val="18"/>
              </w:rPr>
              <w:t>de finanţare, altele decat ale solicitantului conform prevederilor ghidului specific al solicitantului .</w:t>
            </w:r>
          </w:p>
          <w:p w:rsidR="00FD327E" w:rsidRDefault="00656CDF">
            <w:pPr>
              <w:numPr>
                <w:ilvl w:val="1"/>
                <w:numId w:val="11"/>
              </w:numPr>
              <w:spacing w:after="0" w:line="262" w:lineRule="auto"/>
              <w:ind w:right="48"/>
            </w:pPr>
            <w:r>
              <w:rPr>
                <w:sz w:val="18"/>
              </w:rPr>
              <w:t>Acest criteriu de eligibilitate va fi asumat princompletarea Declaraţiei de eligibilitate, anexa nr 1 la prezentul Ghid si a Declaratiei privind evitarea dublei finantari, anexa nr. 14 la prezentul Ghid.</w:t>
            </w:r>
          </w:p>
          <w:p w:rsidR="00FD327E" w:rsidRDefault="00656CDF">
            <w:pPr>
              <w:numPr>
                <w:ilvl w:val="1"/>
                <w:numId w:val="11"/>
              </w:numPr>
              <w:spacing w:after="0"/>
              <w:ind w:right="48"/>
            </w:pPr>
            <w:r>
              <w:rPr>
                <w:sz w:val="18"/>
              </w:rPr>
              <w:t xml:space="preserve">Proiectul nefinalizat propus prin prezenta cererede </w:t>
            </w:r>
            <w:r>
              <w:rPr>
                <w:sz w:val="18"/>
              </w:rPr>
              <w:t xml:space="preserve">finanţare nu a mai beneficiat de finanţare publică în ultimii 5 ani înainte de data semnării declaraţiei de eligibilitate si a declaratiei privind evitarea dublei finantari in conformitate cu prevederile acestora. 7.3 Verificarea îndeplinirii condiţiei se </w:t>
            </w:r>
            <w:r>
              <w:rPr>
                <w:sz w:val="18"/>
              </w:rPr>
              <w:t>va face la momentul contractării.</w:t>
            </w:r>
          </w:p>
        </w:tc>
        <w:tc>
          <w:tcPr>
            <w:tcW w:w="5401" w:type="dxa"/>
            <w:tcBorders>
              <w:top w:val="single" w:sz="5" w:space="0" w:color="000000"/>
              <w:left w:val="single" w:sz="5" w:space="0" w:color="000000"/>
              <w:bottom w:val="single" w:sz="5" w:space="0" w:color="000000"/>
              <w:right w:val="single" w:sz="5" w:space="0" w:color="000000"/>
            </w:tcBorders>
          </w:tcPr>
          <w:p w:rsidR="00FD327E" w:rsidRDefault="00656CDF">
            <w:pPr>
              <w:spacing w:after="243"/>
            </w:pPr>
            <w:r>
              <w:rPr>
                <w:b/>
                <w:color w:val="0070C0"/>
                <w:sz w:val="18"/>
              </w:rPr>
              <w:t>Anexa 8.B - Criterii de eligibilitate a proiectului</w:t>
            </w:r>
          </w:p>
          <w:p w:rsidR="00FD327E" w:rsidRDefault="00656CDF">
            <w:pPr>
              <w:numPr>
                <w:ilvl w:val="0"/>
                <w:numId w:val="12"/>
              </w:numPr>
              <w:spacing w:after="240" w:line="262" w:lineRule="auto"/>
            </w:pPr>
            <w:r>
              <w:rPr>
                <w:color w:val="7030A0"/>
                <w:sz w:val="18"/>
              </w:rPr>
              <w:t>Proiectul propus prin prezenta cerere de finanţare nu a maibeneficiat de finanţare publică, pentru acelaşi tip de activităţi realizate asupra aceleiaşi infrastructuri/ ac</w:t>
            </w:r>
            <w:r>
              <w:rPr>
                <w:color w:val="7030A0"/>
                <w:sz w:val="18"/>
              </w:rPr>
              <w:t>eluiaşi segment de infrastructură şi nu beneficiază de fonduri publice din alte surse de finanţare, altele decat ale solicitantului conform prevederilor ghidului specific al solicitantului .</w:t>
            </w:r>
          </w:p>
          <w:p w:rsidR="00FD327E" w:rsidRDefault="00656CDF">
            <w:pPr>
              <w:numPr>
                <w:ilvl w:val="1"/>
                <w:numId w:val="12"/>
              </w:numPr>
              <w:spacing w:after="3"/>
            </w:pPr>
            <w:r>
              <w:rPr>
                <w:sz w:val="18"/>
              </w:rPr>
              <w:t>Acest criteriu de eligibilitate va fi asumat prin completarea</w:t>
            </w:r>
          </w:p>
          <w:p w:rsidR="00FD327E" w:rsidRDefault="00656CDF">
            <w:pPr>
              <w:spacing w:after="3"/>
            </w:pPr>
            <w:r>
              <w:rPr>
                <w:sz w:val="18"/>
              </w:rPr>
              <w:t>Dec</w:t>
            </w:r>
            <w:r>
              <w:rPr>
                <w:sz w:val="18"/>
              </w:rPr>
              <w:t>laraţiei de eligibilitate, anexa nr 1 la prezentul Ghid si a</w:t>
            </w:r>
          </w:p>
          <w:p w:rsidR="00FD327E" w:rsidRDefault="00656CDF">
            <w:pPr>
              <w:spacing w:after="0" w:line="262" w:lineRule="auto"/>
              <w:jc w:val="both"/>
            </w:pPr>
            <w:r>
              <w:rPr>
                <w:sz w:val="18"/>
              </w:rPr>
              <w:t>Declaratiei privind evitarea dublei finantari, anexa nr. 14 la prezentul Ghid.</w:t>
            </w:r>
          </w:p>
          <w:p w:rsidR="00FD327E" w:rsidRDefault="00656CDF">
            <w:pPr>
              <w:numPr>
                <w:ilvl w:val="1"/>
                <w:numId w:val="12"/>
              </w:numPr>
              <w:spacing w:after="0" w:line="262" w:lineRule="auto"/>
            </w:pPr>
            <w:r>
              <w:rPr>
                <w:sz w:val="18"/>
              </w:rPr>
              <w:t xml:space="preserve">Proiectul nefinalizat propus prin prezenta cerere de finanţare nu amai beneficiat de finanţare publică în ultimii 5 </w:t>
            </w:r>
            <w:r>
              <w:rPr>
                <w:sz w:val="18"/>
              </w:rPr>
              <w:t xml:space="preserve">ani înainte de data semnării declaraţiei de eligibilitate si a declaratiei privind evitarea dublei finantari in conformitate cu prevederile acestora. </w:t>
            </w:r>
          </w:p>
          <w:p w:rsidR="00FD327E" w:rsidRDefault="00656CDF">
            <w:pPr>
              <w:numPr>
                <w:ilvl w:val="1"/>
                <w:numId w:val="12"/>
              </w:numPr>
              <w:spacing w:after="240" w:line="262" w:lineRule="auto"/>
            </w:pPr>
            <w:r>
              <w:rPr>
                <w:color w:val="FF0000"/>
                <w:sz w:val="18"/>
              </w:rPr>
              <w:t>Verificarea îndeplinirii condiţiei se va face la momentulcontractării. Acest criteriu se consideră îndepl</w:t>
            </w:r>
            <w:r>
              <w:rPr>
                <w:color w:val="FF0000"/>
                <w:sz w:val="18"/>
              </w:rPr>
              <w:t>init dacă în etapa de contractare beneficiarul de finanţare solicită încetarea contractului de finanţare / deciziei de finanţare cu restituirea sumelor acordate şi neutilizate, iar pentru lucrările achitate se vor aplica prevederile art.I, alin.2 al OUG 30</w:t>
            </w:r>
            <w:r>
              <w:rPr>
                <w:color w:val="FF0000"/>
                <w:sz w:val="18"/>
              </w:rPr>
              <w:t>/2018, pentru evitatea dublei finanţări. In acest sens, solicitantul va depune dovada demararii procesului de incetare .</w:t>
            </w:r>
          </w:p>
          <w:p w:rsidR="00FD327E" w:rsidRDefault="00656CDF">
            <w:pPr>
              <w:numPr>
                <w:ilvl w:val="1"/>
                <w:numId w:val="12"/>
              </w:numPr>
              <w:spacing w:after="0"/>
            </w:pPr>
            <w:r>
              <w:rPr>
                <w:color w:val="FF0000"/>
                <w:sz w:val="18"/>
              </w:rPr>
              <w:t>. În situaţia în care solicitantul nu face dovada demarariiprocesului de incetare a eventualelor contracte finanţate din alte surse de finanţare , proiectul va fi respins de la finanţare</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1776"/>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t>7</w:t>
            </w:r>
          </w:p>
        </w:tc>
        <w:tc>
          <w:tcPr>
            <w:tcW w:w="9566" w:type="dxa"/>
            <w:gridSpan w:val="2"/>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0"/>
              <w:ind w:left="12"/>
              <w:jc w:val="center"/>
            </w:pPr>
            <w:r>
              <w:rPr>
                <w:b/>
                <w:color w:val="0070C0"/>
                <w:sz w:val="18"/>
              </w:rPr>
              <w:t>Anexa 9 – Anexe la depunerea cererii de finantare</w:t>
            </w:r>
          </w:p>
        </w:tc>
        <w:tc>
          <w:tcPr>
            <w:tcW w:w="15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bl>
    <w:p w:rsidR="00FD327E" w:rsidRDefault="00656CDF">
      <w:pPr>
        <w:spacing w:after="0"/>
        <w:ind w:left="-1440" w:right="10460"/>
      </w:pPr>
      <w:r>
        <w:br w:type="page"/>
      </w:r>
    </w:p>
    <w:tbl>
      <w:tblPr>
        <w:tblStyle w:val="TableGrid"/>
        <w:tblpPr w:vertAnchor="page" w:horzAnchor="page" w:tblpX="294" w:tblpY="6"/>
        <w:tblOverlap w:val="never"/>
        <w:tblW w:w="11307" w:type="dxa"/>
        <w:tblInd w:w="0" w:type="dxa"/>
        <w:tblCellMar>
          <w:top w:w="0" w:type="dxa"/>
          <w:left w:w="6" w:type="dxa"/>
          <w:bottom w:w="41" w:type="dxa"/>
          <w:right w:w="3" w:type="dxa"/>
        </w:tblCellMar>
        <w:tblLook w:val="04A0" w:firstRow="1" w:lastRow="0" w:firstColumn="1" w:lastColumn="0" w:noHBand="0" w:noVBand="1"/>
      </w:tblPr>
      <w:tblGrid>
        <w:gridCol w:w="420"/>
        <w:gridCol w:w="4165"/>
        <w:gridCol w:w="5401"/>
        <w:gridCol w:w="156"/>
        <w:gridCol w:w="216"/>
        <w:gridCol w:w="660"/>
        <w:gridCol w:w="288"/>
      </w:tblGrid>
      <w:tr w:rsidR="00FD327E">
        <w:trPr>
          <w:trHeight w:val="1932"/>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7.1</w:t>
            </w:r>
          </w:p>
        </w:tc>
        <w:tc>
          <w:tcPr>
            <w:tcW w:w="4165"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0"/>
            </w:pPr>
            <w:r>
              <w:rPr>
                <w:color w:val="7030A0"/>
                <w:sz w:val="18"/>
              </w:rPr>
              <w:t>24. Acolo unde este cazul, solicitantul/ partenerul va trebui să anexeze, în eventualitatea existenţei unui contract de finanţare din fonduri publice, solicitarea rezilierii acestuia.</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0"/>
            </w:pPr>
            <w:r>
              <w:rPr>
                <w:sz w:val="18"/>
              </w:rPr>
              <w:t xml:space="preserve">24. Acolo unde este cazul, </w:t>
            </w:r>
            <w:r>
              <w:rPr>
                <w:color w:val="FF0000"/>
                <w:sz w:val="18"/>
              </w:rPr>
              <w:t>solicitantul/ partenerul va trebui să anexeze, în eventualitatea existenţei unui contract de finanţare din fonduri publice, dovada demararii procesului de reziliere. În situaţia în care solicitantul nu face dovada demararii procesului de reziliere a eventu</w:t>
            </w:r>
            <w:r>
              <w:rPr>
                <w:color w:val="FF0000"/>
                <w:sz w:val="18"/>
              </w:rPr>
              <w:t>alelor contracte finanţate din alte surse de finanţare , proiectul va fi respins de la finanţare</w:t>
            </w:r>
          </w:p>
        </w:tc>
        <w:tc>
          <w:tcPr>
            <w:tcW w:w="156"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4573"/>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84"/>
            </w:pPr>
            <w:r>
              <w:rPr>
                <w:b/>
                <w:sz w:val="18"/>
              </w:rPr>
              <w:t>7.2</w:t>
            </w:r>
          </w:p>
        </w:tc>
        <w:tc>
          <w:tcPr>
            <w:tcW w:w="4165"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color w:val="7030A0"/>
                <w:sz w:val="18"/>
              </w:rPr>
              <w:t xml:space="preserve">Ordinul Ministrului Sănătăţii </w:t>
            </w:r>
          </w:p>
          <w:p w:rsidR="00FD327E" w:rsidRDefault="00656CDF">
            <w:pPr>
              <w:spacing w:after="0" w:line="262" w:lineRule="auto"/>
            </w:pPr>
            <w:r>
              <w:rPr>
                <w:sz w:val="18"/>
              </w:rPr>
              <w:t>19.1 Acesta trebuie să cuprindă atât lista unităţilor sanitare/medicale în care se vor realiza investiţiile din Programul Operaţional Regional 2014-2020 , cât și asumarea a concordanţei acestor tipuri de investiţii cu documentele strategice ce reglementeaz</w:t>
            </w:r>
            <w:r>
              <w:rPr>
                <w:sz w:val="18"/>
              </w:rPr>
              <w:t>ă domeniul infrastructurii medicale, respectiv cu</w:t>
            </w:r>
          </w:p>
          <w:p w:rsidR="00FD327E" w:rsidRDefault="00656CDF">
            <w:pPr>
              <w:spacing w:after="3"/>
              <w:jc w:val="both"/>
            </w:pPr>
            <w:r>
              <w:rPr>
                <w:sz w:val="18"/>
              </w:rPr>
              <w:t>Strategia Naţională de Sănătate 2014-2020, Planurile</w:t>
            </w:r>
          </w:p>
          <w:p w:rsidR="00FD327E" w:rsidRDefault="00656CDF">
            <w:pPr>
              <w:spacing w:after="0" w:line="262" w:lineRule="auto"/>
            </w:pPr>
            <w:r>
              <w:rPr>
                <w:sz w:val="18"/>
              </w:rPr>
              <w:t>Regionale de Sănătate, Master Planurile de Servicii Medicale, cerinţă menţionată expres de către CE în vederea dialogului instutuţional cu autorităţile r</w:t>
            </w:r>
            <w:r>
              <w:rPr>
                <w:sz w:val="18"/>
              </w:rPr>
              <w:t>omâmne, în vederea ridicării condiţionalităţii ex ante.</w:t>
            </w:r>
          </w:p>
          <w:p w:rsidR="00FD327E" w:rsidRDefault="00656CDF">
            <w:pPr>
              <w:spacing w:after="3"/>
            </w:pPr>
            <w:r>
              <w:rPr>
                <w:sz w:val="18"/>
              </w:rPr>
              <w:t xml:space="preserve">   </w:t>
            </w:r>
          </w:p>
          <w:p w:rsidR="00FD327E" w:rsidRDefault="00656CDF">
            <w:pPr>
              <w:spacing w:after="3"/>
            </w:pPr>
            <w:r>
              <w:rPr>
                <w:sz w:val="18"/>
              </w:rPr>
              <w:t>19. 2 Acesta va fi emis ulterior publicarii prezentului</w:t>
            </w:r>
          </w:p>
          <w:p w:rsidR="00FD327E" w:rsidRDefault="00656CDF">
            <w:pPr>
              <w:spacing w:after="3"/>
            </w:pPr>
            <w:r>
              <w:rPr>
                <w:sz w:val="18"/>
              </w:rPr>
              <w:t>Ghid, insa nu mai tarziu de momentul depunerii</w:t>
            </w:r>
          </w:p>
          <w:p w:rsidR="00FD327E" w:rsidRDefault="00656CDF">
            <w:pPr>
              <w:spacing w:after="0"/>
            </w:pPr>
            <w:r>
              <w:rPr>
                <w:sz w:val="18"/>
              </w:rPr>
              <w:t xml:space="preserve">Cererii de finantare. </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pPr>
            <w:r>
              <w:rPr>
                <w:color w:val="7030A0"/>
                <w:sz w:val="18"/>
              </w:rPr>
              <w:t xml:space="preserve">Ordinul Ministrului Sănătăţii </w:t>
            </w:r>
          </w:p>
          <w:p w:rsidR="00FD327E" w:rsidRDefault="00656CDF">
            <w:pPr>
              <w:spacing w:after="0" w:line="262" w:lineRule="auto"/>
            </w:pPr>
            <w:r>
              <w:rPr>
                <w:sz w:val="18"/>
              </w:rPr>
              <w:t xml:space="preserve">19.1 </w:t>
            </w:r>
            <w:r>
              <w:rPr>
                <w:color w:val="FF0000"/>
                <w:sz w:val="18"/>
              </w:rPr>
              <w:t>Proiectul trebuie sa se regaseasca</w:t>
            </w:r>
            <w:r>
              <w:rPr>
                <w:color w:val="FF0000"/>
                <w:sz w:val="18"/>
              </w:rPr>
              <w:t xml:space="preserve"> pe lista unitatilor sanitare eligibile în care se vor realiza investiţiile din Programul Operaţional Regional 2014-2020 aprobate prin Ordinul Ministrului Sanatatii .</w:t>
            </w:r>
          </w:p>
          <w:p w:rsidR="00FD327E" w:rsidRDefault="00656CDF">
            <w:pPr>
              <w:spacing w:after="3"/>
            </w:pPr>
            <w:r>
              <w:rPr>
                <w:sz w:val="18"/>
              </w:rPr>
              <w:t xml:space="preserve">   </w:t>
            </w:r>
          </w:p>
          <w:p w:rsidR="00FD327E" w:rsidRDefault="00656CDF">
            <w:pPr>
              <w:spacing w:after="0"/>
            </w:pPr>
            <w:r>
              <w:rPr>
                <w:sz w:val="18"/>
              </w:rPr>
              <w:t>19.2 Acesta va fi emis ulterior publicarii prezentului Ghid, insa nu mai tarziu de mo</w:t>
            </w:r>
            <w:r>
              <w:rPr>
                <w:sz w:val="18"/>
              </w:rPr>
              <w:t xml:space="preserve">mentul depunerii Cererii de finantare. </w:t>
            </w:r>
          </w:p>
        </w:tc>
        <w:tc>
          <w:tcPr>
            <w:tcW w:w="156"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2881"/>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t>8</w:t>
            </w:r>
          </w:p>
        </w:tc>
        <w:tc>
          <w:tcPr>
            <w:tcW w:w="4165"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0" w:line="262" w:lineRule="auto"/>
            </w:pPr>
            <w:r>
              <w:rPr>
                <w:b/>
                <w:color w:val="7030A0"/>
                <w:sz w:val="18"/>
              </w:rPr>
              <w:t xml:space="preserve">Anexa 10 - Clauze specifice aplicabile proiectelor contractate în cadrul apelurilor de proiecte </w:t>
            </w:r>
          </w:p>
          <w:p w:rsidR="00FD327E" w:rsidRDefault="00656CDF">
            <w:pPr>
              <w:spacing w:after="243"/>
            </w:pPr>
            <w:r>
              <w:rPr>
                <w:b/>
                <w:color w:val="7030A0"/>
                <w:sz w:val="18"/>
              </w:rPr>
              <w:t xml:space="preserve"> Articolul 1 – Finanţarea proiectelor nefinalizate</w:t>
            </w:r>
          </w:p>
          <w:p w:rsidR="00FD327E" w:rsidRDefault="00656CDF">
            <w:pPr>
              <w:spacing w:after="0" w:line="262" w:lineRule="auto"/>
              <w:ind w:right="17"/>
            </w:pPr>
            <w:r>
              <w:rPr>
                <w:sz w:val="18"/>
              </w:rPr>
              <w:t>(1) Prin prezentul contract de finanţare se acordă finanţare pentru proiecte nefinalizate în condiţiile OUG nr. 40/2015 privind gestionarea financiara a fondurilor europene pentru perioada de programare</w:t>
            </w:r>
          </w:p>
          <w:p w:rsidR="00FD327E" w:rsidRDefault="00656CDF">
            <w:pPr>
              <w:spacing w:after="0"/>
            </w:pPr>
            <w:r>
              <w:rPr>
                <w:sz w:val="18"/>
              </w:rPr>
              <w:t xml:space="preserve">2014-2020 </w:t>
            </w:r>
          </w:p>
        </w:tc>
        <w:tc>
          <w:tcPr>
            <w:tcW w:w="5401" w:type="dxa"/>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0" w:line="262" w:lineRule="auto"/>
            </w:pPr>
            <w:r>
              <w:rPr>
                <w:color w:val="7030A0"/>
                <w:sz w:val="18"/>
              </w:rPr>
              <w:t>Anexa 10 - Clauze specifice aplicabile pro</w:t>
            </w:r>
            <w:r>
              <w:rPr>
                <w:color w:val="7030A0"/>
                <w:sz w:val="18"/>
              </w:rPr>
              <w:t xml:space="preserve">iectelor contractate în cadrul apelurilor de proiecte </w:t>
            </w:r>
          </w:p>
          <w:p w:rsidR="00FD327E" w:rsidRDefault="00656CDF">
            <w:pPr>
              <w:spacing w:after="243"/>
            </w:pPr>
            <w:r>
              <w:rPr>
                <w:color w:val="7030A0"/>
                <w:sz w:val="18"/>
              </w:rPr>
              <w:t xml:space="preserve"> Articolul 1 – Finanţarea proiectelor nefinalizate</w:t>
            </w:r>
          </w:p>
          <w:p w:rsidR="00FD327E" w:rsidRDefault="00656CDF">
            <w:pPr>
              <w:spacing w:after="0"/>
            </w:pPr>
            <w:r>
              <w:rPr>
                <w:sz w:val="18"/>
              </w:rPr>
              <w:t xml:space="preserve">(1) Prin prezentul contract de finanţare se acordă finanţare pentru proiecte nefinalizate în condiţiile </w:t>
            </w:r>
            <w:r>
              <w:rPr>
                <w:color w:val="FF0000"/>
                <w:sz w:val="18"/>
              </w:rPr>
              <w:t>OUG nr. 30/2018 privind instituirea unor măsur</w:t>
            </w:r>
            <w:r>
              <w:rPr>
                <w:color w:val="FF0000"/>
                <w:sz w:val="18"/>
              </w:rPr>
              <w:t>i în domeniul fondurilor europene şi pentru completarea unor acte normative.</w:t>
            </w:r>
          </w:p>
        </w:tc>
        <w:tc>
          <w:tcPr>
            <w:tcW w:w="156"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r w:rsidR="00FD327E">
        <w:trPr>
          <w:trHeight w:val="1884"/>
        </w:trPr>
        <w:tc>
          <w:tcPr>
            <w:tcW w:w="420"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ind w:left="156"/>
            </w:pPr>
            <w:r>
              <w:rPr>
                <w:b/>
                <w:sz w:val="18"/>
              </w:rPr>
              <w:t>9</w:t>
            </w:r>
          </w:p>
        </w:tc>
        <w:tc>
          <w:tcPr>
            <w:tcW w:w="9566" w:type="dxa"/>
            <w:gridSpan w:val="2"/>
            <w:tcBorders>
              <w:top w:val="single" w:sz="5" w:space="0" w:color="000000"/>
              <w:left w:val="single" w:sz="5" w:space="0" w:color="000000"/>
              <w:bottom w:val="single" w:sz="5" w:space="0" w:color="000000"/>
              <w:right w:val="single" w:sz="5" w:space="0" w:color="000000"/>
            </w:tcBorders>
            <w:vAlign w:val="bottom"/>
          </w:tcPr>
          <w:p w:rsidR="00FD327E" w:rsidRDefault="00656CDF">
            <w:pPr>
              <w:spacing w:after="243"/>
              <w:ind w:right="4"/>
              <w:jc w:val="center"/>
            </w:pPr>
            <w:r>
              <w:rPr>
                <w:b/>
                <w:color w:val="FF0000"/>
                <w:sz w:val="18"/>
              </w:rPr>
              <w:t>S-au modificat urmatoarele anexe:</w:t>
            </w:r>
          </w:p>
          <w:p w:rsidR="00FD327E" w:rsidRDefault="00656CDF">
            <w:pPr>
              <w:spacing w:after="3"/>
              <w:jc w:val="center"/>
            </w:pPr>
            <w:r>
              <w:rPr>
                <w:sz w:val="18"/>
              </w:rPr>
              <w:t>Anexa 1 – Declaratia de eligibilitate</w:t>
            </w:r>
          </w:p>
          <w:p w:rsidR="00FD327E" w:rsidRDefault="00656CDF">
            <w:pPr>
              <w:spacing w:after="3"/>
              <w:jc w:val="center"/>
            </w:pPr>
            <w:r>
              <w:rPr>
                <w:sz w:val="18"/>
              </w:rPr>
              <w:t>Anexa 3 – Grila de verificare a proiectului</w:t>
            </w:r>
          </w:p>
          <w:p w:rsidR="00FD327E" w:rsidRDefault="00656CDF">
            <w:pPr>
              <w:spacing w:after="3"/>
              <w:jc w:val="center"/>
            </w:pPr>
            <w:r>
              <w:rPr>
                <w:sz w:val="18"/>
              </w:rPr>
              <w:t>Anexa 4 – Lista de verificare achizitii</w:t>
            </w:r>
          </w:p>
          <w:p w:rsidR="00FD327E" w:rsidRDefault="00656CDF">
            <w:pPr>
              <w:spacing w:after="0"/>
              <w:jc w:val="center"/>
            </w:pPr>
            <w:r>
              <w:rPr>
                <w:sz w:val="18"/>
              </w:rPr>
              <w:t>Anexa 7 – Termeni si definitii</w:t>
            </w:r>
          </w:p>
        </w:tc>
        <w:tc>
          <w:tcPr>
            <w:tcW w:w="156" w:type="dxa"/>
            <w:tcBorders>
              <w:top w:val="single" w:sz="5" w:space="0" w:color="000000"/>
              <w:left w:val="single" w:sz="5" w:space="0" w:color="000000"/>
              <w:bottom w:val="single" w:sz="5" w:space="0" w:color="000000"/>
              <w:right w:val="single" w:sz="5" w:space="0" w:color="000000"/>
            </w:tcBorders>
            <w:vAlign w:val="center"/>
          </w:tcPr>
          <w:p w:rsidR="00FD327E" w:rsidRDefault="00656CDF">
            <w:pPr>
              <w:spacing w:after="0"/>
            </w:pPr>
            <w:r>
              <w:rPr>
                <w:sz w:val="18"/>
              </w:rPr>
              <w:t xml:space="preserve"> </w:t>
            </w:r>
          </w:p>
        </w:tc>
        <w:tc>
          <w:tcPr>
            <w:tcW w:w="216" w:type="dxa"/>
            <w:tcBorders>
              <w:top w:val="single" w:sz="5" w:space="0" w:color="000000"/>
              <w:left w:val="single"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660"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c>
          <w:tcPr>
            <w:tcW w:w="288" w:type="dxa"/>
            <w:tcBorders>
              <w:top w:val="single" w:sz="5" w:space="0" w:color="000000"/>
              <w:left w:val="dashed" w:sz="5" w:space="0" w:color="000000"/>
              <w:bottom w:val="single" w:sz="5" w:space="0" w:color="000000"/>
              <w:right w:val="dashed" w:sz="5" w:space="0" w:color="000000"/>
            </w:tcBorders>
            <w:vAlign w:val="center"/>
          </w:tcPr>
          <w:p w:rsidR="00FD327E" w:rsidRDefault="00656CDF">
            <w:pPr>
              <w:spacing w:after="0"/>
            </w:pPr>
            <w:r>
              <w:rPr>
                <w:sz w:val="18"/>
              </w:rPr>
              <w:t xml:space="preserve"> </w:t>
            </w:r>
          </w:p>
        </w:tc>
      </w:tr>
    </w:tbl>
    <w:p w:rsidR="00FD327E" w:rsidRDefault="00FD327E">
      <w:pPr>
        <w:spacing w:after="0"/>
        <w:ind w:left="-1440" w:right="10460"/>
      </w:pPr>
    </w:p>
    <w:p w:rsidR="00FD327E" w:rsidRDefault="00FD327E">
      <w:pPr>
        <w:sectPr w:rsidR="00FD327E">
          <w:pgSz w:w="11900" w:h="16840"/>
          <w:pgMar w:top="6" w:right="1440" w:bottom="378" w:left="1440" w:header="720" w:footer="720" w:gutter="0"/>
          <w:cols w:space="720"/>
        </w:sectPr>
      </w:pPr>
    </w:p>
    <w:p w:rsidR="00FD327E" w:rsidRDefault="00FD327E">
      <w:pPr>
        <w:spacing w:after="0"/>
      </w:pPr>
    </w:p>
    <w:sectPr w:rsidR="00FD327E">
      <w:pgSz w:w="11900" w:h="16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0741"/>
    <w:multiLevelType w:val="hybridMultilevel"/>
    <w:tmpl w:val="F62EF5C8"/>
    <w:lvl w:ilvl="0" w:tplc="AD008410">
      <w:start w:val="1"/>
      <w:numFmt w:val="lowerLetter"/>
      <w:lvlText w:val="%1)"/>
      <w:lvlJc w:val="left"/>
      <w:pPr>
        <w:ind w:left="0"/>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1" w:tplc="CD5E19FC">
      <w:start w:val="1"/>
      <w:numFmt w:val="lowerLetter"/>
      <w:lvlText w:val="%2"/>
      <w:lvlJc w:val="left"/>
      <w:pPr>
        <w:ind w:left="108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2" w:tplc="2D880572">
      <w:start w:val="1"/>
      <w:numFmt w:val="lowerRoman"/>
      <w:lvlText w:val="%3"/>
      <w:lvlJc w:val="left"/>
      <w:pPr>
        <w:ind w:left="180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3" w:tplc="3BC42A14">
      <w:start w:val="1"/>
      <w:numFmt w:val="decimal"/>
      <w:lvlText w:val="%4"/>
      <w:lvlJc w:val="left"/>
      <w:pPr>
        <w:ind w:left="252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4" w:tplc="A9C0CADC">
      <w:start w:val="1"/>
      <w:numFmt w:val="lowerLetter"/>
      <w:lvlText w:val="%5"/>
      <w:lvlJc w:val="left"/>
      <w:pPr>
        <w:ind w:left="324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5" w:tplc="05BA24C8">
      <w:start w:val="1"/>
      <w:numFmt w:val="lowerRoman"/>
      <w:lvlText w:val="%6"/>
      <w:lvlJc w:val="left"/>
      <w:pPr>
        <w:ind w:left="396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6" w:tplc="5F28FF72">
      <w:start w:val="1"/>
      <w:numFmt w:val="decimal"/>
      <w:lvlText w:val="%7"/>
      <w:lvlJc w:val="left"/>
      <w:pPr>
        <w:ind w:left="468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7" w:tplc="7BFE4854">
      <w:start w:val="1"/>
      <w:numFmt w:val="lowerLetter"/>
      <w:lvlText w:val="%8"/>
      <w:lvlJc w:val="left"/>
      <w:pPr>
        <w:ind w:left="540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lvl w:ilvl="8" w:tplc="0D68CCC0">
      <w:start w:val="1"/>
      <w:numFmt w:val="lowerRoman"/>
      <w:lvlText w:val="%9"/>
      <w:lvlJc w:val="left"/>
      <w:pPr>
        <w:ind w:left="6126"/>
      </w:pPr>
      <w:rPr>
        <w:rFonts w:ascii="Calibri" w:eastAsia="Calibri" w:hAnsi="Calibri" w:cs="Calibri"/>
        <w:b/>
        <w:bCs/>
        <w:i w:val="0"/>
        <w:strike w:val="0"/>
        <w:dstrike w:val="0"/>
        <w:color w:val="FF0000"/>
        <w:sz w:val="18"/>
        <w:szCs w:val="18"/>
        <w:u w:val="none" w:color="000000"/>
        <w:bdr w:val="none" w:sz="0" w:space="0" w:color="auto"/>
        <w:shd w:val="clear" w:color="auto" w:fill="auto"/>
        <w:vertAlign w:val="baseline"/>
      </w:rPr>
    </w:lvl>
  </w:abstractNum>
  <w:abstractNum w:abstractNumId="1" w15:restartNumberingAfterBreak="0">
    <w:nsid w:val="0AE530D6"/>
    <w:multiLevelType w:val="multilevel"/>
    <w:tmpl w:val="5F2C9280"/>
    <w:lvl w:ilvl="0">
      <w:start w:val="2"/>
      <w:numFmt w:val="decimal"/>
      <w:lvlText w:val="%1."/>
      <w:lvlJc w:val="left"/>
      <w:pPr>
        <w:ind w:left="0"/>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2106665"/>
    <w:multiLevelType w:val="multilevel"/>
    <w:tmpl w:val="2012CDD6"/>
    <w:lvl w:ilvl="0">
      <w:start w:val="7"/>
      <w:numFmt w:val="decimal"/>
      <w:lvlText w:val="%1."/>
      <w:lvlJc w:val="left"/>
      <w:pPr>
        <w:ind w:left="0"/>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6F77CF3"/>
    <w:multiLevelType w:val="hybridMultilevel"/>
    <w:tmpl w:val="76865EFC"/>
    <w:lvl w:ilvl="0" w:tplc="5FA23708">
      <w:start w:val="2"/>
      <w:numFmt w:val="decimal"/>
      <w:lvlText w:val="%1."/>
      <w:lvlJc w:val="left"/>
      <w:pPr>
        <w:ind w:left="0"/>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1" w:tplc="91D086C0">
      <w:start w:val="1"/>
      <w:numFmt w:val="lowerLetter"/>
      <w:lvlText w:val="%2"/>
      <w:lvlJc w:val="left"/>
      <w:pPr>
        <w:ind w:left="108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2" w:tplc="0BBC6BE6">
      <w:start w:val="1"/>
      <w:numFmt w:val="lowerRoman"/>
      <w:lvlText w:val="%3"/>
      <w:lvlJc w:val="left"/>
      <w:pPr>
        <w:ind w:left="180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3" w:tplc="D9DAFA74">
      <w:start w:val="1"/>
      <w:numFmt w:val="decimal"/>
      <w:lvlText w:val="%4"/>
      <w:lvlJc w:val="left"/>
      <w:pPr>
        <w:ind w:left="252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4" w:tplc="FB9AD9B4">
      <w:start w:val="1"/>
      <w:numFmt w:val="lowerLetter"/>
      <w:lvlText w:val="%5"/>
      <w:lvlJc w:val="left"/>
      <w:pPr>
        <w:ind w:left="324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5" w:tplc="7CEC0A76">
      <w:start w:val="1"/>
      <w:numFmt w:val="lowerRoman"/>
      <w:lvlText w:val="%6"/>
      <w:lvlJc w:val="left"/>
      <w:pPr>
        <w:ind w:left="396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6" w:tplc="D36EA672">
      <w:start w:val="1"/>
      <w:numFmt w:val="decimal"/>
      <w:lvlText w:val="%7"/>
      <w:lvlJc w:val="left"/>
      <w:pPr>
        <w:ind w:left="468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7" w:tplc="CDBEAADE">
      <w:start w:val="1"/>
      <w:numFmt w:val="lowerLetter"/>
      <w:lvlText w:val="%8"/>
      <w:lvlJc w:val="left"/>
      <w:pPr>
        <w:ind w:left="540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8" w:tplc="9E06C6C8">
      <w:start w:val="1"/>
      <w:numFmt w:val="lowerRoman"/>
      <w:lvlText w:val="%9"/>
      <w:lvlJc w:val="left"/>
      <w:pPr>
        <w:ind w:left="6126"/>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abstractNum>
  <w:abstractNum w:abstractNumId="4" w15:restartNumberingAfterBreak="0">
    <w:nsid w:val="415D3CA0"/>
    <w:multiLevelType w:val="hybridMultilevel"/>
    <w:tmpl w:val="2ACEA4E0"/>
    <w:lvl w:ilvl="0" w:tplc="C8F6FE40">
      <w:start w:val="1"/>
      <w:numFmt w:val="bullet"/>
      <w:lvlText w:val="-"/>
      <w:lvlJc w:val="left"/>
      <w:pPr>
        <w:ind w:left="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41EBFC6">
      <w:start w:val="1"/>
      <w:numFmt w:val="bullet"/>
      <w:lvlText w:val="o"/>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8806E7EE">
      <w:start w:val="1"/>
      <w:numFmt w:val="bullet"/>
      <w:lvlText w:val="▪"/>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1EE6DA10">
      <w:start w:val="1"/>
      <w:numFmt w:val="bullet"/>
      <w:lvlText w:val="•"/>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13E397A">
      <w:start w:val="1"/>
      <w:numFmt w:val="bullet"/>
      <w:lvlText w:val="o"/>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DAE36A6">
      <w:start w:val="1"/>
      <w:numFmt w:val="bullet"/>
      <w:lvlText w:val="▪"/>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206FD98">
      <w:start w:val="1"/>
      <w:numFmt w:val="bullet"/>
      <w:lvlText w:val="•"/>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37856FE">
      <w:start w:val="1"/>
      <w:numFmt w:val="bullet"/>
      <w:lvlText w:val="o"/>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2BA23EA">
      <w:start w:val="1"/>
      <w:numFmt w:val="bullet"/>
      <w:lvlText w:val="▪"/>
      <w:lvlJc w:val="left"/>
      <w:pPr>
        <w:ind w:left="61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46EB5E41"/>
    <w:multiLevelType w:val="multilevel"/>
    <w:tmpl w:val="56A6AEB8"/>
    <w:lvl w:ilvl="0">
      <w:start w:val="7"/>
      <w:numFmt w:val="decimal"/>
      <w:lvlText w:val="%1."/>
      <w:lvlJc w:val="left"/>
      <w:pPr>
        <w:ind w:left="0"/>
      </w:pPr>
      <w:rPr>
        <w:rFonts w:ascii="Calibri" w:eastAsia="Calibri" w:hAnsi="Calibri" w:cs="Calibri"/>
        <w:b w:val="0"/>
        <w:i w:val="0"/>
        <w:strike w:val="0"/>
        <w:dstrike w:val="0"/>
        <w:color w:val="7030A0"/>
        <w:sz w:val="18"/>
        <w:szCs w:val="18"/>
        <w:u w:val="non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513C2141"/>
    <w:multiLevelType w:val="hybridMultilevel"/>
    <w:tmpl w:val="C1CAFA3E"/>
    <w:lvl w:ilvl="0" w:tplc="C9B238B0">
      <w:start w:val="1"/>
      <w:numFmt w:val="bullet"/>
      <w:lvlText w:val="•"/>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C8C48B2">
      <w:start w:val="1"/>
      <w:numFmt w:val="bullet"/>
      <w:lvlText w:val="o"/>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808A060">
      <w:start w:val="1"/>
      <w:numFmt w:val="bullet"/>
      <w:lvlText w:val="▪"/>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9A4FDB8">
      <w:start w:val="1"/>
      <w:numFmt w:val="bullet"/>
      <w:lvlText w:val="•"/>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1BEA42F0">
      <w:start w:val="1"/>
      <w:numFmt w:val="bullet"/>
      <w:lvlText w:val="o"/>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A0EED1E">
      <w:start w:val="1"/>
      <w:numFmt w:val="bullet"/>
      <w:lvlText w:val="▪"/>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47037F0">
      <w:start w:val="1"/>
      <w:numFmt w:val="bullet"/>
      <w:lvlText w:val="•"/>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75489D6">
      <w:start w:val="1"/>
      <w:numFmt w:val="bullet"/>
      <w:lvlText w:val="o"/>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CACE94E">
      <w:start w:val="1"/>
      <w:numFmt w:val="bullet"/>
      <w:lvlText w:val="▪"/>
      <w:lvlJc w:val="left"/>
      <w:pPr>
        <w:ind w:left="61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52780AA5"/>
    <w:multiLevelType w:val="hybridMultilevel"/>
    <w:tmpl w:val="1CAAF1CE"/>
    <w:lvl w:ilvl="0" w:tplc="F24292C6">
      <w:start w:val="1"/>
      <w:numFmt w:val="bullet"/>
      <w:lvlText w:val="•"/>
      <w:lvlJc w:val="left"/>
      <w:pPr>
        <w:ind w:left="32"/>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tplc="348C48EC">
      <w:start w:val="1"/>
      <w:numFmt w:val="bullet"/>
      <w:lvlText w:val="o"/>
      <w:lvlJc w:val="left"/>
      <w:pPr>
        <w:ind w:left="241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tplc="1C241218">
      <w:start w:val="1"/>
      <w:numFmt w:val="bullet"/>
      <w:lvlText w:val="▪"/>
      <w:lvlJc w:val="left"/>
      <w:pPr>
        <w:ind w:left="313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tplc="98BE58B8">
      <w:start w:val="1"/>
      <w:numFmt w:val="bullet"/>
      <w:lvlText w:val="•"/>
      <w:lvlJc w:val="left"/>
      <w:pPr>
        <w:ind w:left="385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tplc="0AE2E46E">
      <w:start w:val="1"/>
      <w:numFmt w:val="bullet"/>
      <w:lvlText w:val="o"/>
      <w:lvlJc w:val="left"/>
      <w:pPr>
        <w:ind w:left="457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tplc="F9608ED0">
      <w:start w:val="1"/>
      <w:numFmt w:val="bullet"/>
      <w:lvlText w:val="▪"/>
      <w:lvlJc w:val="left"/>
      <w:pPr>
        <w:ind w:left="529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tplc="6C94CD74">
      <w:start w:val="1"/>
      <w:numFmt w:val="bullet"/>
      <w:lvlText w:val="•"/>
      <w:lvlJc w:val="left"/>
      <w:pPr>
        <w:ind w:left="601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tplc="897CD15E">
      <w:start w:val="1"/>
      <w:numFmt w:val="bullet"/>
      <w:lvlText w:val="o"/>
      <w:lvlJc w:val="left"/>
      <w:pPr>
        <w:ind w:left="673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tplc="B420BB3E">
      <w:start w:val="1"/>
      <w:numFmt w:val="bullet"/>
      <w:lvlText w:val="▪"/>
      <w:lvlJc w:val="left"/>
      <w:pPr>
        <w:ind w:left="7456"/>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672C524A"/>
    <w:multiLevelType w:val="hybridMultilevel"/>
    <w:tmpl w:val="4802D4B0"/>
    <w:lvl w:ilvl="0" w:tplc="DFF092AC">
      <w:start w:val="5"/>
      <w:numFmt w:val="decimal"/>
      <w:lvlText w:val="%1."/>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604E13F6">
      <w:start w:val="1"/>
      <w:numFmt w:val="lowerLetter"/>
      <w:lvlText w:val="%2"/>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23CC92E4">
      <w:start w:val="1"/>
      <w:numFmt w:val="lowerRoman"/>
      <w:lvlText w:val="%3"/>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D6B2296C">
      <w:start w:val="1"/>
      <w:numFmt w:val="decimal"/>
      <w:lvlText w:val="%4"/>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CEA78BE">
      <w:start w:val="1"/>
      <w:numFmt w:val="lowerLetter"/>
      <w:lvlText w:val="%5"/>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7AB8646A">
      <w:start w:val="1"/>
      <w:numFmt w:val="lowerRoman"/>
      <w:lvlText w:val="%6"/>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B809DD2">
      <w:start w:val="1"/>
      <w:numFmt w:val="decimal"/>
      <w:lvlText w:val="%7"/>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4A8B532">
      <w:start w:val="1"/>
      <w:numFmt w:val="lowerLetter"/>
      <w:lvlText w:val="%8"/>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76200E6">
      <w:start w:val="1"/>
      <w:numFmt w:val="lowerRoman"/>
      <w:lvlText w:val="%9"/>
      <w:lvlJc w:val="left"/>
      <w:pPr>
        <w:ind w:left="61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70F1228C"/>
    <w:multiLevelType w:val="hybridMultilevel"/>
    <w:tmpl w:val="33BE4DF6"/>
    <w:lvl w:ilvl="0" w:tplc="543040E8">
      <w:start w:val="1"/>
      <w:numFmt w:val="bullet"/>
      <w:lvlText w:val="-"/>
      <w:lvlJc w:val="left"/>
      <w:pPr>
        <w:ind w:left="1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51D01C24">
      <w:start w:val="1"/>
      <w:numFmt w:val="bullet"/>
      <w:lvlText w:val="o"/>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F5F8D378">
      <w:start w:val="1"/>
      <w:numFmt w:val="bullet"/>
      <w:lvlText w:val="▪"/>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34249A4">
      <w:start w:val="1"/>
      <w:numFmt w:val="bullet"/>
      <w:lvlText w:val="•"/>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BC0D292">
      <w:start w:val="1"/>
      <w:numFmt w:val="bullet"/>
      <w:lvlText w:val="o"/>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3BA06A6">
      <w:start w:val="1"/>
      <w:numFmt w:val="bullet"/>
      <w:lvlText w:val="▪"/>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62A6C4A">
      <w:start w:val="1"/>
      <w:numFmt w:val="bullet"/>
      <w:lvlText w:val="•"/>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8BC26D2">
      <w:start w:val="1"/>
      <w:numFmt w:val="bullet"/>
      <w:lvlText w:val="o"/>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A68D364">
      <w:start w:val="1"/>
      <w:numFmt w:val="bullet"/>
      <w:lvlText w:val="▪"/>
      <w:lvlJc w:val="left"/>
      <w:pPr>
        <w:ind w:left="61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77357D1B"/>
    <w:multiLevelType w:val="hybridMultilevel"/>
    <w:tmpl w:val="7A7C6516"/>
    <w:lvl w:ilvl="0" w:tplc="9D0E92D2">
      <w:start w:val="1"/>
      <w:numFmt w:val="bullet"/>
      <w:lvlText w:val="•"/>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17EF050">
      <w:start w:val="1"/>
      <w:numFmt w:val="bullet"/>
      <w:lvlText w:val="o"/>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58AD192">
      <w:start w:val="1"/>
      <w:numFmt w:val="bullet"/>
      <w:lvlText w:val="▪"/>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E5E9BFA">
      <w:start w:val="1"/>
      <w:numFmt w:val="bullet"/>
      <w:lvlText w:val="•"/>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46435FC">
      <w:start w:val="1"/>
      <w:numFmt w:val="bullet"/>
      <w:lvlText w:val="o"/>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6D30518A">
      <w:start w:val="1"/>
      <w:numFmt w:val="bullet"/>
      <w:lvlText w:val="▪"/>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A522C66">
      <w:start w:val="1"/>
      <w:numFmt w:val="bullet"/>
      <w:lvlText w:val="•"/>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D3A8EB2">
      <w:start w:val="1"/>
      <w:numFmt w:val="bullet"/>
      <w:lvlText w:val="o"/>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41CBC2E">
      <w:start w:val="1"/>
      <w:numFmt w:val="bullet"/>
      <w:lvlText w:val="▪"/>
      <w:lvlJc w:val="left"/>
      <w:pPr>
        <w:ind w:left="61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7D101D2E"/>
    <w:multiLevelType w:val="hybridMultilevel"/>
    <w:tmpl w:val="4BF8F118"/>
    <w:lvl w:ilvl="0" w:tplc="D6864B6C">
      <w:start w:val="5"/>
      <w:numFmt w:val="decimal"/>
      <w:lvlText w:val="%1."/>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19AD768">
      <w:start w:val="1"/>
      <w:numFmt w:val="lowerLetter"/>
      <w:lvlText w:val="%2"/>
      <w:lvlJc w:val="left"/>
      <w:pPr>
        <w:ind w:left="1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474C8F3C">
      <w:start w:val="1"/>
      <w:numFmt w:val="lowerRoman"/>
      <w:lvlText w:val="%3"/>
      <w:lvlJc w:val="left"/>
      <w:pPr>
        <w:ind w:left="1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8A2BA1C">
      <w:start w:val="1"/>
      <w:numFmt w:val="decimal"/>
      <w:lvlText w:val="%4"/>
      <w:lvlJc w:val="left"/>
      <w:pPr>
        <w:ind w:left="2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46ACC18C">
      <w:start w:val="1"/>
      <w:numFmt w:val="lowerLetter"/>
      <w:lvlText w:val="%5"/>
      <w:lvlJc w:val="left"/>
      <w:pPr>
        <w:ind w:left="3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2D2961A">
      <w:start w:val="1"/>
      <w:numFmt w:val="lowerRoman"/>
      <w:lvlText w:val="%6"/>
      <w:lvlJc w:val="left"/>
      <w:pPr>
        <w:ind w:left="3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95C3658">
      <w:start w:val="1"/>
      <w:numFmt w:val="decimal"/>
      <w:lvlText w:val="%7"/>
      <w:lvlJc w:val="left"/>
      <w:pPr>
        <w:ind w:left="4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F80E5A2">
      <w:start w:val="1"/>
      <w:numFmt w:val="lowerLetter"/>
      <w:lvlText w:val="%8"/>
      <w:lvlJc w:val="left"/>
      <w:pPr>
        <w:ind w:left="54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40AB22E">
      <w:start w:val="1"/>
      <w:numFmt w:val="lowerRoman"/>
      <w:lvlText w:val="%9"/>
      <w:lvlJc w:val="left"/>
      <w:pPr>
        <w:ind w:left="61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abstractNumId w:val="6"/>
  </w:num>
  <w:num w:numId="2">
    <w:abstractNumId w:val="10"/>
  </w:num>
  <w:num w:numId="3">
    <w:abstractNumId w:val="7"/>
  </w:num>
  <w:num w:numId="4">
    <w:abstractNumId w:val="8"/>
  </w:num>
  <w:num w:numId="5">
    <w:abstractNumId w:val="11"/>
  </w:num>
  <w:num w:numId="6">
    <w:abstractNumId w:val="1"/>
  </w:num>
  <w:num w:numId="7">
    <w:abstractNumId w:val="9"/>
  </w:num>
  <w:num w:numId="8">
    <w:abstractNumId w:val="3"/>
  </w:num>
  <w:num w:numId="9">
    <w:abstractNumId w:val="4"/>
  </w:num>
  <w:num w:numId="10">
    <w:abstractNumId w:val="0"/>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27E"/>
    <w:rsid w:val="00656CDF"/>
    <w:rsid w:val="00FD3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CD766DD1-7B4E-477C-AB57-5C2C387A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2819</Words>
  <Characters>16071</Characters>
  <Application>Microsoft Office Word</Application>
  <DocSecurity>4</DocSecurity>
  <Lines>133</Lines>
  <Paragraphs>37</Paragraphs>
  <ScaleCrop>false</ScaleCrop>
  <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2018-09-30T19:04:00Z</dcterms:created>
  <dcterms:modified xsi:type="dcterms:W3CDTF">2018-09-30T19:04:00Z</dcterms:modified>
</cp:coreProperties>
</file>