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6762C" w14:textId="77777777" w:rsidR="00DA45A6" w:rsidRPr="00C1729E" w:rsidRDefault="00DA45A6" w:rsidP="009941AE">
      <w:pPr>
        <w:spacing w:after="60" w:line="240" w:lineRule="auto"/>
        <w:jc w:val="center"/>
        <w:rPr>
          <w:b/>
          <w:sz w:val="28"/>
          <w:szCs w:val="28"/>
        </w:rPr>
      </w:pPr>
      <w:r w:rsidRPr="00C1729E">
        <w:rPr>
          <w:b/>
          <w:sz w:val="28"/>
          <w:szCs w:val="28"/>
        </w:rPr>
        <w:t>Raport de progres</w:t>
      </w:r>
    </w:p>
    <w:p w14:paraId="4610372C" w14:textId="77777777" w:rsidR="00DA45A6" w:rsidRPr="00C1729E" w:rsidRDefault="00DA45A6" w:rsidP="009941AE">
      <w:pPr>
        <w:spacing w:after="60" w:line="240" w:lineRule="auto"/>
        <w:jc w:val="center"/>
        <w:rPr>
          <w:b/>
          <w:sz w:val="28"/>
          <w:szCs w:val="28"/>
        </w:rPr>
      </w:pPr>
      <w:r w:rsidRPr="00C1729E">
        <w:rPr>
          <w:b/>
          <w:sz w:val="28"/>
          <w:szCs w:val="28"/>
        </w:rPr>
        <w:t>în legătură cu punerea în aplicare a Acordului de Parteneriat</w:t>
      </w:r>
      <w:r w:rsidR="00B4650E" w:rsidRPr="00C1729E">
        <w:rPr>
          <w:b/>
          <w:sz w:val="28"/>
          <w:szCs w:val="28"/>
        </w:rPr>
        <w:t xml:space="preserve"> (2014RO16M8PA001</w:t>
      </w:r>
      <w:r w:rsidR="000566EB" w:rsidRPr="00C1729E">
        <w:rPr>
          <w:b/>
          <w:sz w:val="28"/>
          <w:szCs w:val="28"/>
        </w:rPr>
        <w:t>)</w:t>
      </w:r>
    </w:p>
    <w:p w14:paraId="77216DDF" w14:textId="77777777" w:rsidR="00D00AA7" w:rsidRPr="00C1729E" w:rsidRDefault="00D00AA7" w:rsidP="009941AE">
      <w:pPr>
        <w:spacing w:after="60" w:line="240" w:lineRule="auto"/>
        <w:jc w:val="center"/>
        <w:rPr>
          <w:sz w:val="24"/>
          <w:szCs w:val="24"/>
        </w:rPr>
      </w:pPr>
      <w:r w:rsidRPr="00C1729E">
        <w:rPr>
          <w:sz w:val="24"/>
          <w:szCs w:val="24"/>
        </w:rPr>
        <w:t xml:space="preserve">august </w:t>
      </w:r>
      <w:r w:rsidR="00E276C5" w:rsidRPr="00C1729E">
        <w:rPr>
          <w:sz w:val="24"/>
          <w:szCs w:val="24"/>
        </w:rPr>
        <w:t>2019</w:t>
      </w:r>
    </w:p>
    <w:p w14:paraId="64B19002" w14:textId="77777777" w:rsidR="006340A3" w:rsidRPr="00C1729E" w:rsidRDefault="00B4650E" w:rsidP="009941AE">
      <w:pPr>
        <w:shd w:val="clear" w:color="auto" w:fill="FFFFFF"/>
        <w:spacing w:after="0" w:line="240" w:lineRule="auto"/>
        <w:textAlignment w:val="center"/>
        <w:rPr>
          <w:rFonts w:eastAsia="Times New Roman" w:cs="Arial"/>
          <w:b/>
          <w:bCs/>
          <w:caps/>
          <w:color w:val="548DD4" w:themeColor="text2" w:themeTint="99"/>
          <w:lang w:eastAsia="ro-RO"/>
        </w:rPr>
      </w:pPr>
      <w:r w:rsidRPr="00C1729E">
        <w:rPr>
          <w:rFonts w:eastAsia="Times New Roman" w:cs="Arial"/>
          <w:b/>
          <w:bCs/>
          <w:caps/>
          <w:color w:val="548DD4" w:themeColor="text2" w:themeTint="99"/>
          <w:lang w:eastAsia="ro-RO"/>
        </w:rPr>
        <w:t>PART</w:t>
      </w:r>
      <w:r w:rsidR="006340A3" w:rsidRPr="00C1729E">
        <w:rPr>
          <w:rFonts w:eastAsia="Times New Roman" w:cs="Arial"/>
          <w:b/>
          <w:bCs/>
          <w:caps/>
          <w:color w:val="548DD4" w:themeColor="text2" w:themeTint="99"/>
          <w:lang w:eastAsia="ro-RO"/>
        </w:rPr>
        <w:t>EA</w:t>
      </w:r>
      <w:r w:rsidRPr="00C1729E">
        <w:rPr>
          <w:rFonts w:eastAsia="Times New Roman" w:cs="Arial"/>
          <w:b/>
          <w:bCs/>
          <w:caps/>
          <w:color w:val="548DD4" w:themeColor="text2" w:themeTint="99"/>
          <w:lang w:eastAsia="ro-RO"/>
        </w:rPr>
        <w:t xml:space="preserve"> I</w:t>
      </w:r>
    </w:p>
    <w:p w14:paraId="0AEE9690" w14:textId="77777777" w:rsidR="006340A3" w:rsidRPr="00C1729E" w:rsidRDefault="006340A3" w:rsidP="009941AE">
      <w:pPr>
        <w:spacing w:after="60" w:line="240" w:lineRule="auto"/>
        <w:jc w:val="both"/>
        <w:rPr>
          <w:rFonts w:eastAsia="Times New Roman" w:cs="Arial"/>
          <w:b/>
          <w:bCs/>
          <w:caps/>
          <w:color w:val="548DD4" w:themeColor="text2" w:themeTint="99"/>
          <w:lang w:eastAsia="ro-RO"/>
        </w:rPr>
      </w:pPr>
      <w:r w:rsidRPr="00C1729E">
        <w:rPr>
          <w:rFonts w:eastAsia="Times New Roman" w:cs="Arial"/>
          <w:b/>
          <w:bCs/>
          <w:caps/>
          <w:color w:val="548DD4" w:themeColor="text2" w:themeTint="99"/>
          <w:lang w:eastAsia="ro-RO"/>
        </w:rPr>
        <w:t>1. MODIFICAREA NECESITĂȚILOR DE DEZVOLTARE DIN STATUL MEMBRU DUPĂ ADOPTAREA ACORDULUI DE PARTENERIAT [ARTICOLUL 52 ALINEATUL (2) LITERA (A) DIN REGULAMENTUL (UE) NR. 1303/2013 AL PARLAMENTULUI EUROPEAN ȘI AL CONSILIULUI (1)]</w:t>
      </w:r>
    </w:p>
    <w:p w14:paraId="7E12D31F" w14:textId="77777777" w:rsidR="006340A3" w:rsidRPr="00C1729E" w:rsidRDefault="006340A3" w:rsidP="009941AE">
      <w:pPr>
        <w:spacing w:after="60" w:line="240" w:lineRule="auto"/>
        <w:jc w:val="both"/>
        <w:rPr>
          <w:rFonts w:eastAsia="Times New Roman" w:cs="Arial"/>
          <w:b/>
          <w:bCs/>
          <w:caps/>
          <w:color w:val="548DD4" w:themeColor="text2" w:themeTint="99"/>
          <w:lang w:eastAsia="ro-RO"/>
        </w:rPr>
      </w:pPr>
    </w:p>
    <w:p w14:paraId="333A5109" w14:textId="77777777" w:rsidR="006340A3" w:rsidRPr="00C1729E" w:rsidRDefault="006340A3" w:rsidP="009941AE">
      <w:pPr>
        <w:pStyle w:val="ListParagraph"/>
        <w:numPr>
          <w:ilvl w:val="0"/>
          <w:numId w:val="6"/>
        </w:numPr>
        <w:spacing w:after="60" w:line="240" w:lineRule="auto"/>
        <w:jc w:val="both"/>
        <w:rPr>
          <w:rFonts w:eastAsia="Times New Roman" w:cs="Arial"/>
          <w:b/>
          <w:bCs/>
          <w:caps/>
          <w:color w:val="548DD4" w:themeColor="text2" w:themeTint="99"/>
          <w:lang w:eastAsia="ro-RO"/>
        </w:rPr>
      </w:pPr>
      <w:r w:rsidRPr="00C1729E">
        <w:rPr>
          <w:rFonts w:eastAsia="Times New Roman" w:cs="Arial"/>
          <w:b/>
          <w:bCs/>
          <w:color w:val="548DD4" w:themeColor="text2" w:themeTint="99"/>
          <w:lang w:eastAsia="ro-RO"/>
        </w:rPr>
        <w:t>Descrierea generală și evaluarea modificării necesităților de dezvoltare, inclusiv descrierea modificărilor necesităților de dezvoltare identificate de noile recomandări relevante specifice fiecărei țări, adoptate în conformitate cu articolul 121 alineatul (2) și cu articolul 148 alineatul (4) din tratat.</w:t>
      </w:r>
    </w:p>
    <w:p w14:paraId="3F9EACA3" w14:textId="06CCEB9A" w:rsidR="006340A3" w:rsidRPr="00C1729E" w:rsidRDefault="006340A3" w:rsidP="009941AE">
      <w:pPr>
        <w:spacing w:after="60" w:line="240" w:lineRule="auto"/>
        <w:jc w:val="both"/>
        <w:rPr>
          <w:sz w:val="24"/>
          <w:szCs w:val="24"/>
        </w:rPr>
      </w:pPr>
      <w:r w:rsidRPr="00075878">
        <w:rPr>
          <w:sz w:val="24"/>
          <w:szCs w:val="24"/>
        </w:rPr>
        <w:t>Progrese</w:t>
      </w:r>
      <w:r w:rsidR="000D01FF" w:rsidRPr="00075878">
        <w:rPr>
          <w:sz w:val="24"/>
          <w:szCs w:val="24"/>
        </w:rPr>
        <w:t>le</w:t>
      </w:r>
      <w:r w:rsidRPr="00075878">
        <w:rPr>
          <w:sz w:val="24"/>
          <w:szCs w:val="24"/>
        </w:rPr>
        <w:t xml:space="preserve"> înregistrate de România a la nivelul celor 5 provocări de dezvoltare identificate la nivelul AP nu sunt</w:t>
      </w:r>
      <w:r w:rsidR="00075878" w:rsidRPr="00075878">
        <w:rPr>
          <w:sz w:val="24"/>
          <w:szCs w:val="24"/>
        </w:rPr>
        <w:t xml:space="preserve"> semnificative, nefiind necesara</w:t>
      </w:r>
      <w:r w:rsidRPr="00075878">
        <w:rPr>
          <w:sz w:val="24"/>
          <w:szCs w:val="24"/>
        </w:rPr>
        <w:t xml:space="preserve"> revizuirea nevoilor de dezvoltare și reconfigurarea investițiilor stabilite la nivelul programelor. Astfel, rămâne de actualitate necesitatea consolidării măsurilor active pe piața forței de muncă</w:t>
      </w:r>
      <w:r w:rsidRPr="00C1729E">
        <w:rPr>
          <w:sz w:val="24"/>
          <w:szCs w:val="24"/>
        </w:rPr>
        <w:t xml:space="preserve">, a integrării sociale și combaterii sărăciei, creșterii ratei de școlarizare și scăderea ratei de părăsire timpurie a școlii, îmbunătățirii eficienței consumului </w:t>
      </w:r>
      <w:r w:rsidR="000D01FF" w:rsidRPr="00C1729E">
        <w:rPr>
          <w:sz w:val="24"/>
          <w:szCs w:val="24"/>
        </w:rPr>
        <w:t xml:space="preserve">de energie </w:t>
      </w:r>
      <w:r w:rsidR="000D01FF">
        <w:rPr>
          <w:sz w:val="24"/>
          <w:szCs w:val="24"/>
        </w:rPr>
        <w:t xml:space="preserve">și </w:t>
      </w:r>
      <w:r w:rsidR="000D01FF" w:rsidRPr="000D01FF">
        <w:rPr>
          <w:sz w:val="24"/>
          <w:szCs w:val="24"/>
        </w:rPr>
        <w:t>combater</w:t>
      </w:r>
      <w:r w:rsidR="000D01FF">
        <w:rPr>
          <w:sz w:val="24"/>
          <w:szCs w:val="24"/>
        </w:rPr>
        <w:t>ii</w:t>
      </w:r>
      <w:r w:rsidR="000D01FF" w:rsidRPr="000D01FF">
        <w:rPr>
          <w:sz w:val="24"/>
          <w:szCs w:val="24"/>
        </w:rPr>
        <w:t xml:space="preserve"> schimbărilor climatice</w:t>
      </w:r>
      <w:r w:rsidR="000D01FF">
        <w:rPr>
          <w:sz w:val="24"/>
          <w:szCs w:val="24"/>
        </w:rPr>
        <w:t>,</w:t>
      </w:r>
      <w:r w:rsidR="000D01FF" w:rsidRPr="000D01FF">
        <w:rPr>
          <w:sz w:val="24"/>
          <w:szCs w:val="24"/>
        </w:rPr>
        <w:t xml:space="preserve"> </w:t>
      </w:r>
      <w:r w:rsidRPr="00C1729E">
        <w:rPr>
          <w:sz w:val="24"/>
          <w:szCs w:val="24"/>
        </w:rPr>
        <w:t xml:space="preserve"> dezvoltării infrastructurii, cu precădere a celei de transport și mediu, dezvoltării locale integrate, susținerii </w:t>
      </w:r>
      <w:proofErr w:type="spellStart"/>
      <w:r w:rsidRPr="00C1729E">
        <w:rPr>
          <w:sz w:val="24"/>
          <w:szCs w:val="24"/>
        </w:rPr>
        <w:t>antreprenoriatului</w:t>
      </w:r>
      <w:proofErr w:type="spellEnd"/>
      <w:r w:rsidRPr="00C1729E">
        <w:rPr>
          <w:sz w:val="24"/>
          <w:szCs w:val="24"/>
        </w:rPr>
        <w:t>, dezvoltării cercetării inovării,</w:t>
      </w:r>
      <w:r w:rsidRPr="00C1729E">
        <w:t xml:space="preserve"> </w:t>
      </w:r>
      <w:r w:rsidRPr="00C1729E">
        <w:rPr>
          <w:sz w:val="24"/>
          <w:szCs w:val="24"/>
        </w:rPr>
        <w:t>îmbunătățirii accesului la tehnologia IT, capacității instituționale a autorităților publice .</w:t>
      </w:r>
    </w:p>
    <w:p w14:paraId="4551CE4B" w14:textId="77777777" w:rsidR="006340A3" w:rsidRPr="00C1729E" w:rsidRDefault="006340A3" w:rsidP="009941AE">
      <w:pPr>
        <w:pStyle w:val="ListParagraph"/>
        <w:numPr>
          <w:ilvl w:val="0"/>
          <w:numId w:val="5"/>
        </w:numPr>
        <w:spacing w:after="60" w:line="240" w:lineRule="auto"/>
        <w:jc w:val="both"/>
        <w:rPr>
          <w:b/>
          <w:sz w:val="24"/>
          <w:szCs w:val="24"/>
        </w:rPr>
      </w:pPr>
      <w:r w:rsidRPr="00C1729E">
        <w:rPr>
          <w:b/>
          <w:sz w:val="24"/>
          <w:szCs w:val="24"/>
        </w:rPr>
        <w:t>Competitivitatea și dezvoltarea locală</w:t>
      </w:r>
    </w:p>
    <w:p w14:paraId="6E63EE5B" w14:textId="77777777" w:rsidR="006340A3" w:rsidRPr="00C1729E" w:rsidRDefault="006340A3" w:rsidP="009941AE">
      <w:pPr>
        <w:spacing w:after="60" w:line="240" w:lineRule="auto"/>
        <w:jc w:val="both"/>
        <w:rPr>
          <w:sz w:val="24"/>
          <w:szCs w:val="24"/>
        </w:rPr>
      </w:pPr>
      <w:r w:rsidRPr="00C1729E">
        <w:rPr>
          <w:sz w:val="24"/>
          <w:szCs w:val="24"/>
        </w:rPr>
        <w:t xml:space="preserve">Nivelul general al activității economice din România rămâne în continuare foarte scăzut. O analiză a nivelului, structurii și performanței sectoriale arată clar faptul că problema competitivității rămâne o provocare pentru România. </w:t>
      </w:r>
    </w:p>
    <w:p w14:paraId="67EF8660" w14:textId="1369DF24" w:rsidR="0007707B" w:rsidRDefault="00075878" w:rsidP="009941AE">
      <w:pPr>
        <w:spacing w:after="60" w:line="240" w:lineRule="auto"/>
        <w:jc w:val="both"/>
        <w:rPr>
          <w:sz w:val="24"/>
          <w:szCs w:val="24"/>
        </w:rPr>
      </w:pPr>
      <w:r w:rsidRPr="00075878">
        <w:rPr>
          <w:sz w:val="24"/>
          <w:szCs w:val="24"/>
        </w:rPr>
        <w:t>Productivitatea și competitivitatea  rămân deficitare în multe domenii industriale, iar serviciile cu valoare adăugată înaltă sunt slab reprezentate în cadrul economiei. Strategia Națională pentru Competitivitate (aprobata prin HG nr. 752/2015) a identificat sectoarele industriale și serviciile cu valoare adăugată, competitive, care au demonstrat creșteri recente și bune performanțe la export</w:t>
      </w:r>
      <w:r w:rsidR="0007707B">
        <w:rPr>
          <w:sz w:val="24"/>
          <w:szCs w:val="24"/>
        </w:rPr>
        <w:t>:</w:t>
      </w:r>
      <w:r w:rsidRPr="00075878">
        <w:rPr>
          <w:sz w:val="24"/>
          <w:szCs w:val="24"/>
        </w:rPr>
        <w:t xml:space="preserve"> sectorul autovehiculelor, sectorul alimentar și al băuturilor, agricultura ecologică, sectorul textilelor și al pielăriei, sectorul tehnologiilor informației și comunicațiilor și sectorul serviciilor financiare. Prin HG nr.640/2018, lista sectoarelor competitive a fost completată cu sectoarele construcții și distribuție.</w:t>
      </w:r>
    </w:p>
    <w:p w14:paraId="6C69F95C" w14:textId="6B02FC65" w:rsidR="006340A3" w:rsidRPr="00C1729E" w:rsidRDefault="006340A3" w:rsidP="009941AE">
      <w:pPr>
        <w:spacing w:after="60" w:line="240" w:lineRule="auto"/>
        <w:jc w:val="both"/>
        <w:rPr>
          <w:sz w:val="24"/>
          <w:szCs w:val="24"/>
        </w:rPr>
      </w:pPr>
      <w:r w:rsidRPr="00C1729E">
        <w:rPr>
          <w:sz w:val="24"/>
          <w:szCs w:val="24"/>
        </w:rPr>
        <w:t>În anul 2017 rata de supravieţuire a întreprinderilor la un an este de peste 60%, în scădere f</w:t>
      </w:r>
      <w:r w:rsidR="004A0892">
        <w:rPr>
          <w:sz w:val="24"/>
          <w:szCs w:val="24"/>
        </w:rPr>
        <w:t>a</w:t>
      </w:r>
      <w:r w:rsidRPr="00C1729E">
        <w:rPr>
          <w:sz w:val="24"/>
          <w:szCs w:val="24"/>
        </w:rPr>
        <w:t>ț</w:t>
      </w:r>
      <w:r w:rsidR="004A0892">
        <w:rPr>
          <w:sz w:val="24"/>
          <w:szCs w:val="24"/>
        </w:rPr>
        <w:t>ă</w:t>
      </w:r>
      <w:r w:rsidRPr="00C1729E">
        <w:rPr>
          <w:sz w:val="24"/>
          <w:szCs w:val="24"/>
        </w:rPr>
        <w:t xml:space="preserve"> de 2015 (75%). Proporţia celor care şi-au încetat definitiv activitatea este de 21,7% în </w:t>
      </w:r>
      <w:proofErr w:type="spellStart"/>
      <w:r w:rsidRPr="00C1729E">
        <w:rPr>
          <w:sz w:val="24"/>
          <w:szCs w:val="24"/>
        </w:rPr>
        <w:t>creṣtere</w:t>
      </w:r>
      <w:proofErr w:type="spellEnd"/>
      <w:r w:rsidRPr="00C1729E">
        <w:rPr>
          <w:sz w:val="24"/>
          <w:szCs w:val="24"/>
        </w:rPr>
        <w:t xml:space="preserve"> cu 7,4 puncte procentuale comparativ cu anul precedent, iar ponderea întreprinderilor încă inactive la un an după înfiinţare se situează în jurul valorii de 17,5%. </w:t>
      </w:r>
    </w:p>
    <w:p w14:paraId="38904059" w14:textId="77777777" w:rsidR="006340A3" w:rsidRPr="00C1729E" w:rsidRDefault="006340A3" w:rsidP="009941AE">
      <w:pPr>
        <w:spacing w:after="60" w:line="240" w:lineRule="auto"/>
        <w:jc w:val="both"/>
        <w:rPr>
          <w:sz w:val="24"/>
          <w:szCs w:val="24"/>
        </w:rPr>
      </w:pPr>
      <w:r w:rsidRPr="00C1729E">
        <w:rPr>
          <w:sz w:val="24"/>
          <w:szCs w:val="24"/>
        </w:rPr>
        <w:t xml:space="preserve">În anul 2017, regiunile </w:t>
      </w:r>
      <w:proofErr w:type="spellStart"/>
      <w:r w:rsidRPr="00C1729E">
        <w:rPr>
          <w:sz w:val="24"/>
          <w:szCs w:val="24"/>
        </w:rPr>
        <w:t>Nord-Vest</w:t>
      </w:r>
      <w:proofErr w:type="spellEnd"/>
      <w:r w:rsidRPr="00C1729E">
        <w:rPr>
          <w:sz w:val="24"/>
          <w:szCs w:val="24"/>
        </w:rPr>
        <w:t xml:space="preserve">, </w:t>
      </w:r>
      <w:proofErr w:type="spellStart"/>
      <w:r w:rsidRPr="00C1729E">
        <w:rPr>
          <w:sz w:val="24"/>
          <w:szCs w:val="24"/>
        </w:rPr>
        <w:t>Sud-Est</w:t>
      </w:r>
      <w:proofErr w:type="spellEnd"/>
      <w:r w:rsidRPr="00C1729E">
        <w:rPr>
          <w:sz w:val="24"/>
          <w:szCs w:val="24"/>
        </w:rPr>
        <w:t xml:space="preserve">, Centru </w:t>
      </w:r>
      <w:proofErr w:type="spellStart"/>
      <w:r w:rsidRPr="00C1729E">
        <w:rPr>
          <w:sz w:val="24"/>
          <w:szCs w:val="24"/>
        </w:rPr>
        <w:t>ṣi</w:t>
      </w:r>
      <w:proofErr w:type="spellEnd"/>
      <w:r w:rsidRPr="00C1729E">
        <w:rPr>
          <w:sz w:val="24"/>
          <w:szCs w:val="24"/>
        </w:rPr>
        <w:t xml:space="preserve"> </w:t>
      </w:r>
      <w:proofErr w:type="spellStart"/>
      <w:r w:rsidRPr="00C1729E">
        <w:rPr>
          <w:sz w:val="24"/>
          <w:szCs w:val="24"/>
        </w:rPr>
        <w:t>Nord-Est</w:t>
      </w:r>
      <w:proofErr w:type="spellEnd"/>
      <w:r w:rsidRPr="00C1729E">
        <w:rPr>
          <w:sz w:val="24"/>
          <w:szCs w:val="24"/>
        </w:rPr>
        <w:t xml:space="preserve"> prezintă cele mai ridicate rate (73,3%, 69,4%, 68,7%, respectiv 65,4%) a întreprinderilor active după un an de la înfiinţare; regiunile </w:t>
      </w:r>
      <w:proofErr w:type="spellStart"/>
      <w:r w:rsidRPr="00C1729E">
        <w:rPr>
          <w:sz w:val="24"/>
          <w:szCs w:val="24"/>
        </w:rPr>
        <w:t>Sud-Vest</w:t>
      </w:r>
      <w:proofErr w:type="spellEnd"/>
      <w:r w:rsidRPr="00C1729E">
        <w:rPr>
          <w:sz w:val="24"/>
          <w:szCs w:val="24"/>
        </w:rPr>
        <w:t xml:space="preserve"> Oltenia </w:t>
      </w:r>
      <w:proofErr w:type="spellStart"/>
      <w:r w:rsidRPr="00C1729E">
        <w:rPr>
          <w:sz w:val="24"/>
          <w:szCs w:val="24"/>
        </w:rPr>
        <w:t>ṣi</w:t>
      </w:r>
      <w:proofErr w:type="spellEnd"/>
      <w:r w:rsidRPr="00C1729E">
        <w:rPr>
          <w:sz w:val="24"/>
          <w:szCs w:val="24"/>
        </w:rPr>
        <w:t xml:space="preserve"> Vest prezintă cele mai ridicate rate a întreprinderilor inactive la un an de la înfiinţare, aproximativ 28,7%, respectiv 27,9%, iar regiunea Bucureşti-Ilfov prezintă cea mai ridicată rată a întreprinderilor </w:t>
      </w:r>
      <w:proofErr w:type="spellStart"/>
      <w:r w:rsidRPr="00C1729E">
        <w:rPr>
          <w:sz w:val="24"/>
          <w:szCs w:val="24"/>
        </w:rPr>
        <w:t>desfi</w:t>
      </w:r>
      <w:r w:rsidR="005F7F29" w:rsidRPr="00C1729E">
        <w:rPr>
          <w:sz w:val="24"/>
          <w:szCs w:val="24"/>
        </w:rPr>
        <w:t>i</w:t>
      </w:r>
      <w:r w:rsidRPr="00C1729E">
        <w:rPr>
          <w:sz w:val="24"/>
          <w:szCs w:val="24"/>
        </w:rPr>
        <w:t>nṭate</w:t>
      </w:r>
      <w:proofErr w:type="spellEnd"/>
      <w:r w:rsidRPr="00C1729E">
        <w:rPr>
          <w:sz w:val="24"/>
          <w:szCs w:val="24"/>
        </w:rPr>
        <w:t xml:space="preserve">. </w:t>
      </w:r>
    </w:p>
    <w:p w14:paraId="11016EFA" w14:textId="7E4B6101" w:rsidR="006340A3" w:rsidRPr="00C1729E" w:rsidRDefault="006340A3" w:rsidP="009941AE">
      <w:pPr>
        <w:spacing w:after="60" w:line="240" w:lineRule="auto"/>
        <w:jc w:val="both"/>
        <w:rPr>
          <w:sz w:val="24"/>
          <w:szCs w:val="24"/>
        </w:rPr>
      </w:pPr>
      <w:r w:rsidRPr="00C1729E">
        <w:rPr>
          <w:sz w:val="24"/>
          <w:szCs w:val="24"/>
        </w:rPr>
        <w:t xml:space="preserve">Cauze ale eșecului în dezvoltarea antreprenorialului este accesul dificil la surse de finanțare, </w:t>
      </w:r>
      <w:r w:rsidR="004A0892" w:rsidRPr="004A0892">
        <w:rPr>
          <w:sz w:val="24"/>
          <w:szCs w:val="24"/>
        </w:rPr>
        <w:t>nivelul prea ridicat al dobânzilor și comisioanelor percepute</w:t>
      </w:r>
      <w:r w:rsidR="004A0892">
        <w:rPr>
          <w:sz w:val="24"/>
          <w:szCs w:val="24"/>
        </w:rPr>
        <w:t>, precum și</w:t>
      </w:r>
      <w:r w:rsidR="004A0892" w:rsidRPr="004A0892">
        <w:rPr>
          <w:sz w:val="24"/>
          <w:szCs w:val="24"/>
        </w:rPr>
        <w:t xml:space="preserve"> </w:t>
      </w:r>
      <w:r w:rsidRPr="00C1729E">
        <w:rPr>
          <w:sz w:val="24"/>
          <w:szCs w:val="24"/>
        </w:rPr>
        <w:t xml:space="preserve">faptul că nu există suficiente stimulente pentru a încuraja investițiile încă din primul an de la înființare  și colaterale disponibile reduse pentru asigurarea garanțiilor. </w:t>
      </w:r>
    </w:p>
    <w:p w14:paraId="7F0B1BB9" w14:textId="1093E683" w:rsidR="006340A3" w:rsidRPr="00C1729E" w:rsidRDefault="006340A3" w:rsidP="009941AE">
      <w:pPr>
        <w:spacing w:after="60" w:line="240" w:lineRule="auto"/>
        <w:jc w:val="both"/>
        <w:rPr>
          <w:sz w:val="24"/>
          <w:szCs w:val="24"/>
        </w:rPr>
      </w:pPr>
      <w:r w:rsidRPr="00C1729E">
        <w:rPr>
          <w:sz w:val="24"/>
          <w:szCs w:val="24"/>
        </w:rPr>
        <w:t xml:space="preserve">În ceea ce privește TIC, pe lângă potențialul său ca sector în dezvoltare, acesta joacă un rol din ce în ce mai important în îmbunătățirea eficienței întreprinderilor și în extinderea accesului la piață. </w:t>
      </w:r>
      <w:r w:rsidRPr="00C1729E">
        <w:rPr>
          <w:sz w:val="24"/>
          <w:szCs w:val="24"/>
        </w:rPr>
        <w:lastRenderedPageBreak/>
        <w:t xml:space="preserve">Dezvoltarea TIC este un domeniu cheie de îmbunătățire a competitivității mediului de afaceri, de creștere a eficienței sectorului public și de reducere a birocrației. Potrivit rezultatelor anchetei privind accesul populaţiei la tehnologia informaţiilor şi comunicaţiilor în gospodării, </w:t>
      </w:r>
      <w:r w:rsidR="00233518">
        <w:rPr>
          <w:sz w:val="24"/>
          <w:szCs w:val="24"/>
        </w:rPr>
        <w:t xml:space="preserve">nivelul acestuia </w:t>
      </w:r>
      <w:r w:rsidRPr="00C1729E">
        <w:rPr>
          <w:sz w:val="24"/>
          <w:szCs w:val="24"/>
        </w:rPr>
        <w:t>a crescut, în anul  2018, aproape trei sferturi di</w:t>
      </w:r>
      <w:r w:rsidR="00C261E8">
        <w:rPr>
          <w:sz w:val="24"/>
          <w:szCs w:val="24"/>
        </w:rPr>
        <w:t>ntre gospodăriile din România (</w:t>
      </w:r>
      <w:r w:rsidRPr="00C1729E">
        <w:rPr>
          <w:sz w:val="24"/>
          <w:szCs w:val="24"/>
        </w:rPr>
        <w:t xml:space="preserve">72,4%) </w:t>
      </w:r>
      <w:r w:rsidR="00233518">
        <w:rPr>
          <w:sz w:val="24"/>
          <w:szCs w:val="24"/>
        </w:rPr>
        <w:t>având</w:t>
      </w:r>
      <w:r w:rsidR="00233518" w:rsidRPr="00C1729E">
        <w:rPr>
          <w:sz w:val="24"/>
          <w:szCs w:val="24"/>
        </w:rPr>
        <w:t xml:space="preserve"> </w:t>
      </w:r>
      <w:r w:rsidRPr="00C1729E">
        <w:rPr>
          <w:sz w:val="24"/>
          <w:szCs w:val="24"/>
        </w:rPr>
        <w:t xml:space="preserve">acces la reţeaua de internet de acasă. </w:t>
      </w:r>
    </w:p>
    <w:p w14:paraId="68337D2B" w14:textId="77777777" w:rsidR="006340A3" w:rsidRPr="00C1729E" w:rsidRDefault="006340A3" w:rsidP="009941AE">
      <w:pPr>
        <w:spacing w:after="60" w:line="240" w:lineRule="auto"/>
        <w:jc w:val="both"/>
        <w:rPr>
          <w:sz w:val="24"/>
          <w:szCs w:val="24"/>
        </w:rPr>
      </w:pPr>
      <w:r w:rsidRPr="00C1729E">
        <w:rPr>
          <w:sz w:val="24"/>
          <w:szCs w:val="24"/>
        </w:rPr>
        <w:t>Investițiile în cercetare-dezvoltare rămân scăzute, contribuția sectorului privat rămânând mult sub nivelul asumat ca țintă pentru obiectivul Europa 2020. Față de ţinta naţională 2020 - 2% din PIB (1% PIB - sector public şi 1% PIB - sector privat), situaţia în 2017 era: 0,</w:t>
      </w:r>
      <w:proofErr w:type="spellStart"/>
      <w:r w:rsidRPr="00C1729E">
        <w:rPr>
          <w:sz w:val="24"/>
          <w:szCs w:val="24"/>
        </w:rPr>
        <w:t>0</w:t>
      </w:r>
      <w:proofErr w:type="spellEnd"/>
      <w:r w:rsidRPr="00C1729E">
        <w:rPr>
          <w:sz w:val="24"/>
          <w:szCs w:val="24"/>
        </w:rPr>
        <w:t xml:space="preserve">,50% din PIB* (0,21% PIB – sector public şi 0,29% PIB – sector privat), în creştere faţă de 2016 cu 0,02 </w:t>
      </w:r>
      <w:proofErr w:type="spellStart"/>
      <w:r w:rsidRPr="00C1729E">
        <w:rPr>
          <w:sz w:val="24"/>
          <w:szCs w:val="24"/>
        </w:rPr>
        <w:t>p.p</w:t>
      </w:r>
      <w:proofErr w:type="spellEnd"/>
      <w:r w:rsidRPr="00C1729E">
        <w:rPr>
          <w:sz w:val="24"/>
          <w:szCs w:val="24"/>
        </w:rPr>
        <w:t xml:space="preserve">. pe total cheltuieli  (creșterea cu  0,02 </w:t>
      </w:r>
      <w:proofErr w:type="spellStart"/>
      <w:r w:rsidRPr="00C1729E">
        <w:rPr>
          <w:sz w:val="24"/>
          <w:szCs w:val="24"/>
        </w:rPr>
        <w:t>p.p</w:t>
      </w:r>
      <w:proofErr w:type="spellEnd"/>
      <w:r w:rsidRPr="00C1729E">
        <w:rPr>
          <w:sz w:val="24"/>
          <w:szCs w:val="24"/>
        </w:rPr>
        <w:t>. provine din sectorul privat, sectorul public rămânând cu aceeași pondere de 0,21%).</w:t>
      </w:r>
    </w:p>
    <w:p w14:paraId="1A55C94B" w14:textId="24F69FB0" w:rsidR="006340A3" w:rsidRPr="00C1729E" w:rsidRDefault="006340A3" w:rsidP="009941AE">
      <w:pPr>
        <w:spacing w:after="60" w:line="240" w:lineRule="auto"/>
        <w:jc w:val="both"/>
        <w:rPr>
          <w:sz w:val="24"/>
          <w:szCs w:val="24"/>
        </w:rPr>
      </w:pPr>
      <w:r w:rsidRPr="00C1729E">
        <w:rPr>
          <w:sz w:val="24"/>
          <w:szCs w:val="24"/>
        </w:rPr>
        <w:t>În anul 2017 au fost cheltuite 4.317,1 mil. lei (o creștere de 8% raportat la 2015) pentru activitatea de cercetare-dezvoltare în sector</w:t>
      </w:r>
      <w:r w:rsidR="00C261E8">
        <w:rPr>
          <w:sz w:val="24"/>
          <w:szCs w:val="24"/>
        </w:rPr>
        <w:t>ul public si privat</w:t>
      </w:r>
      <w:r w:rsidRPr="00C1729E">
        <w:rPr>
          <w:sz w:val="24"/>
          <w:szCs w:val="24"/>
        </w:rPr>
        <w:t>.</w:t>
      </w:r>
    </w:p>
    <w:p w14:paraId="68180096" w14:textId="4EC7F1E8" w:rsidR="006340A3" w:rsidRPr="00C1729E" w:rsidRDefault="006340A3" w:rsidP="009941AE">
      <w:pPr>
        <w:spacing w:after="60" w:line="240" w:lineRule="auto"/>
        <w:jc w:val="both"/>
        <w:rPr>
          <w:sz w:val="24"/>
          <w:szCs w:val="24"/>
        </w:rPr>
      </w:pPr>
      <w:r w:rsidRPr="00C1729E">
        <w:rPr>
          <w:sz w:val="24"/>
          <w:szCs w:val="24"/>
        </w:rPr>
        <w:t xml:space="preserve">După sursele de finanţare ale cheltuielilor totale de cercetare-dezvoltare, în anul 2017, sursele de la întreprinderi au avut totuși cea mai ridicată pondere, respectiv 53,2% în </w:t>
      </w:r>
      <w:r w:rsidR="00C33A3C" w:rsidRPr="00C1729E">
        <w:rPr>
          <w:sz w:val="24"/>
          <w:szCs w:val="24"/>
        </w:rPr>
        <w:t>creștere</w:t>
      </w:r>
      <w:r w:rsidRPr="00C1729E">
        <w:rPr>
          <w:sz w:val="24"/>
          <w:szCs w:val="24"/>
        </w:rPr>
        <w:t xml:space="preserve"> cu 1</w:t>
      </w:r>
      <w:r w:rsidR="00C33A3C">
        <w:rPr>
          <w:sz w:val="24"/>
          <w:szCs w:val="24"/>
        </w:rPr>
        <w:t>1,5</w:t>
      </w:r>
      <w:r w:rsidRPr="00C1729E">
        <w:rPr>
          <w:sz w:val="24"/>
          <w:szCs w:val="24"/>
        </w:rPr>
        <w:t>% față de 2015), urmate de fondurile publice (inclusiv fondurile publice generale universitare), respectiv 35,9%.</w:t>
      </w:r>
    </w:p>
    <w:p w14:paraId="7BDB5920" w14:textId="67983635" w:rsidR="006340A3" w:rsidRPr="00C1729E" w:rsidRDefault="006340A3" w:rsidP="009941AE">
      <w:pPr>
        <w:spacing w:after="60" w:line="240" w:lineRule="auto"/>
        <w:jc w:val="both"/>
        <w:rPr>
          <w:sz w:val="24"/>
          <w:szCs w:val="24"/>
        </w:rPr>
      </w:pPr>
      <w:r w:rsidRPr="00C1729E">
        <w:rPr>
          <w:sz w:val="24"/>
          <w:szCs w:val="24"/>
        </w:rPr>
        <w:t xml:space="preserve"> Din fondurile publice, cele mai mari sume au </w:t>
      </w:r>
      <w:r w:rsidR="00C33A3C">
        <w:rPr>
          <w:sz w:val="24"/>
          <w:szCs w:val="24"/>
        </w:rPr>
        <w:t>fost direcționate către</w:t>
      </w:r>
      <w:r w:rsidR="00C33A3C" w:rsidRPr="00C1729E">
        <w:rPr>
          <w:sz w:val="24"/>
          <w:szCs w:val="24"/>
        </w:rPr>
        <w:t xml:space="preserve"> </w:t>
      </w:r>
      <w:r w:rsidRPr="00C1729E">
        <w:rPr>
          <w:sz w:val="24"/>
          <w:szCs w:val="24"/>
        </w:rPr>
        <w:t xml:space="preserve">unităţile din sectorul guvernamental  (70,0%), urmate de unităţile din sectorul învăţământ superior (18,1%). Sursele de finanţare externe pentru activitatea de cercetare-dezvoltare au fost orientate în cea mai  mare parte către unităţile din sectorul privat (39,4%) și sectorul public (36,1%) şi sectorul </w:t>
      </w:r>
      <w:r w:rsidRPr="00C1729E" w:rsidDel="00521C11">
        <w:rPr>
          <w:sz w:val="24"/>
          <w:szCs w:val="24"/>
        </w:rPr>
        <w:t xml:space="preserve"> </w:t>
      </w:r>
      <w:r w:rsidRPr="00C1729E">
        <w:rPr>
          <w:sz w:val="24"/>
          <w:szCs w:val="24"/>
        </w:rPr>
        <w:t>învățământ superior(24,0%).</w:t>
      </w:r>
    </w:p>
    <w:p w14:paraId="2851FDC4" w14:textId="77777777" w:rsidR="006340A3" w:rsidRPr="00C1729E" w:rsidRDefault="006340A3" w:rsidP="009941AE">
      <w:pPr>
        <w:pStyle w:val="ListParagraph"/>
        <w:numPr>
          <w:ilvl w:val="0"/>
          <w:numId w:val="5"/>
        </w:numPr>
        <w:spacing w:after="60" w:line="240" w:lineRule="auto"/>
        <w:jc w:val="both"/>
        <w:rPr>
          <w:sz w:val="24"/>
          <w:szCs w:val="24"/>
        </w:rPr>
      </w:pPr>
      <w:r w:rsidRPr="00C1729E">
        <w:rPr>
          <w:b/>
          <w:sz w:val="24"/>
          <w:szCs w:val="24"/>
        </w:rPr>
        <w:t>Populația și aspecte sociale</w:t>
      </w:r>
      <w:r w:rsidRPr="00C1729E" w:rsidDel="00722EDF">
        <w:rPr>
          <w:b/>
          <w:sz w:val="24"/>
          <w:szCs w:val="24"/>
        </w:rPr>
        <w:t xml:space="preserve"> </w:t>
      </w:r>
    </w:p>
    <w:p w14:paraId="6C8115FA" w14:textId="77777777" w:rsidR="006340A3" w:rsidRPr="00C1729E" w:rsidRDefault="006340A3" w:rsidP="009941AE">
      <w:pPr>
        <w:spacing w:after="60" w:line="240" w:lineRule="auto"/>
        <w:jc w:val="both"/>
        <w:rPr>
          <w:sz w:val="24"/>
          <w:szCs w:val="24"/>
        </w:rPr>
      </w:pPr>
      <w:r w:rsidRPr="00C1729E">
        <w:rPr>
          <w:sz w:val="24"/>
          <w:szCs w:val="24"/>
        </w:rPr>
        <w:t>Discrepanțe în ceea ce privește veniturile, oportunitățile, nivelul de educație și competențe sau serviciile de sănătate au variații pronunțate între regiuni, între zonele urbane și cele rurale, ceea ce necesită intervenții adaptate și strategice în lupta împotriva sărăciei, excluziunii sociale și pentru creșterea accesului la educație.</w:t>
      </w:r>
    </w:p>
    <w:p w14:paraId="2F35067E" w14:textId="77777777" w:rsidR="006340A3" w:rsidRPr="00C1729E" w:rsidRDefault="006340A3" w:rsidP="009941AE">
      <w:pPr>
        <w:spacing w:after="60" w:line="240" w:lineRule="auto"/>
        <w:jc w:val="both"/>
        <w:rPr>
          <w:sz w:val="24"/>
          <w:szCs w:val="24"/>
        </w:rPr>
      </w:pPr>
      <w:r w:rsidRPr="00C1729E">
        <w:rPr>
          <w:sz w:val="24"/>
          <w:szCs w:val="24"/>
        </w:rPr>
        <w:t xml:space="preserve">În anul 2018, situaţia pieţei forţei de muncă arată o îmbunătăţire, </w:t>
      </w:r>
      <w:r w:rsidRPr="00C1729E">
        <w:rPr>
          <w:b/>
          <w:sz w:val="24"/>
          <w:szCs w:val="24"/>
        </w:rPr>
        <w:t>rata de ocupare</w:t>
      </w:r>
      <w:r w:rsidRPr="00C1729E">
        <w:rPr>
          <w:sz w:val="24"/>
          <w:szCs w:val="24"/>
        </w:rPr>
        <w:t xml:space="preserve"> a populaţiei în vârstă de 20-64 ani fiind de 69,9%. Cele mai mari valori au fost înregistrate pentru populaţia de sex masculin (78,9% faţă de numai 60,6% pentru populaţia de sex feminin). Pe medii de rezidenţă, rata de ocupare în mediul urban a fost de 70,3%, faţă de 69,3% în mediul rural. Rata de ocupare la tineri (15-24 ani) a fost de 24,7% şi a înregistrat o valoare mult mai ridicată pentru cei din mediul rural (31,7%).</w:t>
      </w:r>
    </w:p>
    <w:p w14:paraId="2046CE31" w14:textId="77777777" w:rsidR="006340A3" w:rsidRPr="00C1729E" w:rsidRDefault="006340A3" w:rsidP="009941AE">
      <w:pPr>
        <w:spacing w:after="60" w:line="240" w:lineRule="auto"/>
        <w:jc w:val="both"/>
        <w:rPr>
          <w:sz w:val="24"/>
          <w:szCs w:val="24"/>
        </w:rPr>
      </w:pPr>
      <w:r w:rsidRPr="00C1729E">
        <w:rPr>
          <w:sz w:val="24"/>
          <w:szCs w:val="24"/>
        </w:rPr>
        <w:t xml:space="preserve">Prin urmare se păstrează în continuare discrepanţele faţă de media UE-28 (73.1%) dar ne aflăm la doar 0,1 </w:t>
      </w:r>
      <w:proofErr w:type="spellStart"/>
      <w:r w:rsidRPr="00C1729E">
        <w:rPr>
          <w:sz w:val="24"/>
          <w:szCs w:val="24"/>
        </w:rPr>
        <w:t>p.p</w:t>
      </w:r>
      <w:proofErr w:type="spellEnd"/>
      <w:r w:rsidRPr="00C1729E">
        <w:rPr>
          <w:sz w:val="24"/>
          <w:szCs w:val="24"/>
        </w:rPr>
        <w:t xml:space="preserve">. faţă de ţinta naţională de 70% stabilită în contextul Strategiei Europa 2020. </w:t>
      </w:r>
    </w:p>
    <w:p w14:paraId="5760ED0A" w14:textId="0BFA8309" w:rsidR="006340A3" w:rsidRPr="00C1729E" w:rsidRDefault="006340A3" w:rsidP="009941AE">
      <w:pPr>
        <w:spacing w:after="60" w:line="240" w:lineRule="auto"/>
        <w:jc w:val="both"/>
        <w:rPr>
          <w:sz w:val="24"/>
          <w:szCs w:val="24"/>
        </w:rPr>
      </w:pPr>
      <w:r w:rsidRPr="00C1729E">
        <w:rPr>
          <w:sz w:val="24"/>
          <w:szCs w:val="24"/>
        </w:rPr>
        <w:t>În funcţie de nivelul de instruire, cele mai active din punct de vedere economic au fost persoanele cu nivel de educaţie superior (universitar de scurtă şi lungă durată, inclusiv masterat, doctorat, post-doctorat şi studii postuniversitare), rata de activitate a acestora fiind de 90,3%. Persoanele cu nivel mediu de educaţie (postliceal de specialitate, liceal, inclusiv treapta I şi profesional, complementar sau de ucenici) au fost active pe piaţa forţei de muncă în proporţie de 71,8%. Participarea la activitatea economică a persoanelor cu nivel scăzut de educaţie (gimnazial, primar şi fără şcoală) a fost de numai 45,6%. Pe măsură ce scade nivelul de educaţie al persoanelor în vârstă de muncă, discrepanţele pe sexe şi medii s</w:t>
      </w:r>
      <w:r w:rsidR="00C33A3C">
        <w:rPr>
          <w:sz w:val="24"/>
          <w:szCs w:val="24"/>
        </w:rPr>
        <w:t>e adâncesc</w:t>
      </w:r>
      <w:r w:rsidRPr="00C1729E">
        <w:rPr>
          <w:sz w:val="24"/>
          <w:szCs w:val="24"/>
        </w:rPr>
        <w:t>.</w:t>
      </w:r>
    </w:p>
    <w:p w14:paraId="3C727E29" w14:textId="1E06629B" w:rsidR="006340A3" w:rsidRPr="00C1729E" w:rsidRDefault="006340A3" w:rsidP="009941AE">
      <w:pPr>
        <w:spacing w:after="60" w:line="240" w:lineRule="auto"/>
        <w:jc w:val="both"/>
        <w:rPr>
          <w:sz w:val="24"/>
          <w:szCs w:val="24"/>
        </w:rPr>
      </w:pPr>
      <w:r w:rsidRPr="00C1729E">
        <w:rPr>
          <w:sz w:val="24"/>
          <w:szCs w:val="24"/>
        </w:rPr>
        <w:t xml:space="preserve">Pe activităţi ale economiei naţionale, se observă că, dintre persoanele ocupate, 22,3% lucrau în domeniul agricol (în scădere cu </w:t>
      </w:r>
      <w:r w:rsidR="00C33A3C">
        <w:rPr>
          <w:sz w:val="24"/>
          <w:szCs w:val="24"/>
        </w:rPr>
        <w:t>0,8</w:t>
      </w:r>
      <w:r w:rsidR="00C261E8">
        <w:rPr>
          <w:sz w:val="24"/>
          <w:szCs w:val="24"/>
        </w:rPr>
        <w:t xml:space="preserve"> </w:t>
      </w:r>
      <w:r w:rsidRPr="00C1729E">
        <w:rPr>
          <w:sz w:val="24"/>
          <w:szCs w:val="24"/>
        </w:rPr>
        <w:t>față de 2016). În ramurile neagricole, persoanele ocupate se regăseau în proporţie de 24,8% în industria prelucrătoare, 18,4% în comerţ şi 10,0% în construcţii. Dintre activităţile cu un pronunţat grad de ocupa</w:t>
      </w:r>
      <w:r w:rsidR="00C33A3C">
        <w:rPr>
          <w:sz w:val="24"/>
          <w:szCs w:val="24"/>
        </w:rPr>
        <w:t>re în râ</w:t>
      </w:r>
      <w:r w:rsidR="00C261E8">
        <w:rPr>
          <w:sz w:val="24"/>
          <w:szCs w:val="24"/>
        </w:rPr>
        <w:t>n</w:t>
      </w:r>
      <w:r w:rsidR="00C33A3C">
        <w:rPr>
          <w:sz w:val="24"/>
          <w:szCs w:val="24"/>
        </w:rPr>
        <w:t>dul femeilor</w:t>
      </w:r>
      <w:r w:rsidRPr="00C1729E">
        <w:rPr>
          <w:sz w:val="24"/>
          <w:szCs w:val="24"/>
        </w:rPr>
        <w:t xml:space="preserve"> enumerăm: sănătate şi asistenţă socială (78,9%), învăţământ (76,8%), intermedieri financiare (66,5%), hoteluri şi restaurante (60,3%), activităţi profesionale (57,0%), tranzacții imobiliare (54,8%), activită</w:t>
      </w:r>
      <w:r w:rsidRPr="00C1729E">
        <w:rPr>
          <w:sz w:val="24"/>
        </w:rPr>
        <w:t>ți</w:t>
      </w:r>
      <w:r w:rsidRPr="00C1729E">
        <w:rPr>
          <w:sz w:val="24"/>
          <w:szCs w:val="24"/>
        </w:rPr>
        <w:t xml:space="preserve"> de </w:t>
      </w:r>
      <w:r w:rsidRPr="00C1729E">
        <w:rPr>
          <w:sz w:val="24"/>
          <w:szCs w:val="24"/>
        </w:rPr>
        <w:lastRenderedPageBreak/>
        <w:t>spectacole, culturale şi recreative (54,0%) și comerţ (53,7%). Persoanele ocupate în vârstă de muncă (15-64 ani) se regăseau în proporţie de 49,2% în servicii, 31,0% în industrie şi construcţii și 19,8% în sectorul agricol.</w:t>
      </w:r>
    </w:p>
    <w:p w14:paraId="0F5EC975" w14:textId="5B1B4DA0" w:rsidR="006340A3" w:rsidRPr="00C1729E" w:rsidRDefault="006340A3" w:rsidP="009941AE">
      <w:pPr>
        <w:spacing w:after="60" w:line="240" w:lineRule="auto"/>
        <w:jc w:val="both"/>
        <w:rPr>
          <w:sz w:val="24"/>
          <w:szCs w:val="24"/>
        </w:rPr>
      </w:pPr>
      <w:r w:rsidRPr="00C1729E">
        <w:rPr>
          <w:sz w:val="24"/>
          <w:szCs w:val="24"/>
        </w:rPr>
        <w:t>Astfel, la o populaţia activă a României de 9</w:t>
      </w:r>
      <w:r w:rsidR="00D50370">
        <w:rPr>
          <w:sz w:val="24"/>
          <w:szCs w:val="24"/>
        </w:rPr>
        <w:t>.</w:t>
      </w:r>
      <w:r w:rsidRPr="00C1729E">
        <w:rPr>
          <w:sz w:val="24"/>
          <w:szCs w:val="24"/>
        </w:rPr>
        <w:t>069 mii persoane în anul 2018, 8</w:t>
      </w:r>
      <w:r w:rsidR="00D50370">
        <w:rPr>
          <w:sz w:val="24"/>
          <w:szCs w:val="24"/>
        </w:rPr>
        <w:t>.</w:t>
      </w:r>
      <w:r w:rsidRPr="00C1729E">
        <w:rPr>
          <w:sz w:val="24"/>
          <w:szCs w:val="24"/>
        </w:rPr>
        <w:t xml:space="preserve">689 mii erau persoane ocupate şi 380 mii erau şomeri. Rata şomajului (proporţia şomerilor în populaţia activă) a înregistrat la nivelul ţării o valoare de 4,2%, în ceea mai mare măsură fiind afectaţi absolvenţii învăţământului mediu pentru care rata şomajului a fost 4,3%. Rata şomajului a fost de doar 2,1% în cazul persoanelor cu studii superioare. </w:t>
      </w:r>
    </w:p>
    <w:p w14:paraId="426349D2" w14:textId="17DC385B" w:rsidR="006340A3" w:rsidRPr="00C1729E" w:rsidRDefault="006340A3" w:rsidP="009941AE">
      <w:pPr>
        <w:spacing w:after="60" w:line="240" w:lineRule="auto"/>
        <w:jc w:val="both"/>
        <w:rPr>
          <w:sz w:val="24"/>
          <w:szCs w:val="24"/>
        </w:rPr>
      </w:pPr>
      <w:r w:rsidRPr="00C1729E">
        <w:rPr>
          <w:sz w:val="24"/>
          <w:szCs w:val="24"/>
        </w:rPr>
        <w:t xml:space="preserve">Repartizarea pe sexe şi medii de rezidență a şomerilor relevă că, în anul 2018, preponderente în numărul total al şomerilor erau persoanele de sex masculin (64,4%), precum şi persoanele din mediul </w:t>
      </w:r>
      <w:r w:rsidR="00C33A3C">
        <w:rPr>
          <w:sz w:val="24"/>
          <w:szCs w:val="24"/>
        </w:rPr>
        <w:t>r</w:t>
      </w:r>
      <w:r w:rsidR="00D50370">
        <w:rPr>
          <w:sz w:val="24"/>
          <w:szCs w:val="24"/>
        </w:rPr>
        <w:t>u</w:t>
      </w:r>
      <w:r w:rsidR="00C33A3C">
        <w:rPr>
          <w:sz w:val="24"/>
          <w:szCs w:val="24"/>
        </w:rPr>
        <w:t>ral</w:t>
      </w:r>
      <w:r w:rsidR="00C33A3C" w:rsidRPr="00C1729E">
        <w:rPr>
          <w:sz w:val="24"/>
          <w:szCs w:val="24"/>
        </w:rPr>
        <w:t xml:space="preserve"> </w:t>
      </w:r>
      <w:r w:rsidRPr="00C1729E">
        <w:rPr>
          <w:sz w:val="24"/>
          <w:szCs w:val="24"/>
        </w:rPr>
        <w:t xml:space="preserve">(51,0%). Din distribuţia şomerilor pe grupe de vârstă se constată că tinerii (15-24 ani) deţineau, ca şi în anii anteriori, o pondere semnificativă (26,6%) în totalul şomerilor, reprezentând 31,8% din numărul total </w:t>
      </w:r>
      <w:r w:rsidR="00D50370">
        <w:rPr>
          <w:sz w:val="24"/>
          <w:szCs w:val="24"/>
        </w:rPr>
        <w:t>al</w:t>
      </w:r>
      <w:r w:rsidRPr="00C1729E">
        <w:rPr>
          <w:sz w:val="24"/>
          <w:szCs w:val="24"/>
        </w:rPr>
        <w:t xml:space="preserve"> şomerilor din mediul rural</w:t>
      </w:r>
      <w:r w:rsidR="00D50370">
        <w:rPr>
          <w:sz w:val="24"/>
          <w:szCs w:val="24"/>
        </w:rPr>
        <w:t>, respectiv</w:t>
      </w:r>
      <w:r w:rsidRPr="00C1729E">
        <w:rPr>
          <w:sz w:val="24"/>
          <w:szCs w:val="24"/>
        </w:rPr>
        <w:t xml:space="preserve"> 21,1% din mediul urban. </w:t>
      </w:r>
    </w:p>
    <w:p w14:paraId="7613DF98" w14:textId="5D96DF90" w:rsidR="006340A3" w:rsidRPr="00C1729E" w:rsidRDefault="006340A3" w:rsidP="009941AE">
      <w:pPr>
        <w:spacing w:after="60" w:line="240" w:lineRule="auto"/>
        <w:jc w:val="both"/>
        <w:rPr>
          <w:sz w:val="24"/>
          <w:szCs w:val="24"/>
        </w:rPr>
      </w:pPr>
      <w:r w:rsidRPr="00C1729E">
        <w:rPr>
          <w:sz w:val="24"/>
          <w:szCs w:val="24"/>
        </w:rPr>
        <w:t>Rata şomajului de lungă durată (în şomaj de un an şi peste) a fost de 1,8%, (în scădere cu 1,2</w:t>
      </w:r>
      <w:r w:rsidR="00C33A3C">
        <w:rPr>
          <w:sz w:val="24"/>
          <w:szCs w:val="24"/>
        </w:rPr>
        <w:t>p.p.</w:t>
      </w:r>
      <w:r w:rsidRPr="00C1729E">
        <w:rPr>
          <w:sz w:val="24"/>
          <w:szCs w:val="24"/>
        </w:rPr>
        <w:t xml:space="preserve"> față de 2016), iar incidenţa şomajului de lungă durată (persoane aflate în şomaj de un an şi peste) a fost de 44,1% din totalul şomerilor (în scădere cu 5,</w:t>
      </w:r>
      <w:r w:rsidR="00C33A3C">
        <w:rPr>
          <w:sz w:val="24"/>
          <w:szCs w:val="24"/>
        </w:rPr>
        <w:t xml:space="preserve">9 </w:t>
      </w:r>
      <w:proofErr w:type="spellStart"/>
      <w:r w:rsidR="00C33A3C">
        <w:rPr>
          <w:sz w:val="24"/>
          <w:szCs w:val="24"/>
        </w:rPr>
        <w:t>p.p</w:t>
      </w:r>
      <w:proofErr w:type="spellEnd"/>
      <w:r w:rsidR="00C33A3C">
        <w:rPr>
          <w:sz w:val="24"/>
          <w:szCs w:val="24"/>
        </w:rPr>
        <w:t>.</w:t>
      </w:r>
      <w:r w:rsidRPr="00C1729E">
        <w:rPr>
          <w:sz w:val="24"/>
          <w:szCs w:val="24"/>
        </w:rPr>
        <w:t xml:space="preserve"> față de 2016).</w:t>
      </w:r>
      <w:r w:rsidR="00D50370">
        <w:rPr>
          <w:sz w:val="24"/>
          <w:szCs w:val="24"/>
        </w:rPr>
        <w:t xml:space="preserve"> </w:t>
      </w:r>
      <w:r w:rsidRPr="00C1729E">
        <w:rPr>
          <w:sz w:val="24"/>
          <w:szCs w:val="24"/>
        </w:rPr>
        <w:t>Incidenţa şomajului de lungă durat</w:t>
      </w:r>
      <w:r w:rsidR="00D50370">
        <w:rPr>
          <w:sz w:val="24"/>
          <w:szCs w:val="24"/>
        </w:rPr>
        <w:t>ă</w:t>
      </w:r>
      <w:r w:rsidRPr="00C1729E">
        <w:rPr>
          <w:sz w:val="24"/>
          <w:szCs w:val="24"/>
        </w:rPr>
        <w:t xml:space="preserve"> a fost mai mare pentru bărbați (47,1% față de 38,6% în cazul femeilor), dar a avut valori apropiate pe medii de rezidenţă (45,0% în mediul urban şi 43,2% în mediul rural). Pentru tineri (15-24 ani), rata şomajului de lungă durată (în şomaj de şase luni şi peste) a fost de 9,3%, iar incidenţa şomajului de lungă durată în rândul tineretului de 57,2%.</w:t>
      </w:r>
    </w:p>
    <w:p w14:paraId="7375B00B" w14:textId="77777777" w:rsidR="006340A3" w:rsidRPr="00C1729E" w:rsidRDefault="006340A3" w:rsidP="009941AE">
      <w:pPr>
        <w:spacing w:after="60" w:line="240" w:lineRule="auto"/>
        <w:jc w:val="both"/>
        <w:rPr>
          <w:sz w:val="24"/>
          <w:szCs w:val="24"/>
        </w:rPr>
      </w:pPr>
      <w:r w:rsidRPr="00C1729E">
        <w:rPr>
          <w:sz w:val="24"/>
          <w:szCs w:val="24"/>
        </w:rPr>
        <w:t>Rata şomajului a atins valorile cele mai ridicate în regiunile SV Oltenia (6,4%) şi Sud Est (6,1%), iar cele mai mici în regiunile NE (2,4%) şi NV (2,9%).</w:t>
      </w:r>
    </w:p>
    <w:p w14:paraId="04EF9082" w14:textId="7467F082" w:rsidR="006340A3" w:rsidRPr="00C1729E" w:rsidRDefault="006340A3" w:rsidP="009941AE">
      <w:pPr>
        <w:spacing w:after="60" w:line="240" w:lineRule="auto"/>
        <w:jc w:val="both"/>
        <w:rPr>
          <w:sz w:val="24"/>
          <w:szCs w:val="24"/>
        </w:rPr>
      </w:pPr>
      <w:r w:rsidRPr="00C1729E">
        <w:rPr>
          <w:sz w:val="24"/>
          <w:szCs w:val="24"/>
        </w:rPr>
        <w:t>Comparativ cu celelalte state ale UE, Români</w:t>
      </w:r>
      <w:r w:rsidR="00D50370">
        <w:rPr>
          <w:sz w:val="24"/>
          <w:szCs w:val="24"/>
        </w:rPr>
        <w:t>a</w:t>
      </w:r>
      <w:r w:rsidRPr="00C1729E">
        <w:rPr>
          <w:sz w:val="24"/>
          <w:szCs w:val="24"/>
        </w:rPr>
        <w:t xml:space="preserve"> se caracterizează printr-o </w:t>
      </w:r>
      <w:r w:rsidRPr="00C1729E">
        <w:rPr>
          <w:b/>
          <w:sz w:val="24"/>
          <w:szCs w:val="24"/>
        </w:rPr>
        <w:t xml:space="preserve">rata a riscului de sărăcie sau excluziune socială </w:t>
      </w:r>
      <w:r w:rsidRPr="00C1729E">
        <w:rPr>
          <w:sz w:val="24"/>
          <w:szCs w:val="24"/>
        </w:rPr>
        <w:t xml:space="preserve">(indicatorul AROPE) de 32,5%, în anul 2018 (în scădere cu </w:t>
      </w:r>
      <w:r w:rsidR="00301B9E">
        <w:rPr>
          <w:sz w:val="24"/>
          <w:szCs w:val="24"/>
        </w:rPr>
        <w:t>6,3p.p.</w:t>
      </w:r>
      <w:r w:rsidRPr="00C1729E">
        <w:rPr>
          <w:sz w:val="24"/>
          <w:szCs w:val="24"/>
        </w:rPr>
        <w:t xml:space="preserve"> față de 2016) corespunzătoare unui număr de 6,36</w:t>
      </w:r>
      <w:r w:rsidR="00D50370">
        <w:rPr>
          <w:sz w:val="24"/>
          <w:szCs w:val="24"/>
        </w:rPr>
        <w:t xml:space="preserve"> </w:t>
      </w:r>
      <w:r w:rsidRPr="00C1729E">
        <w:rPr>
          <w:sz w:val="24"/>
          <w:szCs w:val="24"/>
        </w:rPr>
        <w:t xml:space="preserve">milioane persoane care sunt afectate de cel puţin unul dintre următorii factori: venituri sub pragul sărăciei, traiul în condiţii cu lipsuri materiale severe sau traiul în gospodării cu o intensitate foarte scăzută a muncii. </w:t>
      </w:r>
    </w:p>
    <w:p w14:paraId="75877E1A" w14:textId="77777777" w:rsidR="006340A3" w:rsidRPr="00C1729E" w:rsidRDefault="006340A3" w:rsidP="009941AE">
      <w:pPr>
        <w:spacing w:after="60" w:line="240" w:lineRule="auto"/>
        <w:jc w:val="both"/>
        <w:rPr>
          <w:sz w:val="24"/>
          <w:szCs w:val="24"/>
        </w:rPr>
      </w:pPr>
      <w:r w:rsidRPr="00C1729E">
        <w:rPr>
          <w:sz w:val="24"/>
          <w:szCs w:val="24"/>
        </w:rPr>
        <w:t xml:space="preserve">Cu toate că pe ansamblu tendinţa ultimilor ani a fost vizibil descendentă, totuşi nivelurile relative estimate pentru România sunt foarte mari. Categoriile socio-economice care prezintă în medie cel mai mare risc de sărăcie sau excluziune socială sunt persoanele de sex feminin (33,9%, faţă de 31,0% la cele de sex masculin), şomerii, persoanele cu un nivel scăzut de instruire. În anul 2018 o pondere de 54,5% din populaţia cu nivel scăzut de instruire s-a situat în risc de sărăcie sau excluziune socială, în comparaţie cu 5,9% dintre persoanele cu nivel superior de instruire. Statutul ocupaţional de şomer este legat de un mare risc de sărăcie sau excluziune socială. În anul 2018, în jur de 3 din 5 şomeri (60,9% din total persoane de 18 ani şi peste) s-au situat în risc de sărăcie sau excluziune socială. Prin comparaţie, persoanele ocupate au un risc de sărăcie sau excluziune socială cu 38,1 </w:t>
      </w:r>
      <w:proofErr w:type="spellStart"/>
      <w:r w:rsidRPr="00C1729E">
        <w:rPr>
          <w:sz w:val="24"/>
          <w:szCs w:val="24"/>
        </w:rPr>
        <w:t>p.p</w:t>
      </w:r>
      <w:proofErr w:type="spellEnd"/>
      <w:r w:rsidRPr="00C1729E">
        <w:rPr>
          <w:sz w:val="24"/>
          <w:szCs w:val="24"/>
        </w:rPr>
        <w:t>. mai mic decât cel al şomerilor. Principalii factori care au condus la situaţia prezentată sunt: componenţa gospodăriei în care trăiesc aceştia şi situaţia acestora pe piaţa forţei de muncă.</w:t>
      </w:r>
    </w:p>
    <w:p w14:paraId="69FD9218" w14:textId="77777777" w:rsidR="006340A3" w:rsidRPr="00C1729E" w:rsidRDefault="006340A3" w:rsidP="009941AE">
      <w:pPr>
        <w:spacing w:after="60" w:line="240" w:lineRule="auto"/>
        <w:jc w:val="both"/>
        <w:rPr>
          <w:sz w:val="24"/>
          <w:szCs w:val="24"/>
        </w:rPr>
      </w:pPr>
      <w:r w:rsidRPr="00C1729E">
        <w:rPr>
          <w:sz w:val="24"/>
          <w:szCs w:val="24"/>
        </w:rPr>
        <w:t xml:space="preserve">În acelaşi timp, vârsta are un rol important, indicatorul AROPE fiind mai mare la copii (38,1%) şi la tinerii din grupa de vârstă 18-24 ani (36,7%), scăzând la persoanele de 65 de ani şi peste (32,8%).  </w:t>
      </w:r>
    </w:p>
    <w:p w14:paraId="3FDA9D3A" w14:textId="77777777" w:rsidR="006340A3" w:rsidRPr="00C1729E" w:rsidRDefault="006340A3" w:rsidP="009941AE">
      <w:pPr>
        <w:spacing w:after="60" w:line="240" w:lineRule="auto"/>
        <w:jc w:val="both"/>
        <w:rPr>
          <w:sz w:val="24"/>
          <w:szCs w:val="24"/>
        </w:rPr>
      </w:pPr>
      <w:r w:rsidRPr="00C1729E">
        <w:rPr>
          <w:sz w:val="24"/>
          <w:szCs w:val="24"/>
        </w:rPr>
        <w:t xml:space="preserve">Faţă de anul 2016 s-a înregistrat scăderea ponderii persoanelor aflate în risc de sărăcie sau excluziune socială la toate grupele de vârstă, mai însemnate fiind la grupele de vârstă de 0-17 ani (cu 11,1 </w:t>
      </w:r>
      <w:proofErr w:type="spellStart"/>
      <w:r w:rsidRPr="00C1729E">
        <w:rPr>
          <w:sz w:val="24"/>
          <w:szCs w:val="24"/>
        </w:rPr>
        <w:t>p.p</w:t>
      </w:r>
      <w:proofErr w:type="spellEnd"/>
      <w:r w:rsidRPr="00C1729E">
        <w:rPr>
          <w:sz w:val="24"/>
          <w:szCs w:val="24"/>
        </w:rPr>
        <w:t xml:space="preserve">), de 18-24 ani (8,9 </w:t>
      </w:r>
      <w:proofErr w:type="spellStart"/>
      <w:r w:rsidRPr="00C1729E">
        <w:rPr>
          <w:sz w:val="24"/>
          <w:szCs w:val="24"/>
        </w:rPr>
        <w:t>p.p</w:t>
      </w:r>
      <w:proofErr w:type="spellEnd"/>
      <w:r w:rsidRPr="00C1729E">
        <w:rPr>
          <w:sz w:val="24"/>
          <w:szCs w:val="24"/>
        </w:rPr>
        <w:t xml:space="preserve">), respectiv 25-49 ani (6,8 </w:t>
      </w:r>
      <w:proofErr w:type="spellStart"/>
      <w:r w:rsidRPr="00C1729E">
        <w:rPr>
          <w:sz w:val="24"/>
          <w:szCs w:val="24"/>
        </w:rPr>
        <w:t>p.p</w:t>
      </w:r>
      <w:proofErr w:type="spellEnd"/>
      <w:r w:rsidRPr="00C1729E">
        <w:rPr>
          <w:sz w:val="24"/>
          <w:szCs w:val="24"/>
        </w:rPr>
        <w:t>).</w:t>
      </w:r>
    </w:p>
    <w:p w14:paraId="40CE933C" w14:textId="77777777" w:rsidR="006340A3" w:rsidRPr="00C1729E" w:rsidRDefault="006340A3" w:rsidP="009941AE">
      <w:pPr>
        <w:spacing w:after="60" w:line="240" w:lineRule="auto"/>
        <w:jc w:val="both"/>
        <w:rPr>
          <w:sz w:val="24"/>
          <w:szCs w:val="24"/>
        </w:rPr>
      </w:pPr>
      <w:r w:rsidRPr="00C1729E">
        <w:rPr>
          <w:sz w:val="24"/>
          <w:szCs w:val="24"/>
        </w:rPr>
        <w:t xml:space="preserve">Riscul de sărăcie sau excluziune socială este inegal distribuit şi în profil regional, cea mai mare rată a riscului de sărăcie sau excluziune socială se înregistrează în regiunile de </w:t>
      </w:r>
      <w:proofErr w:type="spellStart"/>
      <w:r w:rsidRPr="00C1729E">
        <w:rPr>
          <w:sz w:val="24"/>
          <w:szCs w:val="24"/>
        </w:rPr>
        <w:t>Nord-Est</w:t>
      </w:r>
      <w:proofErr w:type="spellEnd"/>
      <w:r w:rsidRPr="00C1729E">
        <w:rPr>
          <w:sz w:val="24"/>
          <w:szCs w:val="24"/>
        </w:rPr>
        <w:t xml:space="preserve"> şi </w:t>
      </w:r>
      <w:proofErr w:type="spellStart"/>
      <w:r w:rsidRPr="00C1729E">
        <w:rPr>
          <w:sz w:val="24"/>
          <w:szCs w:val="24"/>
        </w:rPr>
        <w:t>-Sud-Vest</w:t>
      </w:r>
      <w:proofErr w:type="spellEnd"/>
      <w:r w:rsidRPr="00C1729E">
        <w:rPr>
          <w:sz w:val="24"/>
          <w:szCs w:val="24"/>
        </w:rPr>
        <w:t xml:space="preserve"> Oltenia, în regiunea </w:t>
      </w:r>
      <w:proofErr w:type="spellStart"/>
      <w:r w:rsidRPr="00C1729E">
        <w:rPr>
          <w:sz w:val="24"/>
          <w:szCs w:val="24"/>
        </w:rPr>
        <w:t>Nord-Est</w:t>
      </w:r>
      <w:proofErr w:type="spellEnd"/>
      <w:r w:rsidRPr="00C1729E">
        <w:rPr>
          <w:sz w:val="24"/>
          <w:szCs w:val="24"/>
        </w:rPr>
        <w:t xml:space="preserve"> fiind de două ori mai mare decât în regiunea Bucureşti-Ilfov (44,7% faţă de 21,4%).</w:t>
      </w:r>
    </w:p>
    <w:p w14:paraId="4FF3447B" w14:textId="77777777" w:rsidR="006340A3" w:rsidRPr="00C1729E" w:rsidRDefault="006340A3" w:rsidP="009941AE">
      <w:pPr>
        <w:spacing w:after="60" w:line="240" w:lineRule="auto"/>
        <w:jc w:val="both"/>
        <w:rPr>
          <w:sz w:val="24"/>
          <w:szCs w:val="24"/>
        </w:rPr>
      </w:pPr>
      <w:r w:rsidRPr="00C1729E">
        <w:rPr>
          <w:sz w:val="24"/>
          <w:szCs w:val="24"/>
        </w:rPr>
        <w:lastRenderedPageBreak/>
        <w:t xml:space="preserve">Analizând evoluţia componentelor indicatorului AROPE se poate observa că în anul 2018, aproape 1,4 milioane de persoane se aflau în risc de sărăcie şi erau </w:t>
      </w:r>
      <w:proofErr w:type="spellStart"/>
      <w:r w:rsidRPr="00C1729E">
        <w:rPr>
          <w:sz w:val="24"/>
          <w:szCs w:val="24"/>
        </w:rPr>
        <w:t>deprivate</w:t>
      </w:r>
      <w:proofErr w:type="spellEnd"/>
      <w:r w:rsidRPr="00C1729E">
        <w:rPr>
          <w:sz w:val="24"/>
          <w:szCs w:val="24"/>
        </w:rPr>
        <w:t xml:space="preserve"> material sever (7,0%). Un număr de 404 mii persoane erau expuse riscului de sărăcie, se află în </w:t>
      </w:r>
      <w:proofErr w:type="spellStart"/>
      <w:r w:rsidRPr="00C1729E">
        <w:rPr>
          <w:sz w:val="24"/>
          <w:szCs w:val="24"/>
        </w:rPr>
        <w:t>deprivare</w:t>
      </w:r>
      <w:proofErr w:type="spellEnd"/>
      <w:r w:rsidRPr="00C1729E">
        <w:rPr>
          <w:sz w:val="24"/>
          <w:szCs w:val="24"/>
        </w:rPr>
        <w:t xml:space="preserve"> materială severă şi trăiesc în gospodării cu intensitate foarte redusă a muncii.</w:t>
      </w:r>
    </w:p>
    <w:p w14:paraId="4296FACD" w14:textId="77777777" w:rsidR="006340A3" w:rsidRPr="00C1729E" w:rsidRDefault="006340A3" w:rsidP="009941AE">
      <w:pPr>
        <w:spacing w:after="60" w:line="240" w:lineRule="auto"/>
        <w:jc w:val="both"/>
        <w:rPr>
          <w:sz w:val="24"/>
          <w:szCs w:val="24"/>
        </w:rPr>
      </w:pPr>
      <w:r w:rsidRPr="00C1729E">
        <w:rPr>
          <w:sz w:val="24"/>
          <w:szCs w:val="24"/>
        </w:rPr>
        <w:t xml:space="preserve">În ceea ce privește </w:t>
      </w:r>
      <w:r w:rsidRPr="00C1729E">
        <w:rPr>
          <w:b/>
          <w:sz w:val="24"/>
          <w:szCs w:val="24"/>
        </w:rPr>
        <w:t>educația</w:t>
      </w:r>
      <w:r w:rsidRPr="00C1729E">
        <w:rPr>
          <w:sz w:val="24"/>
          <w:szCs w:val="24"/>
        </w:rPr>
        <w:t xml:space="preserve">, în anul 2018, numărul persoanelor de 15 ani şi peste care au urmat o formă de instruire în cadrul sistemului naţional de educaţie a fost de 1364 mii persoane; dintre acestea, ponderile majoritare au fost deţinute de persoanele cu domiciliul în mediul urban (55,5%) şi de tineri (96,2%). Din totalul celor care au urmat o formă de instruire în cadrul sistemului naţional de educaţie, persoanele ocupate au reprezentat 3,5%, iar şomerii numai 0,6%. În anul 2018 persoanele cu nivel scăzut de educaţie reprezentau 34,4% din totalul populaţiei de 15 ani şi peste, puţin peste jumătate (52,2%) un nivel mediu de educaţie, iar cele cu studii superioare deţineau o pondere de 13,4%. Majoritatea absolvenţilor învăţământului superior domiciliau în mediul urban (85,7%) şi erau femei (52,6%). </w:t>
      </w:r>
    </w:p>
    <w:p w14:paraId="35205554" w14:textId="77777777" w:rsidR="006340A3" w:rsidRPr="00C1729E" w:rsidRDefault="006340A3" w:rsidP="009941AE">
      <w:pPr>
        <w:spacing w:after="60" w:line="240" w:lineRule="auto"/>
        <w:jc w:val="both"/>
        <w:rPr>
          <w:sz w:val="24"/>
          <w:szCs w:val="24"/>
        </w:rPr>
      </w:pPr>
      <w:r w:rsidRPr="00C1729E">
        <w:rPr>
          <w:sz w:val="24"/>
          <w:szCs w:val="24"/>
        </w:rPr>
        <w:t>Rata de părăsire timpurie a sistemului educaţional de către tinerii în vârstă de 18-24 ani a fost în anul 2018 de 16,4%, având valori apropiate pe sexe (16,7% în cazul bărbaţilor şi 16,1% în cazul persoanelor de sex feminin), dar a înregistrat diferenţe semnificative pe medii de rezidenţă (24,4% în mediul rural faţă de 7,7% în mediul urban).</w:t>
      </w:r>
    </w:p>
    <w:p w14:paraId="34763C9A" w14:textId="77777777" w:rsidR="006340A3" w:rsidRPr="00C1729E" w:rsidRDefault="006340A3" w:rsidP="009941AE">
      <w:pPr>
        <w:spacing w:after="60" w:line="240" w:lineRule="auto"/>
        <w:jc w:val="both"/>
        <w:rPr>
          <w:sz w:val="24"/>
          <w:szCs w:val="24"/>
        </w:rPr>
      </w:pPr>
      <w:r w:rsidRPr="00C1729E">
        <w:rPr>
          <w:sz w:val="24"/>
          <w:szCs w:val="24"/>
        </w:rPr>
        <w:t xml:space="preserve">Rata tinerilor neocupaţi care nu urmează </w:t>
      </w:r>
      <w:proofErr w:type="spellStart"/>
      <w:r w:rsidRPr="00C1729E">
        <w:rPr>
          <w:sz w:val="24"/>
          <w:szCs w:val="24"/>
        </w:rPr>
        <w:t>nicio</w:t>
      </w:r>
      <w:proofErr w:type="spellEnd"/>
      <w:r w:rsidRPr="00C1729E">
        <w:rPr>
          <w:sz w:val="24"/>
          <w:szCs w:val="24"/>
        </w:rPr>
        <w:t xml:space="preserve"> formă de educaţie sau de instruire (calculată pentru grupa de vârstă 15-24 ani) a fost în anul 2018 de 14,5%, mai mare în cazul femeilor (17,8% faţă de 11,4% în cel al bărbaţilor) şi în cazul celor rezidenţi în mediul rural (17,5% faţă de 11,1% pentru tinerii din mediul urban).</w:t>
      </w:r>
    </w:p>
    <w:p w14:paraId="36FFA58E" w14:textId="52829D31" w:rsidR="006340A3" w:rsidRPr="00C1729E" w:rsidRDefault="006340A3" w:rsidP="009941AE">
      <w:pPr>
        <w:spacing w:after="60" w:line="240" w:lineRule="auto"/>
        <w:jc w:val="both"/>
        <w:rPr>
          <w:sz w:val="24"/>
          <w:szCs w:val="24"/>
        </w:rPr>
      </w:pPr>
      <w:r w:rsidRPr="00C1729E">
        <w:rPr>
          <w:sz w:val="24"/>
          <w:szCs w:val="24"/>
        </w:rPr>
        <w:t>După cum s-a menționat mai sus, sărăcia se concentrează în mod semnificativ în zonele rurale din România și este însoțită de precaritatea locuințelor, în principal în ceea ce privește, insalubritatea (toaletă, baie, apă curentă, infrastructură de canalizare, etc.). Deși s-au realizat investiții în infrastructură (drumuri, alimentarea cu apă și infrastructura de canalizare) și în servicii de bază în zonele rurale, această infrastructură este în continuare subdezvoltată, afectând astfel creșterea economică, crearea de locuri de muncă, atractivitatea investițiilor și având un impact negativ asupra calității vieții populației rurale.</w:t>
      </w:r>
    </w:p>
    <w:p w14:paraId="087F089D" w14:textId="77777777" w:rsidR="006340A3" w:rsidRPr="00C1729E" w:rsidRDefault="006340A3" w:rsidP="009941AE">
      <w:pPr>
        <w:pStyle w:val="ListParagraph"/>
        <w:numPr>
          <w:ilvl w:val="0"/>
          <w:numId w:val="5"/>
        </w:numPr>
        <w:spacing w:after="60" w:line="240" w:lineRule="auto"/>
        <w:jc w:val="both"/>
        <w:rPr>
          <w:b/>
          <w:sz w:val="24"/>
          <w:szCs w:val="24"/>
        </w:rPr>
      </w:pPr>
      <w:r w:rsidRPr="00C1729E">
        <w:rPr>
          <w:b/>
          <w:sz w:val="24"/>
          <w:szCs w:val="24"/>
        </w:rPr>
        <w:t>Infrastructura</w:t>
      </w:r>
    </w:p>
    <w:p w14:paraId="0C7A2237" w14:textId="5807A04A" w:rsidR="006340A3" w:rsidRPr="00C1729E" w:rsidRDefault="006340A3" w:rsidP="009941AE">
      <w:pPr>
        <w:spacing w:after="60" w:line="240" w:lineRule="auto"/>
        <w:jc w:val="both"/>
        <w:rPr>
          <w:sz w:val="24"/>
          <w:szCs w:val="24"/>
        </w:rPr>
      </w:pPr>
      <w:r w:rsidRPr="00C1729E">
        <w:rPr>
          <w:sz w:val="24"/>
          <w:szCs w:val="24"/>
        </w:rPr>
        <w:t xml:space="preserve">Creșterea economică a României este îngreunată de infrastructura subdezvoltată și depășită. Deși România este poziționată pe rute importante care leagă Europa Centrală de Marea Neagră și Caucaz, infrastructura </w:t>
      </w:r>
      <w:r w:rsidR="00D50370">
        <w:rPr>
          <w:sz w:val="24"/>
          <w:szCs w:val="24"/>
        </w:rPr>
        <w:t>insuficientă raportat la</w:t>
      </w:r>
      <w:r w:rsidRPr="00C1729E">
        <w:rPr>
          <w:sz w:val="24"/>
          <w:szCs w:val="24"/>
        </w:rPr>
        <w:t xml:space="preserve"> volumul de bunuri și numărul de pasageri c</w:t>
      </w:r>
      <w:r w:rsidR="00D50370">
        <w:rPr>
          <w:sz w:val="24"/>
          <w:szCs w:val="24"/>
        </w:rPr>
        <w:t>are tranzitează</w:t>
      </w:r>
      <w:r w:rsidRPr="00C1729E">
        <w:rPr>
          <w:sz w:val="24"/>
          <w:szCs w:val="24"/>
        </w:rPr>
        <w:t xml:space="preserve"> teritoriul românesc, iar accesibilitatea rămâne o barieră majoră pentru dezvoltarea economică regională. </w:t>
      </w:r>
    </w:p>
    <w:p w14:paraId="447F4DC7" w14:textId="77777777" w:rsidR="006340A3" w:rsidRPr="00C1729E" w:rsidRDefault="006340A3" w:rsidP="009941AE">
      <w:pPr>
        <w:spacing w:after="60" w:line="240" w:lineRule="auto"/>
        <w:jc w:val="both"/>
        <w:rPr>
          <w:rFonts w:eastAsia="Calibri" w:cs="Times New Roman"/>
          <w:sz w:val="24"/>
        </w:rPr>
      </w:pPr>
      <w:r w:rsidRPr="00C1729E">
        <w:rPr>
          <w:sz w:val="24"/>
        </w:rPr>
        <w:t xml:space="preserve">România continuă să ocupe ultima poziție între statele membre ale UE în ceea ce privește calitatea infrastructurii generale, a infrastructurii rutiere și a infrastructurii feroviare. </w:t>
      </w:r>
    </w:p>
    <w:p w14:paraId="62D7B52A" w14:textId="7FE7C619" w:rsidR="006340A3" w:rsidRPr="00C1729E" w:rsidRDefault="006340A3" w:rsidP="009941AE">
      <w:pPr>
        <w:spacing w:after="60" w:line="240" w:lineRule="auto"/>
        <w:jc w:val="both"/>
        <w:rPr>
          <w:sz w:val="24"/>
          <w:szCs w:val="24"/>
        </w:rPr>
      </w:pPr>
      <w:r w:rsidRPr="00C1729E">
        <w:rPr>
          <w:sz w:val="24"/>
          <w:szCs w:val="24"/>
        </w:rPr>
        <w:t>La sfârşitul anului 2018, drumurile publice totalizau 86</w:t>
      </w:r>
      <w:r w:rsidR="00D50370">
        <w:rPr>
          <w:sz w:val="24"/>
          <w:szCs w:val="24"/>
        </w:rPr>
        <w:t>.</w:t>
      </w:r>
      <w:r w:rsidRPr="00C1729E">
        <w:rPr>
          <w:sz w:val="24"/>
          <w:szCs w:val="24"/>
        </w:rPr>
        <w:t>234 km, din care 17</w:t>
      </w:r>
      <w:r w:rsidR="00D50370">
        <w:rPr>
          <w:sz w:val="24"/>
          <w:szCs w:val="24"/>
        </w:rPr>
        <w:t>.</w:t>
      </w:r>
      <w:r w:rsidRPr="00C1729E">
        <w:rPr>
          <w:sz w:val="24"/>
          <w:szCs w:val="24"/>
        </w:rPr>
        <w:t>740 km (20,6%) drumuri naţionale, 35</w:t>
      </w:r>
      <w:r w:rsidR="00D50370">
        <w:rPr>
          <w:sz w:val="24"/>
          <w:szCs w:val="24"/>
        </w:rPr>
        <w:t>.</w:t>
      </w:r>
      <w:r w:rsidRPr="00C1729E">
        <w:rPr>
          <w:sz w:val="24"/>
          <w:szCs w:val="24"/>
        </w:rPr>
        <w:t>085 km (40,7%) drumuri judeţene şi 33</w:t>
      </w:r>
      <w:r w:rsidR="00D50370">
        <w:rPr>
          <w:sz w:val="24"/>
          <w:szCs w:val="24"/>
        </w:rPr>
        <w:t>.</w:t>
      </w:r>
      <w:r w:rsidRPr="00C1729E">
        <w:rPr>
          <w:sz w:val="24"/>
          <w:szCs w:val="24"/>
        </w:rPr>
        <w:t>409 km (38,7%), drumuri comunale.</w:t>
      </w:r>
    </w:p>
    <w:p w14:paraId="084DFF5A" w14:textId="30174232" w:rsidR="006340A3" w:rsidRPr="00C1729E" w:rsidRDefault="006340A3" w:rsidP="009941AE">
      <w:pPr>
        <w:spacing w:after="60" w:line="240" w:lineRule="auto"/>
        <w:jc w:val="both"/>
        <w:rPr>
          <w:sz w:val="24"/>
          <w:szCs w:val="24"/>
        </w:rPr>
      </w:pPr>
      <w:r w:rsidRPr="00C1729E">
        <w:rPr>
          <w:sz w:val="24"/>
          <w:szCs w:val="24"/>
        </w:rPr>
        <w:t>Din totalul drumurilor naţionale, 34,9% (6</w:t>
      </w:r>
      <w:r w:rsidR="00D50370">
        <w:rPr>
          <w:sz w:val="24"/>
          <w:szCs w:val="24"/>
        </w:rPr>
        <w:t>.</w:t>
      </w:r>
      <w:r w:rsidRPr="00C1729E">
        <w:rPr>
          <w:sz w:val="24"/>
          <w:szCs w:val="24"/>
        </w:rPr>
        <w:t>194 km) erau drumuri europene, 4,6% (823km) autostrăzi, iar din punctul de vedere al numărului de benzi de circulație, 1,6% (290km) erau drumuri cu 3 benzi, 10,6% (1</w:t>
      </w:r>
      <w:r w:rsidR="00D50370">
        <w:rPr>
          <w:sz w:val="24"/>
          <w:szCs w:val="24"/>
        </w:rPr>
        <w:t>.</w:t>
      </w:r>
      <w:r w:rsidRPr="00C1729E">
        <w:rPr>
          <w:sz w:val="24"/>
          <w:szCs w:val="24"/>
        </w:rPr>
        <w:t xml:space="preserve">873 km) drumuri cu 4 benzi şi 0,2% (31 km) drumuri cu 6 benzi. </w:t>
      </w:r>
    </w:p>
    <w:p w14:paraId="323710A8" w14:textId="5893AB6E" w:rsidR="006340A3" w:rsidRPr="00C1729E" w:rsidRDefault="006340A3" w:rsidP="009941AE">
      <w:pPr>
        <w:spacing w:after="60" w:line="240" w:lineRule="auto"/>
        <w:jc w:val="both"/>
        <w:rPr>
          <w:sz w:val="24"/>
          <w:szCs w:val="24"/>
        </w:rPr>
      </w:pPr>
      <w:r w:rsidRPr="00C1729E">
        <w:rPr>
          <w:sz w:val="24"/>
          <w:szCs w:val="24"/>
        </w:rPr>
        <w:t xml:space="preserve">Tot  la sfârșitul anului 2018, liniile de  cale ferată de folosinţă publică în exploatare însumau  10765 km, din care 10627 km (98,7%) linii cu ecartament normal şi 134 km ( 1,3%) linii cu ecartament larg. Densitatea liniilor la 1.000 km2 teritoriu era de 45,2‰. Densităţile cele mai mari s‐au înregistrat, în ordine, în regiunea  Bucureşti‐Ilfov (154,7‰), regiunea Vest (58,9‰), regiunea </w:t>
      </w:r>
      <w:proofErr w:type="spellStart"/>
      <w:r w:rsidRPr="00C1729E">
        <w:rPr>
          <w:sz w:val="24"/>
          <w:szCs w:val="24"/>
        </w:rPr>
        <w:t>Sud-Est</w:t>
      </w:r>
      <w:proofErr w:type="spellEnd"/>
      <w:r w:rsidRPr="00C1729E">
        <w:rPr>
          <w:sz w:val="24"/>
          <w:szCs w:val="24"/>
        </w:rPr>
        <w:t xml:space="preserve"> ( 48,8‰) şi regiunea </w:t>
      </w:r>
      <w:proofErr w:type="spellStart"/>
      <w:r w:rsidRPr="00C1729E">
        <w:rPr>
          <w:sz w:val="24"/>
          <w:szCs w:val="24"/>
        </w:rPr>
        <w:t>Nord-Vest</w:t>
      </w:r>
      <w:proofErr w:type="spellEnd"/>
      <w:r w:rsidRPr="00C1729E">
        <w:rPr>
          <w:sz w:val="24"/>
          <w:szCs w:val="24"/>
        </w:rPr>
        <w:t xml:space="preserve"> ( 48,7‰). La aceeași dată, lungimea simplă a liniilor de cale ferată în exploatare electrificate era de  4</w:t>
      </w:r>
      <w:r w:rsidR="00870179">
        <w:rPr>
          <w:sz w:val="24"/>
          <w:szCs w:val="24"/>
        </w:rPr>
        <w:t>.</w:t>
      </w:r>
      <w:r w:rsidRPr="00C1729E">
        <w:rPr>
          <w:sz w:val="24"/>
          <w:szCs w:val="24"/>
        </w:rPr>
        <w:t>029 km, reprezentând 37,4% din reţeaua de căi ferate în exploatare.</w:t>
      </w:r>
    </w:p>
    <w:p w14:paraId="0586D66D" w14:textId="42908C84" w:rsidR="006340A3" w:rsidRPr="00C1729E" w:rsidRDefault="006340A3" w:rsidP="009941AE">
      <w:pPr>
        <w:spacing w:after="60" w:line="240" w:lineRule="auto"/>
        <w:jc w:val="both"/>
        <w:rPr>
          <w:sz w:val="24"/>
          <w:szCs w:val="24"/>
        </w:rPr>
      </w:pPr>
      <w:r w:rsidRPr="00C1729E">
        <w:rPr>
          <w:sz w:val="24"/>
          <w:szCs w:val="24"/>
        </w:rPr>
        <w:lastRenderedPageBreak/>
        <w:t xml:space="preserve">Potrivit rezultatelor anchetei privind accesul populaţiei la tehnologia informaţiilor şi comunicaţiilor în gospodării, în anul 2018, aproape trei sferturi dintre gospodăriile din România (72,4%) aveau acces la reţeaua de internet de acasă. În profil teritorial, la nivelul anului 2018, conectarea la internet a fost mai răspândită în cadrul gospodăriilor din regiunea Bucureşti-Ilfov (peste 8 din 9 gospodării aveau acces la internet de acasă), urmată de regiunile Vest și </w:t>
      </w:r>
      <w:proofErr w:type="spellStart"/>
      <w:r w:rsidRPr="00C1729E">
        <w:rPr>
          <w:sz w:val="24"/>
          <w:szCs w:val="24"/>
        </w:rPr>
        <w:t>Nord-Vest</w:t>
      </w:r>
      <w:proofErr w:type="spellEnd"/>
      <w:r w:rsidRPr="00C1729E">
        <w:rPr>
          <w:sz w:val="24"/>
          <w:szCs w:val="24"/>
        </w:rPr>
        <w:t xml:space="preserve">. Cele mai mici ponderi ale gospodăriilor cu conectare la internet, erau înregistrate de regiunile </w:t>
      </w:r>
      <w:proofErr w:type="spellStart"/>
      <w:r w:rsidRPr="00C1729E">
        <w:rPr>
          <w:sz w:val="24"/>
          <w:szCs w:val="24"/>
        </w:rPr>
        <w:t>Nord-Est</w:t>
      </w:r>
      <w:proofErr w:type="spellEnd"/>
      <w:r w:rsidRPr="00C1729E">
        <w:rPr>
          <w:sz w:val="24"/>
          <w:szCs w:val="24"/>
        </w:rPr>
        <w:t xml:space="preserve"> (65,1%) şi </w:t>
      </w:r>
      <w:proofErr w:type="spellStart"/>
      <w:r w:rsidRPr="00C1729E">
        <w:rPr>
          <w:sz w:val="24"/>
          <w:szCs w:val="24"/>
        </w:rPr>
        <w:t>Sud-EST</w:t>
      </w:r>
      <w:proofErr w:type="spellEnd"/>
      <w:r w:rsidRPr="00C1729E">
        <w:rPr>
          <w:sz w:val="24"/>
          <w:szCs w:val="24"/>
        </w:rPr>
        <w:t xml:space="preserve"> (65,2%).</w:t>
      </w:r>
    </w:p>
    <w:p w14:paraId="20DCBB76" w14:textId="77777777" w:rsidR="006340A3" w:rsidRPr="00C1729E" w:rsidRDefault="006340A3" w:rsidP="009941AE">
      <w:pPr>
        <w:spacing w:after="60" w:line="240" w:lineRule="auto"/>
        <w:jc w:val="both"/>
        <w:rPr>
          <w:sz w:val="24"/>
          <w:szCs w:val="24"/>
        </w:rPr>
      </w:pPr>
      <w:r w:rsidRPr="00C1729E">
        <w:rPr>
          <w:sz w:val="24"/>
          <w:szCs w:val="24"/>
        </w:rPr>
        <w:t xml:space="preserve">Tipurile de conexiune folosite la accesarea internetului de acasă sunt în proporţie de 82,1% conexiunile </w:t>
      </w:r>
      <w:proofErr w:type="spellStart"/>
      <w:r w:rsidRPr="00C1729E">
        <w:rPr>
          <w:sz w:val="24"/>
          <w:szCs w:val="24"/>
        </w:rPr>
        <w:t>broadband</w:t>
      </w:r>
      <w:proofErr w:type="spellEnd"/>
      <w:r w:rsidRPr="00C1729E">
        <w:rPr>
          <w:sz w:val="24"/>
          <w:szCs w:val="24"/>
        </w:rPr>
        <w:t xml:space="preserve"> fixe (conexiunile de bandă largă fixe), urmate la mare distanţă de conexiunile </w:t>
      </w:r>
      <w:proofErr w:type="spellStart"/>
      <w:r w:rsidRPr="00C1729E">
        <w:rPr>
          <w:sz w:val="24"/>
          <w:szCs w:val="24"/>
        </w:rPr>
        <w:t>broadband</w:t>
      </w:r>
      <w:proofErr w:type="spellEnd"/>
      <w:r w:rsidRPr="00C1729E">
        <w:rPr>
          <w:sz w:val="24"/>
          <w:szCs w:val="24"/>
        </w:rPr>
        <w:t xml:space="preserve"> mobile (57,3%) şi de conexiunile </w:t>
      </w:r>
      <w:proofErr w:type="spellStart"/>
      <w:r w:rsidRPr="00C1729E">
        <w:rPr>
          <w:sz w:val="24"/>
          <w:szCs w:val="24"/>
        </w:rPr>
        <w:t>narrowband</w:t>
      </w:r>
      <w:proofErr w:type="spellEnd"/>
      <w:r w:rsidRPr="00C1729E">
        <w:rPr>
          <w:sz w:val="24"/>
          <w:szCs w:val="24"/>
        </w:rPr>
        <w:t xml:space="preserve"> (12,5%).</w:t>
      </w:r>
    </w:p>
    <w:p w14:paraId="4F10699E" w14:textId="77777777" w:rsidR="006340A3" w:rsidRPr="00C1729E" w:rsidRDefault="006340A3" w:rsidP="009941AE">
      <w:pPr>
        <w:pStyle w:val="ListParagraph"/>
        <w:numPr>
          <w:ilvl w:val="0"/>
          <w:numId w:val="5"/>
        </w:numPr>
        <w:spacing w:after="60" w:line="240" w:lineRule="auto"/>
        <w:jc w:val="both"/>
        <w:rPr>
          <w:b/>
          <w:sz w:val="24"/>
          <w:szCs w:val="24"/>
        </w:rPr>
      </w:pPr>
      <w:r w:rsidRPr="00C1729E">
        <w:rPr>
          <w:b/>
          <w:sz w:val="24"/>
          <w:szCs w:val="24"/>
        </w:rPr>
        <w:t>Resursele</w:t>
      </w:r>
    </w:p>
    <w:p w14:paraId="43B0C4BD" w14:textId="75B052FF" w:rsidR="006340A3" w:rsidRPr="00C1729E" w:rsidRDefault="00870179" w:rsidP="009941AE">
      <w:pPr>
        <w:spacing w:after="60" w:line="240" w:lineRule="auto"/>
        <w:jc w:val="both"/>
        <w:rPr>
          <w:sz w:val="24"/>
          <w:szCs w:val="24"/>
        </w:rPr>
      </w:pPr>
      <w:r w:rsidRPr="00870179">
        <w:rPr>
          <w:sz w:val="24"/>
          <w:szCs w:val="24"/>
        </w:rPr>
        <w:t>România este înzestrată cu un bun potențial energetic, o proporție semnificativă a acestuia provenind din surse regenerabile care depășesc  ținta națională Europa 2020, respectiv ca 24% din consumul final brut de energie provenit din surse regenerabile.</w:t>
      </w:r>
    </w:p>
    <w:p w14:paraId="6F78678A" w14:textId="77777777" w:rsidR="006340A3" w:rsidRPr="00C1729E" w:rsidRDefault="006340A3" w:rsidP="009941AE">
      <w:pPr>
        <w:spacing w:after="60" w:line="240" w:lineRule="auto"/>
        <w:jc w:val="both"/>
        <w:rPr>
          <w:sz w:val="24"/>
          <w:szCs w:val="24"/>
        </w:rPr>
      </w:pPr>
      <w:r w:rsidRPr="00C1729E">
        <w:rPr>
          <w:sz w:val="24"/>
          <w:szCs w:val="24"/>
        </w:rPr>
        <w:t xml:space="preserve">Pe de altă parte, eficiența sistemelor de transport și de distribuție a încălzirii centralizate rămâne foarte redusă, amenințând sustenabilitatea sistemelor în multe orașe. </w:t>
      </w:r>
    </w:p>
    <w:p w14:paraId="79291403" w14:textId="77777777" w:rsidR="006340A3" w:rsidRPr="00C1729E" w:rsidRDefault="006340A3" w:rsidP="009941AE">
      <w:pPr>
        <w:spacing w:after="60" w:line="240" w:lineRule="auto"/>
        <w:jc w:val="both"/>
        <w:rPr>
          <w:rFonts w:eastAsia="Calibri" w:cs="Times New Roman"/>
          <w:sz w:val="24"/>
        </w:rPr>
      </w:pPr>
      <w:r w:rsidRPr="00870179">
        <w:rPr>
          <w:sz w:val="24"/>
        </w:rPr>
        <w:t>Extinderea și modernizarea infrastructurii de apă și apă uzată continuă să fie una dintre cele mai importante priorități care vizează ameliorarea standardelor de viață din România, în special în zonele rurale.</w:t>
      </w:r>
      <w:r w:rsidRPr="00870179">
        <w:rPr>
          <w:sz w:val="24"/>
          <w:szCs w:val="24"/>
        </w:rPr>
        <w:t xml:space="preserve"> Gestionarea deșeurilor este încă departe de standardele europene, fiind caracterizată de niveluri</w:t>
      </w:r>
      <w:r w:rsidRPr="00C1729E">
        <w:rPr>
          <w:sz w:val="24"/>
          <w:szCs w:val="24"/>
        </w:rPr>
        <w:t xml:space="preserve"> reduse de reutilizare, reciclare și valorificare energetică.</w:t>
      </w:r>
    </w:p>
    <w:p w14:paraId="37F1B319" w14:textId="77777777" w:rsidR="006340A3" w:rsidRPr="00C1729E" w:rsidRDefault="006340A3" w:rsidP="009941AE">
      <w:pPr>
        <w:spacing w:after="60" w:line="240" w:lineRule="auto"/>
        <w:jc w:val="both"/>
        <w:rPr>
          <w:sz w:val="24"/>
          <w:szCs w:val="24"/>
        </w:rPr>
      </w:pPr>
      <w:r w:rsidRPr="00C1729E">
        <w:rPr>
          <w:sz w:val="24"/>
          <w:szCs w:val="24"/>
        </w:rPr>
        <w:t xml:space="preserve">În 2017, lungimea simplă a reţelei de distribuţie a apei potabile era de 82.090,4 km, cu 3,0% (2.412,8 km) mai mare pe total ţară, faţă de situaţia existentă la sfârşitul anului 2016. </w:t>
      </w:r>
    </w:p>
    <w:p w14:paraId="4E70913C" w14:textId="77777777" w:rsidR="006340A3" w:rsidRPr="00C1729E" w:rsidRDefault="006340A3" w:rsidP="009941AE">
      <w:pPr>
        <w:spacing w:after="60" w:line="240" w:lineRule="auto"/>
        <w:jc w:val="both"/>
        <w:rPr>
          <w:sz w:val="24"/>
          <w:szCs w:val="24"/>
        </w:rPr>
      </w:pPr>
      <w:r w:rsidRPr="00C1729E">
        <w:rPr>
          <w:sz w:val="24"/>
          <w:szCs w:val="24"/>
        </w:rPr>
        <w:t>Lungimea totală a reţelei de canalizare la sfârşitul anului 2017, a fost de 36.344,5 km, din care 24.606,2 km în municipii şi oraşe. Comparativ cu anul precedent, în anul 2017, lungimea reţelei de canalizare s-a extins cu 1.991,1 km (respectiv cu 472,7 km în mediul urban şi cu 1.518,4 km în mediul rural).</w:t>
      </w:r>
    </w:p>
    <w:p w14:paraId="4F808BC1" w14:textId="77777777" w:rsidR="006340A3" w:rsidRPr="00C1729E" w:rsidRDefault="006340A3" w:rsidP="009941AE">
      <w:pPr>
        <w:spacing w:after="60" w:line="240" w:lineRule="auto"/>
        <w:jc w:val="both"/>
        <w:rPr>
          <w:sz w:val="24"/>
          <w:szCs w:val="24"/>
        </w:rPr>
      </w:pPr>
      <w:r w:rsidRPr="00C1729E">
        <w:rPr>
          <w:sz w:val="24"/>
          <w:szCs w:val="24"/>
        </w:rPr>
        <w:t>Populaţia conectată la sistemele de canalizare în anul 2016 a reprezentat 49,1% din populaţia rezidentă a României. În anul 2016, un număr de 9.702.739 locuitori aveau locuinţele conectate la sistemele de canalizare (SC), aceştia reprezentând 49,1% din populaţia rezidentă a României. În ceea ce priveşte epurarea apelor uzate, populaţia cu locuinţele conectate la sistemele de canalizare prevăzute cu staţii de epurare (SCE) a fost de 9.415.524 persoane, reprezentând 47,7% din populaţia rezidentă a ţării.</w:t>
      </w:r>
    </w:p>
    <w:p w14:paraId="117E469B" w14:textId="77777777" w:rsidR="006340A3" w:rsidRPr="00C1729E" w:rsidRDefault="006340A3" w:rsidP="009941AE">
      <w:pPr>
        <w:pStyle w:val="ListParagraph"/>
        <w:numPr>
          <w:ilvl w:val="0"/>
          <w:numId w:val="5"/>
        </w:numPr>
        <w:spacing w:after="60" w:line="240" w:lineRule="auto"/>
        <w:jc w:val="both"/>
        <w:rPr>
          <w:b/>
          <w:sz w:val="24"/>
          <w:szCs w:val="24"/>
        </w:rPr>
      </w:pPr>
      <w:r w:rsidRPr="00C1729E">
        <w:rPr>
          <w:b/>
          <w:sz w:val="24"/>
          <w:szCs w:val="24"/>
        </w:rPr>
        <w:t>Administrația și guvernarea</w:t>
      </w:r>
    </w:p>
    <w:p w14:paraId="34675378" w14:textId="51AACDAE" w:rsidR="00DA7549" w:rsidRPr="00C1729E" w:rsidRDefault="00033D44" w:rsidP="009941AE">
      <w:pPr>
        <w:spacing w:after="60" w:line="240" w:lineRule="auto"/>
        <w:jc w:val="both"/>
        <w:rPr>
          <w:sz w:val="24"/>
          <w:szCs w:val="24"/>
        </w:rPr>
      </w:pPr>
      <w:r w:rsidRPr="00033D44">
        <w:rPr>
          <w:sz w:val="24"/>
          <w:szCs w:val="24"/>
        </w:rPr>
        <w:t>România continuă să fie caracterizată de o slabă capacitate administrativă a instituțiilor publice și de o predispoziție către birocrație și reglementări exagerate care au o influență puternică asupra competitivității mediului său de afaceri. În pofida eforturilor de a implementa un proces viguros de elaborare a politicilor</w:t>
      </w:r>
      <w:r>
        <w:rPr>
          <w:sz w:val="24"/>
          <w:szCs w:val="24"/>
        </w:rPr>
        <w:t xml:space="preserve"> publice</w:t>
      </w:r>
      <w:r w:rsidRPr="00033D44">
        <w:rPr>
          <w:sz w:val="24"/>
          <w:szCs w:val="24"/>
        </w:rPr>
        <w:t xml:space="preserve"> în România, sunt necesare</w:t>
      </w:r>
      <w:r>
        <w:rPr>
          <w:sz w:val="24"/>
          <w:szCs w:val="24"/>
        </w:rPr>
        <w:t xml:space="preserve"> in continuare</w:t>
      </w:r>
      <w:r w:rsidRPr="00033D44">
        <w:rPr>
          <w:sz w:val="24"/>
          <w:szCs w:val="24"/>
        </w:rPr>
        <w:t xml:space="preserve"> reforme care să amelioreze calitatea administrației publice. Deși s-au înregistrat progrese în multe domenii, sunt necesare în continuare măsuri pentru consolidarea capacității instituționale, reformă și modernizare, </w:t>
      </w:r>
      <w:r>
        <w:rPr>
          <w:sz w:val="24"/>
          <w:szCs w:val="24"/>
        </w:rPr>
        <w:t xml:space="preserve">pentru </w:t>
      </w:r>
      <w:r w:rsidRPr="00033D44">
        <w:rPr>
          <w:sz w:val="24"/>
          <w:szCs w:val="24"/>
        </w:rPr>
        <w:t>un sistem juridic solid și independent.</w:t>
      </w:r>
    </w:p>
    <w:p w14:paraId="7AF9EE0B" w14:textId="20A1763D" w:rsidR="00033D44" w:rsidRDefault="00033D44" w:rsidP="009941AE">
      <w:pPr>
        <w:spacing w:line="240" w:lineRule="auto"/>
        <w:rPr>
          <w:i/>
          <w:color w:val="548DD4" w:themeColor="text2" w:themeTint="99"/>
          <w:sz w:val="24"/>
          <w:szCs w:val="24"/>
        </w:rPr>
      </w:pPr>
      <w:r>
        <w:rPr>
          <w:i/>
          <w:color w:val="548DD4" w:themeColor="text2" w:themeTint="99"/>
          <w:sz w:val="24"/>
          <w:szCs w:val="24"/>
        </w:rPr>
        <w:br w:type="page"/>
      </w:r>
    </w:p>
    <w:p w14:paraId="407B482B" w14:textId="77777777" w:rsidR="00E51C40" w:rsidRPr="00C1729E" w:rsidRDefault="00E51C40" w:rsidP="009941AE">
      <w:pPr>
        <w:spacing w:after="60" w:line="240" w:lineRule="auto"/>
        <w:jc w:val="both"/>
        <w:rPr>
          <w:b/>
          <w:color w:val="548DD4" w:themeColor="text2" w:themeTint="99"/>
        </w:rPr>
      </w:pPr>
      <w:r w:rsidRPr="00C1729E">
        <w:rPr>
          <w:b/>
          <w:color w:val="548DD4" w:themeColor="text2" w:themeTint="99"/>
        </w:rPr>
        <w:lastRenderedPageBreak/>
        <w:t>2. PROGRESELE ÎNREGISTRATE CĂTRE REALIZAREA STRATEGIEI UNIUNII PENTRU O CREȘTERE INTELIGENTĂ, DURABILĂ ȘI FAVORABILĂ INCLUZIUNII, PRECUM ȘI A MISIUNILOR SPECIFICE FONDURILOR, PRIN CONTRIBUȚIA FONDURILOR ESI LA OBIECTIVELE TEMATICE SELECTATE ȘI, ÎN SPECIAL, ÎN CEEA CE PRIVEȘTE OBIECTIVELE DE ETAPĂ STABILITE PENTRU FIECARE PROGRAM ÎN CADRUL DE PERFORMANȚĂ ȘI CONTRIBUȚIILE UTILIZATE PENTRU OBIECTIVELE LEGATE DE SCHIMBĂRILE CLIMATICE [ARTICOLUL 52 ALINEATUL (2) LITERA (B) DIN REGULAMENTUL (UE) NR. 1303/2013]</w:t>
      </w:r>
    </w:p>
    <w:p w14:paraId="548C7A94" w14:textId="77777777" w:rsidR="00E51C40" w:rsidRPr="00C1729E" w:rsidRDefault="00E51C40" w:rsidP="009941AE">
      <w:pPr>
        <w:spacing w:after="60" w:line="240" w:lineRule="auto"/>
        <w:jc w:val="both"/>
        <w:rPr>
          <w:b/>
          <w:color w:val="548DD4" w:themeColor="text2" w:themeTint="99"/>
        </w:rPr>
      </w:pPr>
    </w:p>
    <w:p w14:paraId="2C475B41" w14:textId="33CF436B" w:rsidR="006E13A0" w:rsidRPr="00C1729E" w:rsidRDefault="00E51C40" w:rsidP="009941AE">
      <w:pPr>
        <w:spacing w:after="60" w:line="240" w:lineRule="auto"/>
        <w:jc w:val="both"/>
        <w:rPr>
          <w:color w:val="365F91" w:themeColor="accent1" w:themeShade="BF"/>
        </w:rPr>
      </w:pPr>
      <w:r w:rsidRPr="00C1729E">
        <w:rPr>
          <w:b/>
          <w:color w:val="548DD4" w:themeColor="text2" w:themeTint="99"/>
        </w:rPr>
        <w:t>(a) Descrierea și evaluarea progreselor înregistrate în ceea ce privește îndeplinirea obiectivelor naționale din cadrul Strategiei Europa 2020 și a contribuției d</w:t>
      </w:r>
      <w:r w:rsidR="00033D44">
        <w:rPr>
          <w:b/>
          <w:color w:val="548DD4" w:themeColor="text2" w:themeTint="99"/>
        </w:rPr>
        <w:t>in fondurile ESI în acest scop</w:t>
      </w:r>
    </w:p>
    <w:p w14:paraId="48849E23" w14:textId="77777777" w:rsidR="004F4F92" w:rsidRPr="00C1729E" w:rsidRDefault="004F4F92" w:rsidP="009941AE">
      <w:pPr>
        <w:spacing w:after="60" w:line="240" w:lineRule="auto"/>
        <w:jc w:val="both"/>
        <w:rPr>
          <w:sz w:val="24"/>
          <w:szCs w:val="24"/>
        </w:rPr>
      </w:pPr>
      <w:r w:rsidRPr="00C1729E">
        <w:rPr>
          <w:sz w:val="24"/>
          <w:szCs w:val="24"/>
        </w:rPr>
        <w:t xml:space="preserve">Contribuția României la îndeplinirea obiectivului general al Strategiei Europa 2020 este monitorizată printr-un set de indicatori și ținte stabilite la nivel național, în conformitate cu Programul Național de Reformă. România a înregistrat progrese în ceea ce privește investițiile în cercetare și inovare, creșterea eficienței energetice, precum și în ceea ce privește rata de ocupare. </w:t>
      </w:r>
    </w:p>
    <w:p w14:paraId="22B3702B" w14:textId="7E39E8A4" w:rsidR="004F4F92" w:rsidRPr="00C1729E" w:rsidRDefault="004F4F92" w:rsidP="009941AE">
      <w:pPr>
        <w:spacing w:after="60" w:line="240" w:lineRule="auto"/>
        <w:jc w:val="both"/>
        <w:rPr>
          <w:sz w:val="24"/>
          <w:szCs w:val="24"/>
        </w:rPr>
      </w:pPr>
      <w:r w:rsidRPr="00C1729E">
        <w:rPr>
          <w:sz w:val="24"/>
          <w:szCs w:val="24"/>
        </w:rPr>
        <w:t>Până la 31.12.2018 au fost lansate apeluri de proiecte  finanțate din fonduri ESI care au vizat crearea de locuri de muncă, incluziunea social</w:t>
      </w:r>
      <w:r w:rsidR="00033D44">
        <w:rPr>
          <w:sz w:val="24"/>
          <w:szCs w:val="24"/>
        </w:rPr>
        <w:t>ă</w:t>
      </w:r>
      <w:r w:rsidRPr="00C1729E">
        <w:rPr>
          <w:sz w:val="24"/>
          <w:szCs w:val="24"/>
        </w:rPr>
        <w:t xml:space="preserve"> si combaterea sărăciei, educația, investiții</w:t>
      </w:r>
      <w:r w:rsidR="00033D44">
        <w:rPr>
          <w:sz w:val="24"/>
          <w:szCs w:val="24"/>
        </w:rPr>
        <w:t>le</w:t>
      </w:r>
      <w:r w:rsidRPr="00C1729E">
        <w:rPr>
          <w:sz w:val="24"/>
          <w:szCs w:val="24"/>
        </w:rPr>
        <w:t xml:space="preserve"> dedicate consolidării cercetării, dezvoltării tehnologice și inovării, îmbunătăţirea condiţiilor de mediu pentru toate tipurile de transport, protejarea şi refacerea biodiversităţii, sprijinirea producţiei de energie din resurse regenerabile, dezvoltare regional</w:t>
      </w:r>
      <w:r w:rsidR="00033D44">
        <w:rPr>
          <w:sz w:val="24"/>
          <w:szCs w:val="24"/>
        </w:rPr>
        <w:t>ă</w:t>
      </w:r>
      <w:r w:rsidRPr="00C1729E">
        <w:rPr>
          <w:sz w:val="24"/>
          <w:szCs w:val="24"/>
        </w:rPr>
        <w:t>, întărirea capacitații administrative (264 apeluri de proiecte reprezentând aprox. 25 mld. €  - cca. 90% din alocarea totală a programelor).</w:t>
      </w:r>
    </w:p>
    <w:p w14:paraId="58E2F816" w14:textId="77777777" w:rsidR="004F4F92" w:rsidRPr="00C1729E" w:rsidRDefault="004F4F92" w:rsidP="009941AE">
      <w:pPr>
        <w:spacing w:after="60" w:line="240" w:lineRule="auto"/>
        <w:jc w:val="both"/>
        <w:rPr>
          <w:sz w:val="24"/>
          <w:szCs w:val="24"/>
        </w:rPr>
      </w:pPr>
      <w:r w:rsidRPr="00C1729E">
        <w:rPr>
          <w:sz w:val="24"/>
          <w:szCs w:val="24"/>
        </w:rPr>
        <w:t>Corespunzător principalilor indicatori de monitorizare ai Strategiei, sprijinul fondurilor ESI vizează:</w:t>
      </w:r>
    </w:p>
    <w:p w14:paraId="1654555D" w14:textId="77777777" w:rsidR="004F4F92" w:rsidRPr="00C1729E" w:rsidRDefault="004F4F92" w:rsidP="009941AE">
      <w:pPr>
        <w:numPr>
          <w:ilvl w:val="0"/>
          <w:numId w:val="1"/>
        </w:numPr>
        <w:shd w:val="clear" w:color="auto" w:fill="DAEEF3" w:themeFill="accent5" w:themeFillTint="33"/>
        <w:spacing w:after="60" w:line="240" w:lineRule="auto"/>
        <w:jc w:val="both"/>
        <w:rPr>
          <w:sz w:val="24"/>
          <w:szCs w:val="24"/>
        </w:rPr>
      </w:pPr>
      <w:r w:rsidRPr="00C1729E">
        <w:rPr>
          <w:sz w:val="24"/>
          <w:szCs w:val="24"/>
          <w:u w:val="single"/>
        </w:rPr>
        <w:t>rata de ocupare a populației cu vârstă de 20-64 ani – țintă RO: 70%</w:t>
      </w:r>
      <w:r w:rsidRPr="00C1729E">
        <w:rPr>
          <w:sz w:val="24"/>
          <w:szCs w:val="24"/>
        </w:rPr>
        <w:t xml:space="preserve"> </w:t>
      </w:r>
    </w:p>
    <w:p w14:paraId="3C5B7D71" w14:textId="0E9EE167" w:rsidR="004F4F92" w:rsidRPr="00C1729E" w:rsidRDefault="004F4F92" w:rsidP="009941AE">
      <w:pPr>
        <w:spacing w:after="60" w:line="240" w:lineRule="auto"/>
        <w:jc w:val="both"/>
        <w:rPr>
          <w:i/>
          <w:sz w:val="24"/>
          <w:szCs w:val="24"/>
        </w:rPr>
      </w:pPr>
      <w:r w:rsidRPr="00C1729E">
        <w:rPr>
          <w:i/>
          <w:sz w:val="24"/>
          <w:szCs w:val="24"/>
        </w:rPr>
        <w:t xml:space="preserve">În anul 2018 conform INS, rata de ocupare a populației în vârstă de 20-64 ani și-a continuat tendința de creștere, fiind de 69,9%, la o distanță de 0,1 </w:t>
      </w:r>
      <w:proofErr w:type="spellStart"/>
      <w:r w:rsidRPr="00C1729E">
        <w:rPr>
          <w:i/>
          <w:sz w:val="24"/>
          <w:szCs w:val="24"/>
        </w:rPr>
        <w:t>p.p</w:t>
      </w:r>
      <w:proofErr w:type="spellEnd"/>
      <w:r w:rsidRPr="00C1729E">
        <w:rPr>
          <w:i/>
          <w:sz w:val="24"/>
          <w:szCs w:val="24"/>
        </w:rPr>
        <w:t>. față de ținta națională Europa 2020.</w:t>
      </w:r>
    </w:p>
    <w:p w14:paraId="1CE83BC8" w14:textId="7BE9B079" w:rsidR="004F4F92" w:rsidRPr="00C1729E" w:rsidRDefault="004F4F92" w:rsidP="009941AE">
      <w:pPr>
        <w:numPr>
          <w:ilvl w:val="1"/>
          <w:numId w:val="2"/>
        </w:numPr>
        <w:spacing w:after="60" w:line="240" w:lineRule="auto"/>
        <w:ind w:left="360"/>
        <w:contextualSpacing/>
        <w:jc w:val="both"/>
        <w:rPr>
          <w:sz w:val="24"/>
          <w:szCs w:val="24"/>
        </w:rPr>
      </w:pPr>
      <w:r w:rsidRPr="00C1729E">
        <w:rPr>
          <w:sz w:val="24"/>
          <w:szCs w:val="24"/>
        </w:rPr>
        <w:t>Din FSE, prin POCU, a fost sprijinită integrarea pe piața muncii a persoanelor aflate în căutarea unui loc de muncă sau a celor inactive prin lansarea a 7 apeluri în valoare totală de aprox. 529 mil. € în cadrul cărora au fost efectuate plăți în valoare de peste 71, 5 mil. €, până la 31 decembrie 2018. Acțiunile includ sprijinul pentru creșterea ocupării și dezvoltarea competențelor în rândul tinerilor NEET, precum și intervențiile prin care este vizată creșterea ocupării în rândul șomerilor și persoanelor inactive, în special a celor de etnie romă și din mediul rural, reintegrare pe piața muncii a lucrătorilor disponibilizați/concediați</w:t>
      </w:r>
      <w:r w:rsidRPr="00033D44">
        <w:rPr>
          <w:sz w:val="24"/>
          <w:szCs w:val="24"/>
        </w:rPr>
        <w:t>, masuri</w:t>
      </w:r>
      <w:r w:rsidRPr="00C1729E">
        <w:t xml:space="preserve"> </w:t>
      </w:r>
      <w:r w:rsidRPr="00C1729E">
        <w:rPr>
          <w:sz w:val="24"/>
          <w:szCs w:val="24"/>
        </w:rPr>
        <w:t xml:space="preserve">integrate de formare, mediere și plasare pe piața șomerilor, persoanelor inactive apte de muncă, persoanelor din grupurile vulnerabile, celor de etnie romă și din mediul rural care trăiesc din agricultura de subzistență/semi-subzistență (2,38 mil. € în regiunea București-Ilfov, 48,43 mil. € în regiuni mai puțin dezvoltate și 1,23 mil. € în teritoriul ITI Delta Dunării). Urmare a acestor intervenții, conform datelor raportate de </w:t>
      </w:r>
      <w:r w:rsidR="00033D44" w:rsidRPr="00C1729E">
        <w:rPr>
          <w:sz w:val="24"/>
          <w:szCs w:val="24"/>
        </w:rPr>
        <w:t>către</w:t>
      </w:r>
      <w:r w:rsidRPr="00C1729E">
        <w:rPr>
          <w:sz w:val="24"/>
          <w:szCs w:val="24"/>
        </w:rPr>
        <w:t xml:space="preserve"> beneficiari au fost integrate pe piața muncii 7.176 persoane, după cum urmează:</w:t>
      </w:r>
    </w:p>
    <w:p w14:paraId="144A386F" w14:textId="77777777" w:rsidR="004F4F92" w:rsidRPr="00C1729E" w:rsidRDefault="004F4F92" w:rsidP="009941AE">
      <w:pPr>
        <w:numPr>
          <w:ilvl w:val="2"/>
          <w:numId w:val="7"/>
        </w:numPr>
        <w:spacing w:after="60" w:line="240" w:lineRule="auto"/>
        <w:ind w:left="1418" w:hanging="567"/>
        <w:contextualSpacing/>
        <w:jc w:val="both"/>
        <w:rPr>
          <w:sz w:val="24"/>
          <w:szCs w:val="24"/>
        </w:rPr>
      </w:pPr>
      <w:r w:rsidRPr="00C1729E">
        <w:rPr>
          <w:sz w:val="24"/>
          <w:szCs w:val="24"/>
        </w:rPr>
        <w:t xml:space="preserve">32 de participanți la operațiunile care vizează îmbunătățirea situaţiei tinerilor din categoria </w:t>
      </w:r>
      <w:proofErr w:type="spellStart"/>
      <w:r w:rsidRPr="00C1729E">
        <w:rPr>
          <w:sz w:val="24"/>
          <w:szCs w:val="24"/>
        </w:rPr>
        <w:t>NEETs</w:t>
      </w:r>
      <w:proofErr w:type="spellEnd"/>
    </w:p>
    <w:p w14:paraId="7E63A674" w14:textId="77777777" w:rsidR="004F4F92" w:rsidRPr="00C1729E" w:rsidRDefault="004F4F92" w:rsidP="009941AE">
      <w:pPr>
        <w:numPr>
          <w:ilvl w:val="2"/>
          <w:numId w:val="7"/>
        </w:numPr>
        <w:spacing w:after="60" w:line="240" w:lineRule="auto"/>
        <w:ind w:left="1418" w:hanging="567"/>
        <w:contextualSpacing/>
        <w:jc w:val="both"/>
        <w:rPr>
          <w:sz w:val="24"/>
          <w:szCs w:val="24"/>
        </w:rPr>
      </w:pPr>
      <w:r w:rsidRPr="00C1729E">
        <w:rPr>
          <w:sz w:val="24"/>
          <w:szCs w:val="24"/>
        </w:rPr>
        <w:t>57 de participanți la operațiunile care vizează accesul la locuri de muncă pentru persoanele aflate în căutarea unui loc de muncă și pentru persoanele inactive, inclusiv pentru șomerii de lungă durată și pentru persoanele cu șanse mici de angajare, inclusiv prin inițiative locale de angajare și sprijin pentru mobilitatea forței de muncă (OS 3.1 -3.6)</w:t>
      </w:r>
    </w:p>
    <w:p w14:paraId="4FF5AFD1" w14:textId="77777777" w:rsidR="004F4F92" w:rsidRPr="00C1729E" w:rsidRDefault="004F4F92" w:rsidP="009941AE">
      <w:pPr>
        <w:numPr>
          <w:ilvl w:val="2"/>
          <w:numId w:val="7"/>
        </w:numPr>
        <w:spacing w:after="60" w:line="240" w:lineRule="auto"/>
        <w:ind w:left="1418" w:hanging="567"/>
        <w:contextualSpacing/>
        <w:jc w:val="both"/>
        <w:rPr>
          <w:sz w:val="24"/>
          <w:szCs w:val="24"/>
        </w:rPr>
      </w:pPr>
      <w:r w:rsidRPr="00C1729E">
        <w:rPr>
          <w:sz w:val="24"/>
          <w:szCs w:val="24"/>
        </w:rPr>
        <w:t>7.053 de participanți la operațiunile care vizează activitățile independente, antreprenorialul și crearea de întreprinderi, inclusiv microîntreprinderi și întreprinderi mici și mijlocii inovatoare</w:t>
      </w:r>
    </w:p>
    <w:p w14:paraId="1F66D28C" w14:textId="77777777" w:rsidR="004F4F92" w:rsidRPr="00C1729E" w:rsidRDefault="004F4F92" w:rsidP="009941AE">
      <w:pPr>
        <w:numPr>
          <w:ilvl w:val="2"/>
          <w:numId w:val="7"/>
        </w:numPr>
        <w:spacing w:after="60" w:line="240" w:lineRule="auto"/>
        <w:ind w:left="1418" w:hanging="567"/>
        <w:contextualSpacing/>
        <w:jc w:val="both"/>
        <w:rPr>
          <w:sz w:val="24"/>
          <w:szCs w:val="24"/>
        </w:rPr>
      </w:pPr>
      <w:r w:rsidRPr="00C1729E">
        <w:rPr>
          <w:sz w:val="24"/>
          <w:szCs w:val="24"/>
        </w:rPr>
        <w:t>34 de participanți la operațiunile care vizează adaptarea lucrătorilor, a întreprinderilor și a antreprenorilor la schimbare</w:t>
      </w:r>
    </w:p>
    <w:p w14:paraId="46A814BC" w14:textId="4F241A8D" w:rsidR="004F4F92" w:rsidRPr="00C1729E" w:rsidRDefault="004F4F92" w:rsidP="009941AE">
      <w:pPr>
        <w:spacing w:after="60" w:line="240" w:lineRule="auto"/>
        <w:ind w:left="360"/>
        <w:jc w:val="both"/>
        <w:rPr>
          <w:sz w:val="24"/>
          <w:szCs w:val="24"/>
        </w:rPr>
      </w:pPr>
      <w:r w:rsidRPr="00C1729E">
        <w:rPr>
          <w:sz w:val="24"/>
          <w:szCs w:val="24"/>
        </w:rPr>
        <w:lastRenderedPageBreak/>
        <w:t xml:space="preserve">Continuă implementarea schemelor de tip </w:t>
      </w:r>
      <w:proofErr w:type="spellStart"/>
      <w:r w:rsidRPr="00C1729E">
        <w:rPr>
          <w:sz w:val="24"/>
          <w:szCs w:val="24"/>
        </w:rPr>
        <w:t>seed</w:t>
      </w:r>
      <w:proofErr w:type="spellEnd"/>
      <w:r w:rsidRPr="00C1729E">
        <w:rPr>
          <w:sz w:val="24"/>
          <w:szCs w:val="24"/>
        </w:rPr>
        <w:t xml:space="preserve"> capital - </w:t>
      </w:r>
      <w:r w:rsidRPr="00C1729E">
        <w:rPr>
          <w:i/>
          <w:sz w:val="24"/>
          <w:szCs w:val="24"/>
        </w:rPr>
        <w:t xml:space="preserve">România Start </w:t>
      </w:r>
      <w:proofErr w:type="spellStart"/>
      <w:r w:rsidRPr="00C1729E">
        <w:rPr>
          <w:i/>
          <w:sz w:val="24"/>
          <w:szCs w:val="24"/>
        </w:rPr>
        <w:t>Up</w:t>
      </w:r>
      <w:proofErr w:type="spellEnd"/>
      <w:r w:rsidRPr="00C1729E">
        <w:rPr>
          <w:i/>
          <w:sz w:val="24"/>
          <w:szCs w:val="24"/>
        </w:rPr>
        <w:t xml:space="preserve"> Plus</w:t>
      </w:r>
      <w:r w:rsidRPr="00C1729E">
        <w:rPr>
          <w:sz w:val="24"/>
          <w:szCs w:val="24"/>
        </w:rPr>
        <w:t xml:space="preserve"> și </w:t>
      </w:r>
      <w:r w:rsidRPr="00C1729E">
        <w:rPr>
          <w:i/>
          <w:sz w:val="24"/>
          <w:szCs w:val="24"/>
        </w:rPr>
        <w:t xml:space="preserve">Diaspora Start </w:t>
      </w:r>
      <w:proofErr w:type="spellStart"/>
      <w:r w:rsidRPr="00C1729E">
        <w:rPr>
          <w:i/>
          <w:sz w:val="24"/>
          <w:szCs w:val="24"/>
        </w:rPr>
        <w:t>Up</w:t>
      </w:r>
      <w:proofErr w:type="spellEnd"/>
      <w:r w:rsidRPr="00C1729E">
        <w:rPr>
          <w:sz w:val="24"/>
          <w:szCs w:val="24"/>
        </w:rPr>
        <w:t xml:space="preserve"> (aprox. 5.000 de locuri de muncă: România </w:t>
      </w:r>
      <w:proofErr w:type="spellStart"/>
      <w:r w:rsidRPr="00C1729E">
        <w:rPr>
          <w:sz w:val="24"/>
          <w:szCs w:val="24"/>
        </w:rPr>
        <w:t>Start-up</w:t>
      </w:r>
      <w:proofErr w:type="spellEnd"/>
      <w:r w:rsidRPr="00C1729E">
        <w:rPr>
          <w:sz w:val="24"/>
          <w:szCs w:val="24"/>
        </w:rPr>
        <w:t xml:space="preserve"> Plus - minim 4.000 locuri de muncă și Diaspora </w:t>
      </w:r>
      <w:proofErr w:type="spellStart"/>
      <w:r w:rsidRPr="00C1729E">
        <w:rPr>
          <w:sz w:val="24"/>
          <w:szCs w:val="24"/>
        </w:rPr>
        <w:t>Start-up</w:t>
      </w:r>
      <w:proofErr w:type="spellEnd"/>
      <w:r w:rsidRPr="00C1729E">
        <w:rPr>
          <w:sz w:val="24"/>
          <w:szCs w:val="24"/>
        </w:rPr>
        <w:t xml:space="preserve"> - minim 750 noi locuri de muncă). Sunt sprijinite inițiativele antreprenoriale, dezvoltarea economică a comunităților locale, inovarea socială și crearea de noi locuri de muncă, inclusiv pentru persoane din grupuri vulnerabile. Până la 31 decembrie 2018, Programul </w:t>
      </w:r>
      <w:r w:rsidRPr="00C1729E">
        <w:rPr>
          <w:i/>
          <w:sz w:val="24"/>
          <w:szCs w:val="24"/>
        </w:rPr>
        <w:t xml:space="preserve">Start </w:t>
      </w:r>
      <w:proofErr w:type="spellStart"/>
      <w:r w:rsidRPr="00C1729E">
        <w:rPr>
          <w:i/>
          <w:sz w:val="24"/>
          <w:szCs w:val="24"/>
        </w:rPr>
        <w:t>Up</w:t>
      </w:r>
      <w:proofErr w:type="spellEnd"/>
      <w:r w:rsidRPr="00C1729E">
        <w:rPr>
          <w:i/>
          <w:sz w:val="24"/>
          <w:szCs w:val="24"/>
        </w:rPr>
        <w:t xml:space="preserve"> </w:t>
      </w:r>
      <w:proofErr w:type="spellStart"/>
      <w:r w:rsidRPr="00C1729E">
        <w:rPr>
          <w:i/>
          <w:sz w:val="24"/>
          <w:szCs w:val="24"/>
        </w:rPr>
        <w:t>Nation</w:t>
      </w:r>
      <w:proofErr w:type="spellEnd"/>
      <w:r w:rsidRPr="00C1729E">
        <w:rPr>
          <w:i/>
          <w:sz w:val="24"/>
          <w:szCs w:val="24"/>
        </w:rPr>
        <w:t xml:space="preserve"> România</w:t>
      </w:r>
      <w:r w:rsidRPr="00C1729E">
        <w:rPr>
          <w:sz w:val="24"/>
          <w:szCs w:val="24"/>
        </w:rPr>
        <w:t xml:space="preserve"> a susținut înființarea a 17.717 locuri de muncă, din care 14.365 ocupate de persoane defavorizate (șomeri, tineri absolvenți ai sistemului de educație).</w:t>
      </w:r>
    </w:p>
    <w:p w14:paraId="39303BE6" w14:textId="5DEE4DCC" w:rsidR="004F4F92" w:rsidRPr="00C1729E" w:rsidRDefault="004F4F92" w:rsidP="009941AE">
      <w:pPr>
        <w:spacing w:after="0" w:line="240" w:lineRule="auto"/>
        <w:ind w:left="357"/>
        <w:jc w:val="both"/>
        <w:rPr>
          <w:sz w:val="24"/>
          <w:szCs w:val="24"/>
        </w:rPr>
      </w:pPr>
      <w:r w:rsidRPr="00C1729E">
        <w:rPr>
          <w:sz w:val="24"/>
          <w:szCs w:val="24"/>
        </w:rPr>
        <w:t>Indirect, contribuie la integrarea pe piața muncii, proiectele POCU (în valoare de peste 780 mil. €) destinate creșterii competitivității întreprinderilor și resurselor umane, anticip</w:t>
      </w:r>
      <w:r w:rsidR="00AC6E75">
        <w:rPr>
          <w:sz w:val="24"/>
          <w:szCs w:val="24"/>
        </w:rPr>
        <w:t>ării</w:t>
      </w:r>
      <w:r w:rsidRPr="00C1729E">
        <w:rPr>
          <w:sz w:val="24"/>
          <w:szCs w:val="24"/>
        </w:rPr>
        <w:t xml:space="preserve"> cerințelor de calificare și competențe și formare la locul de muncă în contextul schimbării structurii ocupaționale</w:t>
      </w:r>
    </w:p>
    <w:p w14:paraId="0A76CAF6" w14:textId="77777777" w:rsidR="004F4F92" w:rsidRPr="00C1729E" w:rsidRDefault="004F4F92" w:rsidP="009941AE">
      <w:pPr>
        <w:numPr>
          <w:ilvl w:val="1"/>
          <w:numId w:val="2"/>
        </w:numPr>
        <w:spacing w:after="0" w:line="240" w:lineRule="auto"/>
        <w:ind w:left="357"/>
        <w:rPr>
          <w:sz w:val="24"/>
          <w:szCs w:val="24"/>
        </w:rPr>
      </w:pPr>
      <w:r w:rsidRPr="00C1729E">
        <w:rPr>
          <w:sz w:val="24"/>
          <w:szCs w:val="24"/>
        </w:rPr>
        <w:t xml:space="preserve">Până la finalul anului 2018, prin PNDR au fost angajate cheltuieli publice totale de 437,7 mil. € (70,8% din alocarea OT8). Până în 2023 se estimează crearea a 24.474 locuri de muncă. În plus, în cadrul proiectelor sprijinite (LEADER), se estimează crearea a 2.055 locuri de muncă). Sunt în curs de implementare proiecte pentru înfiinţarea de activităţi neagricole în zone rurale precum și  dezvoltarea activităților neagricole de către întreprinderile existente. </w:t>
      </w:r>
    </w:p>
    <w:p w14:paraId="0A550222" w14:textId="77777777" w:rsidR="004F4F92" w:rsidRPr="00C1729E" w:rsidRDefault="004F4F92" w:rsidP="009941AE">
      <w:pPr>
        <w:numPr>
          <w:ilvl w:val="1"/>
          <w:numId w:val="2"/>
        </w:numPr>
        <w:spacing w:after="0" w:line="240" w:lineRule="auto"/>
        <w:ind w:left="357"/>
        <w:jc w:val="both"/>
        <w:rPr>
          <w:sz w:val="24"/>
          <w:szCs w:val="24"/>
        </w:rPr>
      </w:pPr>
      <w:r w:rsidRPr="00C1729E">
        <w:rPr>
          <w:sz w:val="24"/>
          <w:szCs w:val="24"/>
        </w:rPr>
        <w:t xml:space="preserve">Până la finalul anului 2018, din FEPAM, prin Prioritatea Uniunii 4, a fost plătită către beneficiari suma de 11,12 mil. lei din ținta financiară asumată pentru anul 2023 (232,21 mil. lei). Se estimează că, până în 2023, prin investițiile FEPAM vor fi create aprox. 436 locuri de muncă și menținute 442,33, ca urmare a susținerii diversificării economice la nivelul comunităților locale cu impact asupra numărului de locuri de muncă pentru pescari şi </w:t>
      </w:r>
      <w:proofErr w:type="spellStart"/>
      <w:r w:rsidRPr="00C1729E">
        <w:rPr>
          <w:sz w:val="24"/>
          <w:szCs w:val="24"/>
        </w:rPr>
        <w:t>acvacultori</w:t>
      </w:r>
      <w:proofErr w:type="spellEnd"/>
      <w:r w:rsidRPr="00C1729E">
        <w:rPr>
          <w:sz w:val="24"/>
          <w:szCs w:val="24"/>
        </w:rPr>
        <w:t>.</w:t>
      </w:r>
    </w:p>
    <w:p w14:paraId="7A3F7FC1" w14:textId="77777777" w:rsidR="004F4F92" w:rsidRPr="00C1729E" w:rsidRDefault="004F4F92" w:rsidP="009941AE">
      <w:pPr>
        <w:spacing w:after="60" w:line="240" w:lineRule="auto"/>
        <w:ind w:left="357"/>
        <w:jc w:val="both"/>
        <w:rPr>
          <w:sz w:val="24"/>
          <w:szCs w:val="24"/>
        </w:rPr>
      </w:pPr>
    </w:p>
    <w:p w14:paraId="71151229" w14:textId="77777777" w:rsidR="004F4F92" w:rsidRPr="00C1729E" w:rsidRDefault="004F4F92" w:rsidP="009941AE">
      <w:pPr>
        <w:numPr>
          <w:ilvl w:val="0"/>
          <w:numId w:val="1"/>
        </w:numPr>
        <w:shd w:val="clear" w:color="auto" w:fill="DAEEF3" w:themeFill="accent5" w:themeFillTint="33"/>
        <w:spacing w:after="60" w:line="240" w:lineRule="auto"/>
        <w:jc w:val="both"/>
        <w:rPr>
          <w:rFonts w:cs="Arial"/>
          <w:sz w:val="24"/>
          <w:szCs w:val="24"/>
        </w:rPr>
      </w:pPr>
      <w:r w:rsidRPr="00C1729E">
        <w:rPr>
          <w:sz w:val="24"/>
          <w:szCs w:val="24"/>
          <w:u w:val="single"/>
        </w:rPr>
        <w:t>2</w:t>
      </w:r>
      <w:r w:rsidRPr="00C1729E">
        <w:rPr>
          <w:sz w:val="24"/>
          <w:szCs w:val="24"/>
          <w:u w:val="single"/>
          <w:shd w:val="clear" w:color="auto" w:fill="DAEEF3" w:themeFill="accent5" w:themeFillTint="33"/>
        </w:rPr>
        <w:t xml:space="preserve">% din PIB pentru investiții în cercetare și dezvoltare </w:t>
      </w:r>
      <w:r w:rsidRPr="00C1729E">
        <w:rPr>
          <w:rFonts w:cs="Arial"/>
          <w:sz w:val="24"/>
          <w:szCs w:val="24"/>
        </w:rPr>
        <w:t xml:space="preserve">(1% PIB - sector public şi 1% PIB sector privat) </w:t>
      </w:r>
    </w:p>
    <w:p w14:paraId="5066A342" w14:textId="77777777" w:rsidR="004F4F92" w:rsidRPr="00C1729E" w:rsidRDefault="004F4F92" w:rsidP="009941AE">
      <w:pPr>
        <w:spacing w:after="60" w:line="240" w:lineRule="auto"/>
        <w:ind w:left="360"/>
        <w:jc w:val="both"/>
        <w:rPr>
          <w:rFonts w:cs="Arial"/>
          <w:sz w:val="24"/>
          <w:szCs w:val="24"/>
        </w:rPr>
      </w:pPr>
      <w:r w:rsidRPr="00C1729E">
        <w:rPr>
          <w:rFonts w:cs="Arial"/>
          <w:i/>
          <w:sz w:val="24"/>
          <w:szCs w:val="24"/>
        </w:rPr>
        <w:t xml:space="preserve">În anul 2017 investițiile în cercetare și dezvoltare au reprezentat 0,50% din PIB (0,21% din PIB – sector public și 0,29% din PIB – sector privat), în creștere față de 2016 cu 0,02 </w:t>
      </w:r>
      <w:proofErr w:type="spellStart"/>
      <w:r w:rsidRPr="00C1729E">
        <w:rPr>
          <w:rFonts w:cs="Arial"/>
          <w:i/>
          <w:sz w:val="24"/>
          <w:szCs w:val="24"/>
        </w:rPr>
        <w:t>p.p</w:t>
      </w:r>
      <w:proofErr w:type="spellEnd"/>
      <w:r w:rsidRPr="00C1729E">
        <w:rPr>
          <w:rFonts w:cs="Arial"/>
          <w:i/>
          <w:sz w:val="24"/>
          <w:szCs w:val="24"/>
        </w:rPr>
        <w:t xml:space="preserve">. pe total cheltuieli (datorită creșterii cheltuielilor din sectorul privat cu 0,02 </w:t>
      </w:r>
      <w:proofErr w:type="spellStart"/>
      <w:r w:rsidRPr="00C1729E">
        <w:rPr>
          <w:rFonts w:cs="Arial"/>
          <w:i/>
          <w:sz w:val="24"/>
          <w:szCs w:val="24"/>
        </w:rPr>
        <w:t>p.p</w:t>
      </w:r>
      <w:proofErr w:type="spellEnd"/>
      <w:r w:rsidRPr="00C1729E">
        <w:rPr>
          <w:rFonts w:cs="Arial"/>
          <w:i/>
          <w:sz w:val="24"/>
          <w:szCs w:val="24"/>
        </w:rPr>
        <w:t>., nivelul cheltuielilor din sectorul public rămânând constant)</w:t>
      </w:r>
      <w:r w:rsidRPr="00C1729E">
        <w:rPr>
          <w:rFonts w:cs="Arial"/>
          <w:sz w:val="24"/>
          <w:szCs w:val="24"/>
        </w:rPr>
        <w:t>.</w:t>
      </w:r>
    </w:p>
    <w:p w14:paraId="0C91F844" w14:textId="77777777" w:rsidR="004F4F92" w:rsidRPr="00C1729E" w:rsidRDefault="004F4F92" w:rsidP="009941AE">
      <w:pPr>
        <w:numPr>
          <w:ilvl w:val="1"/>
          <w:numId w:val="2"/>
        </w:numPr>
        <w:spacing w:after="60" w:line="240" w:lineRule="auto"/>
        <w:ind w:left="360"/>
        <w:jc w:val="both"/>
        <w:rPr>
          <w:rFonts w:cs="Arial"/>
          <w:sz w:val="24"/>
          <w:szCs w:val="24"/>
        </w:rPr>
      </w:pPr>
      <w:r w:rsidRPr="00C1729E">
        <w:rPr>
          <w:rFonts w:cs="Arial"/>
          <w:sz w:val="24"/>
          <w:szCs w:val="24"/>
        </w:rPr>
        <w:t xml:space="preserve">Contribuția fondurilor ESI la acest obiectiv se realizează prin două programe operaționale: PO Competitivitate ( AP 1 - alocare FEDR de 798 mil. €) și PO Regional  - AP1 (alocare 152,53 mil. € FEDR). </w:t>
      </w:r>
    </w:p>
    <w:p w14:paraId="56EE01A6" w14:textId="77777777" w:rsidR="004F4F92" w:rsidRPr="00C1729E" w:rsidRDefault="004F4F92" w:rsidP="009941AE">
      <w:pPr>
        <w:numPr>
          <w:ilvl w:val="1"/>
          <w:numId w:val="2"/>
        </w:numPr>
        <w:spacing w:after="60" w:line="240" w:lineRule="auto"/>
        <w:ind w:left="360"/>
        <w:jc w:val="both"/>
        <w:rPr>
          <w:rFonts w:cs="Arial"/>
          <w:sz w:val="24"/>
          <w:szCs w:val="24"/>
        </w:rPr>
      </w:pPr>
      <w:r w:rsidRPr="00C1729E">
        <w:rPr>
          <w:rFonts w:cs="Arial"/>
          <w:sz w:val="24"/>
          <w:szCs w:val="24"/>
        </w:rPr>
        <w:t>În cadrul POC, până la finalul anului 2018 au fost lansate apeluri în valoare de 667,4 mil. € FEDR, care susțin dezvoltarea CDI în domeniile de specializare inteligentă și în domeniul sănătate.</w:t>
      </w:r>
    </w:p>
    <w:p w14:paraId="03C218F2" w14:textId="77777777" w:rsidR="004F4F92" w:rsidRPr="00C1729E" w:rsidRDefault="004F4F92" w:rsidP="009941AE">
      <w:pPr>
        <w:numPr>
          <w:ilvl w:val="1"/>
          <w:numId w:val="2"/>
        </w:numPr>
        <w:spacing w:after="60" w:line="240" w:lineRule="auto"/>
        <w:ind w:left="360"/>
        <w:jc w:val="both"/>
        <w:rPr>
          <w:rFonts w:cs="Arial"/>
          <w:sz w:val="24"/>
          <w:szCs w:val="24"/>
        </w:rPr>
      </w:pPr>
      <w:r w:rsidRPr="00C1729E">
        <w:rPr>
          <w:rFonts w:cs="Arial"/>
          <w:sz w:val="24"/>
          <w:szCs w:val="24"/>
        </w:rPr>
        <w:t>Prin POR, intervențiile sunt orientate către investiții în infrastructură, servicii și crearea de baze de date, cu scopul de a realiza un transfer mai intens al rezultatelor cercetării în aplicații comerciale inovative, cu impact asupra preluării și diseminării rezultatelor cercetării în piață. Primele apeluri de proiecte au fost lansate în anul 2018. La finalul anului 2018 erau depuse 101 proiecte cu o valoare nerambursabila de 29,49 mil €.</w:t>
      </w:r>
      <w:r w:rsidRPr="00C1729E">
        <w:rPr>
          <w:sz w:val="24"/>
          <w:szCs w:val="24"/>
        </w:rPr>
        <w:t xml:space="preserve"> </w:t>
      </w:r>
    </w:p>
    <w:p w14:paraId="4843B502" w14:textId="77777777" w:rsidR="004F4F92" w:rsidRPr="00C1729E" w:rsidRDefault="004F4F92" w:rsidP="009941AE">
      <w:pPr>
        <w:numPr>
          <w:ilvl w:val="0"/>
          <w:numId w:val="1"/>
        </w:numPr>
        <w:shd w:val="clear" w:color="auto" w:fill="DAEEF3" w:themeFill="accent5" w:themeFillTint="33"/>
        <w:spacing w:after="60" w:line="240" w:lineRule="auto"/>
        <w:jc w:val="both"/>
        <w:rPr>
          <w:sz w:val="24"/>
          <w:szCs w:val="24"/>
          <w:u w:val="single"/>
        </w:rPr>
      </w:pPr>
      <w:r w:rsidRPr="00C1729E">
        <w:rPr>
          <w:sz w:val="24"/>
          <w:szCs w:val="24"/>
          <w:u w:val="single"/>
        </w:rPr>
        <w:t>reducerea emisiilor de gaze cu efect de seră (față de anul 1990) – țintă 20%, estimată la nivelul AP</w:t>
      </w:r>
    </w:p>
    <w:p w14:paraId="6883F74C" w14:textId="77777777" w:rsidR="004F4F92" w:rsidRPr="00C1729E" w:rsidRDefault="004F4F92" w:rsidP="009941AE">
      <w:pPr>
        <w:spacing w:after="60" w:line="240" w:lineRule="auto"/>
        <w:ind w:left="360"/>
        <w:jc w:val="both"/>
        <w:rPr>
          <w:sz w:val="24"/>
          <w:szCs w:val="24"/>
        </w:rPr>
      </w:pPr>
      <w:r w:rsidRPr="00C1729E">
        <w:rPr>
          <w:rFonts w:cs="Arial"/>
          <w:i/>
          <w:sz w:val="24"/>
          <w:szCs w:val="24"/>
        </w:rPr>
        <w:t>Conform PNR 2019, valorile istorice și cele prognozate asociate emisiilor de gaze cu efect de seră arată că România își va respecta limita privind emisiile asumată conform Deciziei nr. 406/2009/CE privind efortul statelor membre de a reduce emisiile de gaze cu efect de seră astfel încât să respecte angajamentele UE de reducere a emisiilor de gaze cu efect de seră până în 2020</w:t>
      </w:r>
      <w:r w:rsidRPr="00C1729E">
        <w:rPr>
          <w:sz w:val="24"/>
          <w:szCs w:val="24"/>
        </w:rPr>
        <w:t>.</w:t>
      </w:r>
    </w:p>
    <w:p w14:paraId="29B31C31"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lastRenderedPageBreak/>
        <w:t>În procesul de elaborare a programelor s-a asigurat sinergia între CRESC și finanțările ESI așa încât a rezultat că 27,53% din alocarea națională de la nivelul Acordului de Parteneriat vizează sprijinul pentru acțiunile dedicate reducerii emisiilor de gaze cu efect de seră.</w:t>
      </w:r>
    </w:p>
    <w:p w14:paraId="574D47C2" w14:textId="4E7A89DE" w:rsidR="004F4F92" w:rsidRPr="00C1729E" w:rsidRDefault="004F4F92" w:rsidP="009941AE">
      <w:pPr>
        <w:numPr>
          <w:ilvl w:val="1"/>
          <w:numId w:val="2"/>
        </w:numPr>
        <w:spacing w:after="60" w:line="240" w:lineRule="auto"/>
        <w:ind w:left="360"/>
        <w:jc w:val="both"/>
        <w:rPr>
          <w:sz w:val="24"/>
          <w:szCs w:val="24"/>
        </w:rPr>
      </w:pPr>
      <w:r w:rsidRPr="00C1729E">
        <w:rPr>
          <w:sz w:val="24"/>
          <w:szCs w:val="24"/>
        </w:rPr>
        <w:t>În termeni de alocare, sprijinul acordat obiectivelor legate de schimbările climatice la nivelul programelor este următoarea: POIM 26,62%, POR 25,25%, POC 1,13%, POCU 1,22%, POCA 0,22%, PNDR 45,78%, POPAM 1</w:t>
      </w:r>
      <w:r w:rsidR="00D73238">
        <w:rPr>
          <w:sz w:val="24"/>
          <w:szCs w:val="24"/>
        </w:rPr>
        <w:t>8</w:t>
      </w:r>
      <w:r w:rsidRPr="00C1729E">
        <w:rPr>
          <w:sz w:val="24"/>
          <w:szCs w:val="24"/>
        </w:rPr>
        <w:t>,</w:t>
      </w:r>
      <w:r w:rsidR="00D73238">
        <w:rPr>
          <w:sz w:val="24"/>
          <w:szCs w:val="24"/>
        </w:rPr>
        <w:t>01</w:t>
      </w:r>
      <w:r w:rsidRPr="00C1729E">
        <w:rPr>
          <w:sz w:val="24"/>
          <w:szCs w:val="24"/>
        </w:rPr>
        <w:t xml:space="preserve">8%. </w:t>
      </w:r>
    </w:p>
    <w:p w14:paraId="4AC6D403"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 xml:space="preserve">În termeni de implementare, POIM contribuie la măsurile de diminuare a emisiilor de GES din sectorul energiei și de stimulare a producerii de energie din surse nepoluante, prin 3 proiecte integrate de termoficare (11,89 mil. €). Pentru sectorul transporturi este sprijinită dezvoltarea unui sistem de transport eficient economic, sustenabil, sigur şi cu un impact redus asupra mediului, prin finanţarea proiectelor destinate creşterii gradului de siguranţă şi îmbunătăţirii condiţiilor de mediu pentru toate tipurile de transport, precum şi a celor pentru creşterea gradului de utilizare sustenabilă a aeroporturilor. Este finanțată de asemenea, consolidarea și extinderea sistemelor integrate de management al deșeurilor prin proiecte care dezvoltă sisteme integrate de management al deșeurilor sau care au ca obiectiv realizarea de instalații de valorificare energetică cu cogenerare de înaltă eficiență (18 proiecte </w:t>
      </w:r>
      <w:proofErr w:type="spellStart"/>
      <w:r w:rsidRPr="00C1729E">
        <w:rPr>
          <w:sz w:val="24"/>
          <w:szCs w:val="24"/>
        </w:rPr>
        <w:t>fazate</w:t>
      </w:r>
      <w:proofErr w:type="spellEnd"/>
      <w:r w:rsidRPr="00C1729E">
        <w:rPr>
          <w:sz w:val="24"/>
          <w:szCs w:val="24"/>
        </w:rPr>
        <w:t xml:space="preserve"> de dezvoltare a sistemelor integrate de management al deșeurilor, în valoare totală de 203,67 mil. €, prin a căror implementare se va ajunge la o capacitate suplimentară de reciclare a deșeurilor de 966.732 t/an).</w:t>
      </w:r>
      <w:r w:rsidRPr="00C1729E" w:rsidDel="00566D6A">
        <w:rPr>
          <w:sz w:val="24"/>
          <w:szCs w:val="24"/>
        </w:rPr>
        <w:t xml:space="preserve"> </w:t>
      </w:r>
    </w:p>
    <w:p w14:paraId="48C05E91" w14:textId="1A2B8339" w:rsidR="004F4F92" w:rsidRPr="00C1729E" w:rsidRDefault="004F4F92" w:rsidP="009941AE">
      <w:pPr>
        <w:numPr>
          <w:ilvl w:val="1"/>
          <w:numId w:val="2"/>
        </w:numPr>
        <w:spacing w:after="60" w:line="240" w:lineRule="auto"/>
        <w:ind w:left="360"/>
        <w:jc w:val="both"/>
        <w:rPr>
          <w:sz w:val="24"/>
          <w:szCs w:val="24"/>
        </w:rPr>
      </w:pPr>
      <w:r w:rsidRPr="00C1729E">
        <w:rPr>
          <w:sz w:val="24"/>
          <w:szCs w:val="24"/>
        </w:rPr>
        <w:t xml:space="preserve">POR sprijină dezvoltarea mobilității urbane durabile prin finanțarea proiectelor având ca scop reducerea dependenței de utilizare a autoturismelor, prin dezvoltarea unui sistem de transport public de călători eficient și stimularea mobilității. 1,74 mld. € sunt alocate pentru proiecte destinate achiziționării de mijloace de transport public (material rulant - tramvaie, troleibuze și autobuze electrice) ce pot fi echipate cu softuri și echipamente aferente sistemelor de bilete integrate pentru călători (e-bilete sau </w:t>
      </w:r>
      <w:proofErr w:type="spellStart"/>
      <w:r w:rsidRPr="00C1729E">
        <w:rPr>
          <w:sz w:val="24"/>
          <w:szCs w:val="24"/>
        </w:rPr>
        <w:t>e-ticketing</w:t>
      </w:r>
      <w:proofErr w:type="spellEnd"/>
      <w:r w:rsidRPr="00C1729E">
        <w:rPr>
          <w:sz w:val="24"/>
          <w:szCs w:val="24"/>
        </w:rPr>
        <w:t>), sistemelor de management al traficului și a altor STI. De asemenea, sunt finanțate investiții vizând reconversia și/sau reutilizarea terenurilor neutilizate și abandonate și transformarea lor în zone de agrement și recreere pentru populație (FEDR - 197,60 mil. €).</w:t>
      </w:r>
    </w:p>
    <w:p w14:paraId="16F8B499"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PNDR susține utilizarea eficientă a resurselor și sprijinirea tranziției către o economie cu emisii reduse de carbon și rezistentă la schimbările climatice în sectoarele agricol, alimentar și silvic (290,2 mil. € FEADR).</w:t>
      </w:r>
    </w:p>
    <w:p w14:paraId="5E3515D7" w14:textId="77777777" w:rsidR="004F4F92" w:rsidRPr="00C1729E" w:rsidRDefault="004F4F92" w:rsidP="009941AE">
      <w:pPr>
        <w:numPr>
          <w:ilvl w:val="0"/>
          <w:numId w:val="1"/>
        </w:numPr>
        <w:shd w:val="clear" w:color="auto" w:fill="DAEEF3" w:themeFill="accent5" w:themeFillTint="33"/>
        <w:spacing w:after="60" w:line="240" w:lineRule="auto"/>
        <w:jc w:val="both"/>
        <w:rPr>
          <w:sz w:val="24"/>
          <w:szCs w:val="24"/>
          <w:u w:val="single"/>
        </w:rPr>
      </w:pPr>
      <w:r w:rsidRPr="00C1729E">
        <w:rPr>
          <w:sz w:val="24"/>
          <w:szCs w:val="24"/>
          <w:u w:val="single"/>
        </w:rPr>
        <w:t>ponderea energiei din surse regenerabile în consumul final brut – 24%</w:t>
      </w:r>
      <w:r w:rsidRPr="00C1729E">
        <w:rPr>
          <w:sz w:val="24"/>
          <w:szCs w:val="24"/>
        </w:rPr>
        <w:t xml:space="preserve"> </w:t>
      </w:r>
    </w:p>
    <w:p w14:paraId="3593C527" w14:textId="77777777" w:rsidR="004F4F92" w:rsidRPr="00C1729E" w:rsidRDefault="004F4F92" w:rsidP="009941AE">
      <w:pPr>
        <w:spacing w:after="60" w:line="240" w:lineRule="auto"/>
        <w:jc w:val="both"/>
        <w:rPr>
          <w:i/>
          <w:sz w:val="24"/>
          <w:szCs w:val="24"/>
          <w:u w:val="single"/>
        </w:rPr>
      </w:pPr>
      <w:r w:rsidRPr="00C1729E">
        <w:rPr>
          <w:i/>
          <w:sz w:val="24"/>
          <w:szCs w:val="24"/>
        </w:rPr>
        <w:t>În anul 2017, ponderea energiei din surse regenerabile în consumul final brut de energie a fost de 24,5%. Valorile indicatorului pentru anii 2014-2017 depășesc atât ținta europeană (20%), cât și ținta națională asumată (24%), așa cum au fost stabilite pentru anul 2020.</w:t>
      </w:r>
    </w:p>
    <w:p w14:paraId="00FF402A"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 xml:space="preserve">prin POIM au fost lansate apeluri de proiecte </w:t>
      </w:r>
      <w:r w:rsidRPr="00C1729E">
        <w:rPr>
          <w:spacing w:val="-4"/>
          <w:sz w:val="24"/>
          <w:szCs w:val="24"/>
        </w:rPr>
        <w:t xml:space="preserve">(22,3 mil. €, din care 18,95 mil. € FEDR) </w:t>
      </w:r>
      <w:r w:rsidRPr="00C1729E">
        <w:rPr>
          <w:sz w:val="24"/>
          <w:szCs w:val="24"/>
        </w:rPr>
        <w:t>pentru dezvoltarea infrastructurii de distribuție de energie din surse alternative – sector distribuție.</w:t>
      </w:r>
    </w:p>
    <w:p w14:paraId="5B4D3A50" w14:textId="77777777" w:rsidR="004F4F92" w:rsidRPr="00C1729E" w:rsidRDefault="004F4F92" w:rsidP="009941AE">
      <w:pPr>
        <w:numPr>
          <w:ilvl w:val="0"/>
          <w:numId w:val="1"/>
        </w:numPr>
        <w:shd w:val="clear" w:color="auto" w:fill="DAEEF3" w:themeFill="accent5" w:themeFillTint="33"/>
        <w:spacing w:after="60" w:line="240" w:lineRule="auto"/>
        <w:jc w:val="both"/>
        <w:rPr>
          <w:sz w:val="24"/>
          <w:szCs w:val="24"/>
          <w:u w:val="single"/>
        </w:rPr>
      </w:pPr>
      <w:r w:rsidRPr="00C1729E">
        <w:rPr>
          <w:sz w:val="24"/>
          <w:szCs w:val="24"/>
          <w:u w:val="single"/>
        </w:rPr>
        <w:t>creșterea eficienței energetice – 19%</w:t>
      </w:r>
      <w:r w:rsidRPr="00C1729E">
        <w:rPr>
          <w:sz w:val="24"/>
          <w:szCs w:val="24"/>
        </w:rPr>
        <w:t xml:space="preserve"> </w:t>
      </w:r>
    </w:p>
    <w:p w14:paraId="3CC2EB9A" w14:textId="4E07F1E0" w:rsidR="004F4F92" w:rsidRPr="00C1729E" w:rsidRDefault="004F4F92" w:rsidP="009941AE">
      <w:pPr>
        <w:shd w:val="clear" w:color="auto" w:fill="FFFFFF"/>
        <w:spacing w:after="60" w:line="240" w:lineRule="auto"/>
        <w:jc w:val="both"/>
        <w:rPr>
          <w:i/>
          <w:sz w:val="24"/>
          <w:szCs w:val="24"/>
        </w:rPr>
      </w:pPr>
      <w:r w:rsidRPr="00C1729E">
        <w:rPr>
          <w:i/>
          <w:sz w:val="24"/>
          <w:szCs w:val="24"/>
        </w:rPr>
        <w:t xml:space="preserve">În anul 2017, consumul final de energie a fost de 23,3 </w:t>
      </w:r>
      <w:proofErr w:type="spellStart"/>
      <w:r w:rsidRPr="00C1729E">
        <w:rPr>
          <w:i/>
          <w:sz w:val="24"/>
          <w:szCs w:val="24"/>
        </w:rPr>
        <w:t>Mtep</w:t>
      </w:r>
      <w:proofErr w:type="spellEnd"/>
      <w:r w:rsidRPr="00C1729E">
        <w:rPr>
          <w:i/>
          <w:sz w:val="24"/>
          <w:szCs w:val="24"/>
        </w:rPr>
        <w:t xml:space="preserve">. Valorile istorice și cele prognozate asociate consumului final de energie din România se mențin la un nivel inferior limitei asumate pentru anul 2020 (30,3 </w:t>
      </w:r>
      <w:proofErr w:type="spellStart"/>
      <w:r w:rsidRPr="00C1729E">
        <w:rPr>
          <w:i/>
          <w:sz w:val="24"/>
          <w:szCs w:val="24"/>
        </w:rPr>
        <w:t>Mtep</w:t>
      </w:r>
      <w:proofErr w:type="spellEnd"/>
      <w:r w:rsidRPr="00C1729E">
        <w:rPr>
          <w:i/>
          <w:sz w:val="24"/>
          <w:szCs w:val="24"/>
        </w:rPr>
        <w:t>).</w:t>
      </w:r>
    </w:p>
    <w:p w14:paraId="1CD53E67" w14:textId="77777777" w:rsidR="004F4F92" w:rsidRPr="00C1729E" w:rsidRDefault="004F4F92" w:rsidP="009941AE">
      <w:pPr>
        <w:numPr>
          <w:ilvl w:val="1"/>
          <w:numId w:val="2"/>
        </w:numPr>
        <w:spacing w:after="60" w:line="240" w:lineRule="auto"/>
        <w:ind w:left="360"/>
        <w:jc w:val="both"/>
        <w:rPr>
          <w:sz w:val="24"/>
          <w:szCs w:val="24"/>
          <w:u w:val="single"/>
        </w:rPr>
      </w:pPr>
      <w:r w:rsidRPr="00C1729E">
        <w:rPr>
          <w:sz w:val="24"/>
          <w:szCs w:val="24"/>
        </w:rPr>
        <w:t>în cadrul</w:t>
      </w:r>
      <w:r w:rsidRPr="00C1729E">
        <w:rPr>
          <w:i/>
          <w:sz w:val="24"/>
          <w:szCs w:val="24"/>
        </w:rPr>
        <w:t xml:space="preserve"> </w:t>
      </w:r>
      <w:r w:rsidRPr="00C1729E">
        <w:rPr>
          <w:sz w:val="24"/>
          <w:szCs w:val="24"/>
        </w:rPr>
        <w:t>POIM</w:t>
      </w:r>
      <w:r w:rsidRPr="00C1729E">
        <w:rPr>
          <w:i/>
          <w:sz w:val="24"/>
          <w:szCs w:val="24"/>
        </w:rPr>
        <w:t xml:space="preserve"> </w:t>
      </w:r>
      <w:r w:rsidRPr="00AC6E75">
        <w:rPr>
          <w:sz w:val="24"/>
          <w:szCs w:val="24"/>
        </w:rPr>
        <w:t>şi POR</w:t>
      </w:r>
      <w:r w:rsidRPr="00C1729E">
        <w:rPr>
          <w:i/>
          <w:sz w:val="24"/>
          <w:szCs w:val="24"/>
        </w:rPr>
        <w:t xml:space="preserve"> </w:t>
      </w:r>
      <w:r w:rsidRPr="00C1729E">
        <w:rPr>
          <w:sz w:val="24"/>
          <w:szCs w:val="24"/>
        </w:rPr>
        <w:t>au fost lansate apeluri de proiecte pentru obiectivele specifice care vizează creşterea eficienţei energetice.</w:t>
      </w:r>
    </w:p>
    <w:p w14:paraId="3BC7A586"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POR implementează un pachet de măsuri care vizează creșterea eficienței energetice a clădirilor rezidențiale și publice și a sistemelor de iluminat public. Alocarea (FEDR și buget de stat) este de 1.110 mil. €, din care s-au efectuat plăți către beneficiari în valoare de 62,82mil. € până la 31 dec. 2018.</w:t>
      </w:r>
    </w:p>
    <w:p w14:paraId="7525D0AE" w14:textId="0677C99D" w:rsidR="004F4F92" w:rsidRPr="00C1729E" w:rsidRDefault="004F4F92" w:rsidP="009941AE">
      <w:pPr>
        <w:numPr>
          <w:ilvl w:val="1"/>
          <w:numId w:val="2"/>
        </w:numPr>
        <w:spacing w:after="60" w:line="240" w:lineRule="auto"/>
        <w:ind w:left="360"/>
        <w:jc w:val="both"/>
        <w:rPr>
          <w:sz w:val="24"/>
          <w:szCs w:val="24"/>
        </w:rPr>
      </w:pPr>
      <w:r w:rsidRPr="00C1729E">
        <w:rPr>
          <w:sz w:val="24"/>
          <w:szCs w:val="24"/>
        </w:rPr>
        <w:lastRenderedPageBreak/>
        <w:t>POIM promovează sisteme de măsură, evidență și monitorizare a</w:t>
      </w:r>
      <w:r w:rsidRPr="00C1729E">
        <w:rPr>
          <w:sz w:val="24"/>
          <w:szCs w:val="24"/>
          <w:u w:val="single"/>
        </w:rPr>
        <w:t xml:space="preserve"> </w:t>
      </w:r>
      <w:r w:rsidRPr="00C1729E">
        <w:rPr>
          <w:sz w:val="24"/>
          <w:szCs w:val="24"/>
        </w:rPr>
        <w:t>consumurilor de energie de pe platformele industriale (alocat 12,50 mil. €), fiind aprobate și contractate 15 proiecte, în valoare totală de 2,69 mil. €. Totodată este susținută realizarea și modernizarea centralelor electrice de cogenerare de înaltă eficiență (max</w:t>
      </w:r>
      <w:r w:rsidR="00AC6E75">
        <w:rPr>
          <w:sz w:val="24"/>
          <w:szCs w:val="24"/>
        </w:rPr>
        <w:t xml:space="preserve">. </w:t>
      </w:r>
      <w:r w:rsidRPr="00C1729E">
        <w:rPr>
          <w:sz w:val="24"/>
          <w:szCs w:val="24"/>
        </w:rPr>
        <w:t xml:space="preserve">8 </w:t>
      </w:r>
      <w:proofErr w:type="spellStart"/>
      <w:r w:rsidRPr="00C1729E">
        <w:rPr>
          <w:sz w:val="24"/>
          <w:szCs w:val="24"/>
        </w:rPr>
        <w:t>MWe</w:t>
      </w:r>
      <w:proofErr w:type="spellEnd"/>
      <w:r w:rsidRPr="00C1729E">
        <w:rPr>
          <w:sz w:val="24"/>
          <w:szCs w:val="24"/>
        </w:rPr>
        <w:t>) pe gaz natural și biomasă, la nivelul întreprinderilor și care utilizează gaze reziduale provenite din procese in</w:t>
      </w:r>
      <w:r w:rsidR="00AC6E75">
        <w:rPr>
          <w:sz w:val="24"/>
          <w:szCs w:val="24"/>
        </w:rPr>
        <w:t xml:space="preserve">dustriale (alocare - 67,58 </w:t>
      </w:r>
      <w:proofErr w:type="spellStart"/>
      <w:r w:rsidR="00AC6E75">
        <w:rPr>
          <w:sz w:val="24"/>
          <w:szCs w:val="24"/>
        </w:rPr>
        <w:t>mil.</w:t>
      </w:r>
      <w:r w:rsidRPr="00C1729E">
        <w:rPr>
          <w:sz w:val="24"/>
          <w:szCs w:val="24"/>
        </w:rPr>
        <w:t>€</w:t>
      </w:r>
      <w:proofErr w:type="spellEnd"/>
      <w:r w:rsidRPr="00C1729E">
        <w:rPr>
          <w:sz w:val="24"/>
          <w:szCs w:val="24"/>
        </w:rPr>
        <w:t>), precum și modernizarea sistemelor centralizate de transport și distribuție a energiei termice din anumite orașe (alocare - 105,77 mil. €).</w:t>
      </w:r>
    </w:p>
    <w:p w14:paraId="46C39C98" w14:textId="77777777" w:rsidR="004F4F92" w:rsidRPr="00C1729E" w:rsidRDefault="004F4F92" w:rsidP="009941AE">
      <w:pPr>
        <w:numPr>
          <w:ilvl w:val="0"/>
          <w:numId w:val="1"/>
        </w:numPr>
        <w:shd w:val="clear" w:color="auto" w:fill="DAEEF3" w:themeFill="accent5" w:themeFillTint="33"/>
        <w:spacing w:after="60" w:line="240" w:lineRule="auto"/>
        <w:jc w:val="both"/>
        <w:rPr>
          <w:sz w:val="24"/>
          <w:szCs w:val="24"/>
        </w:rPr>
      </w:pPr>
      <w:r w:rsidRPr="00C1729E">
        <w:rPr>
          <w:sz w:val="24"/>
          <w:szCs w:val="24"/>
          <w:u w:val="single"/>
        </w:rPr>
        <w:t>rata părăsirii timpurii a școlii –  țintă RO 2020: 11,3%</w:t>
      </w:r>
    </w:p>
    <w:p w14:paraId="595B56F2" w14:textId="43C8E9C1" w:rsidR="004F4F92" w:rsidRPr="00C1729E" w:rsidRDefault="004F4F92" w:rsidP="009941AE">
      <w:pPr>
        <w:shd w:val="clear" w:color="auto" w:fill="FFFFFF"/>
        <w:spacing w:after="60" w:line="240" w:lineRule="auto"/>
        <w:jc w:val="both"/>
        <w:rPr>
          <w:i/>
          <w:sz w:val="24"/>
          <w:szCs w:val="24"/>
        </w:rPr>
      </w:pPr>
      <w:r w:rsidRPr="00C1729E">
        <w:rPr>
          <w:i/>
          <w:sz w:val="24"/>
          <w:szCs w:val="24"/>
        </w:rPr>
        <w:t xml:space="preserve">Rata părăsirii timpurii a </w:t>
      </w:r>
      <w:proofErr w:type="spellStart"/>
      <w:r w:rsidRPr="00C1729E">
        <w:rPr>
          <w:i/>
          <w:sz w:val="24"/>
          <w:szCs w:val="24"/>
        </w:rPr>
        <w:t>șco</w:t>
      </w:r>
      <w:proofErr w:type="spellEnd"/>
      <w:r w:rsidR="00074B3A">
        <w:rPr>
          <w:i/>
          <w:sz w:val="24"/>
          <w:szCs w:val="24"/>
        </w:rPr>
        <w:t xml:space="preserve">  </w:t>
      </w:r>
      <w:proofErr w:type="spellStart"/>
      <w:r w:rsidRPr="00C1729E">
        <w:rPr>
          <w:i/>
          <w:sz w:val="24"/>
          <w:szCs w:val="24"/>
        </w:rPr>
        <w:t>lii</w:t>
      </w:r>
      <w:proofErr w:type="spellEnd"/>
      <w:r w:rsidRPr="00C1729E">
        <w:rPr>
          <w:i/>
          <w:sz w:val="24"/>
          <w:szCs w:val="24"/>
        </w:rPr>
        <w:t xml:space="preserve"> a fost în 2018 de 16,4%, în scădere fată de 2016 cu 2,</w:t>
      </w:r>
      <w:r w:rsidR="00B05BAC">
        <w:rPr>
          <w:i/>
          <w:sz w:val="24"/>
          <w:szCs w:val="24"/>
        </w:rPr>
        <w:t>1</w:t>
      </w:r>
      <w:r w:rsidRPr="00C1729E">
        <w:rPr>
          <w:i/>
          <w:sz w:val="24"/>
          <w:szCs w:val="24"/>
        </w:rPr>
        <w:t xml:space="preserve"> </w:t>
      </w:r>
      <w:proofErr w:type="spellStart"/>
      <w:r w:rsidRPr="00C1729E">
        <w:rPr>
          <w:i/>
          <w:sz w:val="24"/>
          <w:szCs w:val="24"/>
        </w:rPr>
        <w:t>p.p</w:t>
      </w:r>
      <w:proofErr w:type="spellEnd"/>
      <w:r w:rsidRPr="00C1729E">
        <w:rPr>
          <w:i/>
          <w:sz w:val="24"/>
          <w:szCs w:val="24"/>
        </w:rPr>
        <w:t>.</w:t>
      </w:r>
    </w:p>
    <w:p w14:paraId="2023790D"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FSE prin POCU finanțează măsuri integrate socio-educaționale care vizează în același timp familia, școala și comunitatea (”Școală pentru toți” - 173,2 mil. €) și școlile cu cel mai ridicat grad de defavorizare, cu mulți copii aflați în risc de abandon școlar și care nu reușesc să atragă sau să mențină în școală profesorii calificați (”Profesori motivați în școli defavorizate - alocare totală de 25 mil. €). Programul ”A doua șansă” (alocare FSE - 138mil. €) este destinat unor activități care să readucă în sistemul de educație și formare tineri și adulți care nu și-au finalizat educația obligatorie, precum și unor activități menite să asigure perfecționarea profesională specializată pentru personalul didactic din învățământul preuniversitar.</w:t>
      </w:r>
    </w:p>
    <w:p w14:paraId="0BE7BA39" w14:textId="0DC50252" w:rsidR="004F4F92" w:rsidRPr="00C1729E" w:rsidRDefault="004F4F92" w:rsidP="009941AE">
      <w:pPr>
        <w:numPr>
          <w:ilvl w:val="1"/>
          <w:numId w:val="2"/>
        </w:numPr>
        <w:spacing w:after="60" w:line="240" w:lineRule="auto"/>
        <w:ind w:left="360"/>
        <w:jc w:val="both"/>
        <w:rPr>
          <w:sz w:val="24"/>
          <w:szCs w:val="24"/>
        </w:rPr>
      </w:pPr>
      <w:r w:rsidRPr="00C1729E">
        <w:rPr>
          <w:sz w:val="24"/>
          <w:szCs w:val="24"/>
        </w:rPr>
        <w:t>În vederea suplimentării sumei alocate anual</w:t>
      </w:r>
      <w:r w:rsidR="00074B3A">
        <w:rPr>
          <w:sz w:val="24"/>
          <w:szCs w:val="24"/>
        </w:rPr>
        <w:t xml:space="preserve"> </w:t>
      </w:r>
      <w:r w:rsidRPr="00C1729E">
        <w:rPr>
          <w:sz w:val="24"/>
          <w:szCs w:val="24"/>
        </w:rPr>
        <w:t xml:space="preserve"> programului național de rechizite școlare, de la bugetul de stat, s-a semnat contractul aferent proiectului Rechizite pentru preșcolari și elevi – șanse egale la educație, finanțat prin POAD, cu un buget de 27 mil. € până în 2023. Numărul potențial de elevi beneficiari este de 360.150, distribuția fiind demarată în cursul anului 2019.</w:t>
      </w:r>
    </w:p>
    <w:p w14:paraId="53DFCFA8" w14:textId="77777777" w:rsidR="004F4F92" w:rsidRPr="00C1729E" w:rsidRDefault="004F4F92" w:rsidP="009941AE">
      <w:pPr>
        <w:numPr>
          <w:ilvl w:val="0"/>
          <w:numId w:val="1"/>
        </w:numPr>
        <w:shd w:val="clear" w:color="auto" w:fill="DAEEF3" w:themeFill="accent5" w:themeFillTint="33"/>
        <w:spacing w:after="60" w:line="240" w:lineRule="auto"/>
        <w:jc w:val="both"/>
        <w:rPr>
          <w:sz w:val="24"/>
          <w:szCs w:val="24"/>
        </w:rPr>
      </w:pPr>
      <w:r w:rsidRPr="00C1729E">
        <w:rPr>
          <w:sz w:val="24"/>
          <w:szCs w:val="24"/>
          <w:u w:val="single"/>
        </w:rPr>
        <w:t>rata populației cu vârstă de 30-34 ani absolventă a unei forme de educație terțiară – țintă RO 2020:  26,7%</w:t>
      </w:r>
    </w:p>
    <w:p w14:paraId="4C2E4DA7" w14:textId="77777777" w:rsidR="004F4F92" w:rsidRPr="00C1729E" w:rsidRDefault="004F4F92" w:rsidP="009941AE">
      <w:pPr>
        <w:shd w:val="clear" w:color="auto" w:fill="FFFFFF"/>
        <w:spacing w:after="60" w:line="240" w:lineRule="auto"/>
        <w:jc w:val="both"/>
        <w:rPr>
          <w:sz w:val="24"/>
          <w:szCs w:val="24"/>
        </w:rPr>
      </w:pPr>
      <w:r w:rsidRPr="00C1729E">
        <w:rPr>
          <w:i/>
          <w:sz w:val="24"/>
          <w:szCs w:val="24"/>
        </w:rPr>
        <w:t xml:space="preserve">Ponderea populației cu vârsta de 30-34 ani cu nivel de educație terțiară a fost în 2018 de 24,6%. </w:t>
      </w:r>
      <w:r w:rsidRPr="00C1729E">
        <w:rPr>
          <w:sz w:val="24"/>
          <w:szCs w:val="24"/>
        </w:rPr>
        <w:t xml:space="preserve">POCU susține </w:t>
      </w:r>
      <w:r w:rsidRPr="00C1729E">
        <w:rPr>
          <w:i/>
          <w:sz w:val="24"/>
          <w:szCs w:val="24"/>
        </w:rPr>
        <w:t>Măsuri integrate pentru creșterea participării studenților din categorii vulnerabile la programe antreprenoriale</w:t>
      </w:r>
      <w:r w:rsidRPr="00C1729E">
        <w:rPr>
          <w:sz w:val="24"/>
          <w:szCs w:val="24"/>
        </w:rPr>
        <w:t xml:space="preserve"> prin 18 proiecte contractate în valoare totală de 28,25 mil de € care vizează creșterea accesului și echității prin sprijin financiar studenților din categorii vulnerabile, precum și </w:t>
      </w:r>
      <w:r w:rsidRPr="00C1729E">
        <w:rPr>
          <w:i/>
          <w:sz w:val="24"/>
          <w:szCs w:val="24"/>
        </w:rPr>
        <w:t xml:space="preserve">Măsuri de optimizare a ofertelor de studii din învățământul superior în sprijinul </w:t>
      </w:r>
      <w:proofErr w:type="spellStart"/>
      <w:r w:rsidRPr="00C1729E">
        <w:rPr>
          <w:i/>
          <w:sz w:val="24"/>
          <w:szCs w:val="24"/>
        </w:rPr>
        <w:t>angajabilității</w:t>
      </w:r>
      <w:proofErr w:type="spellEnd"/>
      <w:r w:rsidRPr="00C1729E">
        <w:rPr>
          <w:sz w:val="24"/>
          <w:szCs w:val="24"/>
        </w:rPr>
        <w:t>, prin 11 proiecte în valoare de 13,058 mil. care vizează dezvoltarea și pilotarea furnizării de cursuri complementare cu componentă aplicativă adresate studenților din ciclul de studii de licență.</w:t>
      </w:r>
    </w:p>
    <w:p w14:paraId="2765CF8B" w14:textId="77777777" w:rsidR="004F4F92" w:rsidRPr="00C1729E" w:rsidRDefault="004F4F92" w:rsidP="009941AE">
      <w:pPr>
        <w:keepNext/>
        <w:keepLines/>
        <w:widowControl w:val="0"/>
        <w:numPr>
          <w:ilvl w:val="0"/>
          <w:numId w:val="1"/>
        </w:numPr>
        <w:shd w:val="clear" w:color="auto" w:fill="DAEEF3" w:themeFill="accent5" w:themeFillTint="33"/>
        <w:tabs>
          <w:tab w:val="num" w:pos="360"/>
        </w:tabs>
        <w:autoSpaceDE w:val="0"/>
        <w:autoSpaceDN w:val="0"/>
        <w:adjustRightInd w:val="0"/>
        <w:spacing w:after="60" w:line="240" w:lineRule="auto"/>
        <w:jc w:val="both"/>
        <w:rPr>
          <w:sz w:val="24"/>
          <w:szCs w:val="24"/>
        </w:rPr>
      </w:pPr>
      <w:r w:rsidRPr="00C1729E">
        <w:rPr>
          <w:sz w:val="24"/>
          <w:szCs w:val="24"/>
          <w:u w:val="single"/>
        </w:rPr>
        <w:t>promovarea incluziunii sociale, în special prin reducerea sărăciei - reducerea cu 580.000 a numărului de persoane aflate în risc de sărăcie sau excluziune socială față de anul 2008</w:t>
      </w:r>
      <w:r w:rsidRPr="00C1729E">
        <w:rPr>
          <w:sz w:val="24"/>
          <w:szCs w:val="24"/>
        </w:rPr>
        <w:t xml:space="preserve"> </w:t>
      </w:r>
    </w:p>
    <w:p w14:paraId="07D7D31A" w14:textId="600DD998" w:rsidR="004F4F92" w:rsidRPr="00C1729E" w:rsidRDefault="004F4F92" w:rsidP="009941AE">
      <w:pPr>
        <w:spacing w:after="60" w:line="240" w:lineRule="auto"/>
        <w:jc w:val="both"/>
        <w:rPr>
          <w:i/>
          <w:sz w:val="24"/>
          <w:szCs w:val="24"/>
        </w:rPr>
      </w:pPr>
      <w:r w:rsidRPr="00C1729E">
        <w:rPr>
          <w:i/>
          <w:sz w:val="24"/>
          <w:szCs w:val="24"/>
        </w:rPr>
        <w:t>În anul 201</w:t>
      </w:r>
      <w:r w:rsidR="00B05BAC">
        <w:rPr>
          <w:i/>
          <w:sz w:val="24"/>
          <w:szCs w:val="24"/>
        </w:rPr>
        <w:t>8</w:t>
      </w:r>
      <w:r w:rsidRPr="00C1729E">
        <w:rPr>
          <w:i/>
          <w:sz w:val="24"/>
          <w:szCs w:val="24"/>
        </w:rPr>
        <w:t xml:space="preserve">, numărul persoanelor aflate în risc de sărăcie sau excluziune socială a înregistrat o scădere notabilă la </w:t>
      </w:r>
      <w:r w:rsidR="00B05BAC">
        <w:rPr>
          <w:i/>
          <w:sz w:val="24"/>
          <w:szCs w:val="24"/>
        </w:rPr>
        <w:t>6.360</w:t>
      </w:r>
      <w:r w:rsidRPr="00C1729E">
        <w:rPr>
          <w:i/>
          <w:sz w:val="24"/>
          <w:szCs w:val="24"/>
        </w:rPr>
        <w:t xml:space="preserve"> mii persoane față de 9.115 mii persoane în anul 2008, adică o reducere cu </w:t>
      </w:r>
      <w:r w:rsidR="00B05BAC">
        <w:rPr>
          <w:i/>
          <w:sz w:val="24"/>
          <w:szCs w:val="24"/>
        </w:rPr>
        <w:t>42.755</w:t>
      </w:r>
      <w:r w:rsidRPr="00C1729E">
        <w:rPr>
          <w:i/>
          <w:sz w:val="24"/>
          <w:szCs w:val="24"/>
        </w:rPr>
        <w:t xml:space="preserve"> mii persoane.</w:t>
      </w:r>
    </w:p>
    <w:p w14:paraId="7DCA4A7C" w14:textId="77777777" w:rsidR="004F4F92" w:rsidRPr="00C1729E" w:rsidRDefault="004F4F92" w:rsidP="009941AE">
      <w:pPr>
        <w:numPr>
          <w:ilvl w:val="1"/>
          <w:numId w:val="2"/>
        </w:numPr>
        <w:spacing w:after="60" w:line="240" w:lineRule="auto"/>
        <w:ind w:left="360"/>
        <w:contextualSpacing/>
        <w:jc w:val="both"/>
        <w:rPr>
          <w:sz w:val="24"/>
          <w:szCs w:val="24"/>
        </w:rPr>
      </w:pPr>
      <w:r w:rsidRPr="00C1729E">
        <w:rPr>
          <w:sz w:val="24"/>
          <w:szCs w:val="24"/>
        </w:rPr>
        <w:t>FSE</w:t>
      </w:r>
      <w:r w:rsidRPr="00C1729E">
        <w:rPr>
          <w:i/>
          <w:sz w:val="24"/>
          <w:szCs w:val="24"/>
        </w:rPr>
        <w:t xml:space="preserve"> </w:t>
      </w:r>
      <w:r w:rsidRPr="00C1729E">
        <w:rPr>
          <w:sz w:val="24"/>
          <w:szCs w:val="24"/>
        </w:rPr>
        <w:t>finanțează</w:t>
      </w:r>
      <w:r w:rsidRPr="00C1729E">
        <w:rPr>
          <w:i/>
          <w:sz w:val="24"/>
          <w:szCs w:val="24"/>
        </w:rPr>
        <w:t xml:space="preserve"> integrarea socio-economică a persoanelor din comunităţile marginalizate</w:t>
      </w:r>
      <w:r w:rsidRPr="00C1729E">
        <w:rPr>
          <w:sz w:val="24"/>
          <w:szCs w:val="24"/>
        </w:rPr>
        <w:t xml:space="preserve"> printr-o serie de intervenții integrate care facilitează accesul la educaţia timpurie, la piaţa muncii sau la servicii sociale şi medicale, vor îmbunătăţi condiţiile de locuit, etc. Până la 31.12.2018 au fost lansate patru apeluri de proiecte (359,3mil. € din care FSE 305,2mil. €) dedicate dezvoltării locale integrate în comunităţile marginalizate, inclusiv pentru cele în care există populaţie de etnie romă, atât pentru zonele dezvoltate, cât şi cele mai puţin dezvoltate (au fost depuse 416 proiecte în valoare de 1314 mil. €). </w:t>
      </w:r>
    </w:p>
    <w:p w14:paraId="5498602C" w14:textId="77777777" w:rsidR="004F4F92" w:rsidRPr="00C1729E" w:rsidRDefault="004F4F92" w:rsidP="009941AE">
      <w:pPr>
        <w:numPr>
          <w:ilvl w:val="1"/>
          <w:numId w:val="2"/>
        </w:numPr>
        <w:spacing w:after="60" w:line="240" w:lineRule="auto"/>
        <w:ind w:left="360"/>
        <w:contextualSpacing/>
        <w:jc w:val="both"/>
        <w:rPr>
          <w:sz w:val="24"/>
          <w:szCs w:val="24"/>
        </w:rPr>
      </w:pPr>
      <w:r w:rsidRPr="00C1729E">
        <w:rPr>
          <w:sz w:val="24"/>
          <w:szCs w:val="24"/>
        </w:rPr>
        <w:t xml:space="preserve">Prin instrumentul DLRC sunt abordate cele mai marginalizate comunități din orașele cu peste 20.000 locuitori, în cadrul unor Strategii de Dezvoltare Locală (SDL), finanțate complementar prin POCU (19,38  mil €) și POR ( 139 mil €). </w:t>
      </w:r>
    </w:p>
    <w:p w14:paraId="74AE4BD4"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POR susține investițiile care contribuie la revitalizarea fizică, socială și economică a comunităților defavorizate din mediul urban (comunitățile marginalizate din municipii reședință 1,77 mil. €;  comunitățile marginalizate din orașe mici și mijlocii -  41,22 mil. €).</w:t>
      </w:r>
    </w:p>
    <w:p w14:paraId="5D9FE7AB"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lastRenderedPageBreak/>
        <w:t>Reducerea sărăciei și integrarea socio-economică a persoanelor din comunitățile marginalizate, inclusiv cele în care există populație de etnie romă sunt susținute prin FSE (POCU). Au fost contractate 123 proiecte pentru regiunile mai puțin dezvoltate (75 contracte, în valoare de peste 311,491 mil. €, pentru comunități cu populație de etnie romă și 48 contracte, în valoare de peste 190,226 mil. €, pentru comunități marginalizate), alte patru proiecte (11,47 mil. €) fiind destinate comunităților marginalizate din teritoriul ITI Delta Dunării</w:t>
      </w:r>
    </w:p>
    <w:p w14:paraId="5A877B70"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 xml:space="preserve">În vederea dezvoltării economiei şi a </w:t>
      </w:r>
      <w:proofErr w:type="spellStart"/>
      <w:r w:rsidRPr="00C1729E">
        <w:rPr>
          <w:sz w:val="24"/>
          <w:szCs w:val="24"/>
        </w:rPr>
        <w:t>antreprenoriatului</w:t>
      </w:r>
      <w:proofErr w:type="spellEnd"/>
      <w:r w:rsidRPr="00C1729E">
        <w:rPr>
          <w:sz w:val="24"/>
          <w:szCs w:val="24"/>
        </w:rPr>
        <w:t xml:space="preserve"> social</w:t>
      </w:r>
      <w:r w:rsidRPr="00C1729E">
        <w:rPr>
          <w:i/>
          <w:sz w:val="24"/>
          <w:szCs w:val="24"/>
        </w:rPr>
        <w:t xml:space="preserve">, </w:t>
      </w:r>
      <w:r w:rsidRPr="00C1729E">
        <w:rPr>
          <w:sz w:val="24"/>
          <w:szCs w:val="24"/>
        </w:rPr>
        <w:t>POCU finanțează îmbunătăţirea sustenabilităţii întreprinderilor de economie socială din regiunile mai puţin dezvoltate  (</w:t>
      </w:r>
      <w:r w:rsidRPr="00C1729E">
        <w:rPr>
          <w:i/>
          <w:sz w:val="24"/>
          <w:szCs w:val="24"/>
        </w:rPr>
        <w:t>SOLIDAR Sprijin pentru consolidarea economiei sociale</w:t>
      </w:r>
      <w:r w:rsidRPr="00C1729E">
        <w:rPr>
          <w:sz w:val="24"/>
          <w:szCs w:val="24"/>
        </w:rPr>
        <w:t xml:space="preserve"> – alocare FSE 17 mil. €). </w:t>
      </w:r>
    </w:p>
    <w:p w14:paraId="1A975C3E"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20 mil. € (FSE și buget de stat) sunt dedicate consolidării rețelei publice de asistență socială comunitară (</w:t>
      </w:r>
      <w:r w:rsidRPr="00C1729E">
        <w:rPr>
          <w:i/>
          <w:sz w:val="24"/>
          <w:szCs w:val="24"/>
        </w:rPr>
        <w:t>Dezvoltarea sistemului de asistență socială pentru combaterea sărăciei și a excluziunii sociale</w:t>
      </w:r>
      <w:r w:rsidRPr="00C1729E">
        <w:rPr>
          <w:sz w:val="24"/>
          <w:szCs w:val="24"/>
        </w:rPr>
        <w:t>).</w:t>
      </w:r>
    </w:p>
    <w:p w14:paraId="3BBA8739"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Din FEADR sunt sprijinite financiar crearea, îmbunătățirea și extinderea tuturor tipurilor de infrastructură de bază, estimându-se că 2.697.344 locuitori sunt deserviți de aceste investiții conform indicatorilor înregistrați în contractele semnate până în decembrie 2018. LEADER susțin</w:t>
      </w:r>
      <w:r w:rsidR="005D6318" w:rsidRPr="00C1729E">
        <w:rPr>
          <w:sz w:val="24"/>
          <w:szCs w:val="24"/>
        </w:rPr>
        <w:t>e</w:t>
      </w:r>
      <w:r w:rsidRPr="00C1729E">
        <w:rPr>
          <w:sz w:val="24"/>
          <w:szCs w:val="24"/>
        </w:rPr>
        <w:t xml:space="preserve"> inclusiv investiții de interes public pentru comunitate</w:t>
      </w:r>
      <w:r w:rsidR="005D6318" w:rsidRPr="00C1729E">
        <w:rPr>
          <w:sz w:val="24"/>
          <w:szCs w:val="24"/>
        </w:rPr>
        <w:t xml:space="preserve"> (</w:t>
      </w:r>
      <w:r w:rsidRPr="00C1729E">
        <w:rPr>
          <w:sz w:val="24"/>
          <w:szCs w:val="24"/>
        </w:rPr>
        <w:t>dezvoltarea economiilor locale, infrastructura de servicii sociale nerezidențiale deficitară în mediul rural și acțiuni destinate minorităților etnice</w:t>
      </w:r>
      <w:r w:rsidR="005D6318" w:rsidRPr="00C1729E">
        <w:rPr>
          <w:sz w:val="24"/>
          <w:szCs w:val="24"/>
        </w:rPr>
        <w:t>)</w:t>
      </w:r>
      <w:r w:rsidRPr="00C1729E">
        <w:rPr>
          <w:sz w:val="24"/>
          <w:szCs w:val="24"/>
        </w:rPr>
        <w:t>.</w:t>
      </w:r>
    </w:p>
    <w:p w14:paraId="7DE2613B" w14:textId="77777777" w:rsidR="004F4F92" w:rsidRPr="00C1729E" w:rsidRDefault="004F4F92" w:rsidP="009941AE">
      <w:pPr>
        <w:numPr>
          <w:ilvl w:val="1"/>
          <w:numId w:val="2"/>
        </w:numPr>
        <w:spacing w:after="60" w:line="240" w:lineRule="auto"/>
        <w:ind w:left="360"/>
        <w:jc w:val="both"/>
        <w:rPr>
          <w:sz w:val="24"/>
          <w:szCs w:val="24"/>
        </w:rPr>
      </w:pPr>
      <w:r w:rsidRPr="00C1729E">
        <w:rPr>
          <w:sz w:val="24"/>
          <w:szCs w:val="24"/>
        </w:rPr>
        <w:t xml:space="preserve">Fondul de Ajutor European pentru cele mai Defavorizate Persoane contribuie la asigurarea ajutorului alimentar de bază şi facilitează accesul la educaţie pentru cei mai săraci copii. Ca urmare a derulării a două proiecte (pentru 2014/2015 şi 2015/2016) 6.347.777 persoane au beneficiat de operațiunea </w:t>
      </w:r>
      <w:r w:rsidRPr="00C1729E">
        <w:rPr>
          <w:i/>
          <w:sz w:val="24"/>
          <w:szCs w:val="24"/>
        </w:rPr>
        <w:t>pachete cu alimente</w:t>
      </w:r>
      <w:r w:rsidRPr="00C1729E">
        <w:rPr>
          <w:sz w:val="24"/>
          <w:szCs w:val="24"/>
        </w:rPr>
        <w:t>.</w:t>
      </w:r>
    </w:p>
    <w:p w14:paraId="70B9183B" w14:textId="77777777" w:rsidR="004F4F92" w:rsidRPr="00C1729E" w:rsidRDefault="004F4F92" w:rsidP="009941AE">
      <w:pPr>
        <w:spacing w:after="60" w:line="240" w:lineRule="auto"/>
        <w:rPr>
          <w:sz w:val="24"/>
          <w:szCs w:val="24"/>
        </w:rPr>
      </w:pPr>
    </w:p>
    <w:p w14:paraId="07E37CC2" w14:textId="77777777" w:rsidR="00A67C4D" w:rsidRPr="00C1729E" w:rsidRDefault="00B13207" w:rsidP="009941AE">
      <w:pPr>
        <w:spacing w:after="60" w:line="240" w:lineRule="auto"/>
        <w:jc w:val="both"/>
        <w:rPr>
          <w:rFonts w:cs="Arial"/>
        </w:rPr>
      </w:pPr>
      <w:r w:rsidRPr="00C1729E">
        <w:rPr>
          <w:color w:val="548DD4" w:themeColor="text2" w:themeTint="99"/>
        </w:rPr>
        <w:t>(b) Descrierea și evaluarea modului în care fondurile ESI au contribuit la îndeplinirea obiectivelor tematice și a progreselor realizate în vederea atingerii principalelor rezultate așteptate pentru fiecare dintre obiectivele tematice stabilite în acordul de parteneriat, cu trimitere la obiectivele de etapă stabilite în cadrul de performanță</w:t>
      </w:r>
    </w:p>
    <w:p w14:paraId="3D35D28D" w14:textId="77777777" w:rsidR="000F462D" w:rsidRPr="00C53B4B" w:rsidRDefault="000F462D" w:rsidP="009941AE">
      <w:pPr>
        <w:shd w:val="clear" w:color="auto" w:fill="FFFFFF" w:themeFill="background1"/>
        <w:spacing w:after="0" w:line="240" w:lineRule="auto"/>
        <w:jc w:val="both"/>
        <w:rPr>
          <w:sz w:val="24"/>
          <w:szCs w:val="24"/>
        </w:rPr>
      </w:pPr>
      <w:r w:rsidRPr="00C53B4B">
        <w:rPr>
          <w:rFonts w:cs="Arial"/>
          <w:b/>
          <w:color w:val="FF0000"/>
          <w:sz w:val="24"/>
          <w:szCs w:val="24"/>
          <w:u w:val="single"/>
          <w:shd w:val="clear" w:color="auto" w:fill="EEECE1" w:themeFill="background2"/>
        </w:rPr>
        <w:t xml:space="preserve">OT1 </w:t>
      </w:r>
      <w:r w:rsidRPr="00C53B4B">
        <w:rPr>
          <w:rFonts w:cs="Arial"/>
          <w:sz w:val="24"/>
          <w:szCs w:val="24"/>
          <w:u w:val="single"/>
        </w:rPr>
        <w:t xml:space="preserve">susține provocarea </w:t>
      </w:r>
      <w:r w:rsidRPr="00C53B4B">
        <w:rPr>
          <w:rFonts w:cs="Arial"/>
          <w:i/>
          <w:sz w:val="24"/>
          <w:szCs w:val="24"/>
          <w:u w:val="single"/>
        </w:rPr>
        <w:t>Competitivitate și dezvoltare locală</w:t>
      </w:r>
      <w:r w:rsidRPr="00C53B4B">
        <w:rPr>
          <w:rFonts w:cs="Arial"/>
          <w:sz w:val="24"/>
          <w:szCs w:val="24"/>
        </w:rPr>
        <w:t xml:space="preserve">, identificată în cadrul AP prin intervenții din cadrul </w:t>
      </w:r>
      <w:r w:rsidRPr="00C53B4B">
        <w:rPr>
          <w:rFonts w:cs="Arial"/>
          <w:b/>
          <w:sz w:val="24"/>
          <w:szCs w:val="24"/>
        </w:rPr>
        <w:t>POC, POR și PNDR</w:t>
      </w:r>
      <w:r w:rsidRPr="00C53B4B">
        <w:rPr>
          <w:rFonts w:cs="Arial"/>
          <w:sz w:val="24"/>
          <w:szCs w:val="24"/>
        </w:rPr>
        <w:t>.</w:t>
      </w:r>
      <w:r w:rsidRPr="00C53B4B">
        <w:rPr>
          <w:sz w:val="24"/>
          <w:szCs w:val="24"/>
        </w:rPr>
        <w:t xml:space="preserve"> </w:t>
      </w:r>
    </w:p>
    <w:p w14:paraId="54DB4E47" w14:textId="77777777" w:rsidR="000F462D" w:rsidRPr="00C53B4B" w:rsidRDefault="000F462D" w:rsidP="009941AE">
      <w:pPr>
        <w:shd w:val="clear" w:color="auto" w:fill="FFFFFF" w:themeFill="background1"/>
        <w:spacing w:after="0" w:line="240" w:lineRule="auto"/>
        <w:jc w:val="both"/>
        <w:rPr>
          <w:rFonts w:cs="Arial"/>
          <w:b/>
          <w:sz w:val="24"/>
          <w:szCs w:val="24"/>
        </w:rPr>
      </w:pPr>
      <w:r w:rsidRPr="00C53B4B">
        <w:rPr>
          <w:rFonts w:cs="Arial"/>
          <w:sz w:val="24"/>
          <w:szCs w:val="24"/>
        </w:rPr>
        <w:t>La 31 decembrie 2018, OT1 beneficiază de o alocare de 987,69 mil. € (96,22% FEDR şi 3,78% FEADR) reprezentând 3,21% din alocarea la nivelul AP. La alocarea pe OT1 contribuția procentuală a programelor este: 80,78% POC, 15,44% POR și 3,77% PNDR. Cofinanțarea națională publică alocată pentru OT1 este de aprox. 195,54 mil. €</w:t>
      </w:r>
      <w:r w:rsidRPr="00C53B4B">
        <w:rPr>
          <w:rFonts w:cs="Arial"/>
          <w:b/>
          <w:sz w:val="24"/>
          <w:szCs w:val="24"/>
        </w:rPr>
        <w:t>.</w:t>
      </w:r>
    </w:p>
    <w:p w14:paraId="7C56D893" w14:textId="77777777" w:rsidR="000F462D" w:rsidRPr="00C53B4B" w:rsidRDefault="000F462D" w:rsidP="009941AE">
      <w:pPr>
        <w:shd w:val="clear" w:color="auto" w:fill="FFFFFF" w:themeFill="background1"/>
        <w:spacing w:after="0" w:line="240" w:lineRule="auto"/>
        <w:jc w:val="both"/>
        <w:rPr>
          <w:rFonts w:cs="Arial"/>
          <w:sz w:val="24"/>
          <w:szCs w:val="24"/>
        </w:rPr>
      </w:pPr>
      <w:r w:rsidRPr="00C53B4B">
        <w:rPr>
          <w:rFonts w:cs="Arial"/>
          <w:sz w:val="24"/>
          <w:szCs w:val="24"/>
        </w:rPr>
        <w:t>Intervențiile vizează stimularea inovării la nivelul operatorilor economici și creșterea cheltuielilor pentru CDI, sprijinirea infrastructurilor de CD și dezvoltarea centrelor de excelență în conexiune cu centre de CDI în cadrul unor clustere existente sau în curs de formare, stimularea transferului tehnologic şi implementarea rezultatelor CDI la nivelul firmelor.</w:t>
      </w:r>
    </w:p>
    <w:p w14:paraId="2ABF76FD" w14:textId="77777777" w:rsidR="000F462D" w:rsidRPr="00C53B4B" w:rsidRDefault="000F462D" w:rsidP="009941AE">
      <w:pPr>
        <w:spacing w:after="0" w:line="240" w:lineRule="auto"/>
        <w:jc w:val="both"/>
        <w:rPr>
          <w:sz w:val="24"/>
          <w:szCs w:val="24"/>
        </w:rPr>
      </w:pPr>
      <w:r w:rsidRPr="00C53B4B">
        <w:rPr>
          <w:b/>
          <w:sz w:val="24"/>
          <w:szCs w:val="24"/>
          <w:highlight w:val="cyan"/>
        </w:rPr>
        <w:t>Prin POC</w:t>
      </w:r>
      <w:r w:rsidRPr="00C53B4B">
        <w:rPr>
          <w:b/>
          <w:sz w:val="24"/>
          <w:szCs w:val="24"/>
        </w:rPr>
        <w:t>, AP1</w:t>
      </w:r>
      <w:r w:rsidRPr="00C53B4B">
        <w:rPr>
          <w:sz w:val="24"/>
          <w:szCs w:val="24"/>
        </w:rPr>
        <w:t xml:space="preserve"> (alocare 952,57 mil. €: FEDR 797,87 mil. € și BS 154,69 mil. €) este susținută dezvoltarea CDI în domeniile de specializare inteligentă și în sănătate.</w:t>
      </w:r>
    </w:p>
    <w:p w14:paraId="0E449DDB" w14:textId="77777777" w:rsidR="000F462D" w:rsidRPr="00C53B4B" w:rsidRDefault="000F462D" w:rsidP="009941AE">
      <w:pPr>
        <w:spacing w:after="0" w:line="240" w:lineRule="auto"/>
        <w:jc w:val="both"/>
        <w:rPr>
          <w:sz w:val="24"/>
          <w:szCs w:val="24"/>
        </w:rPr>
      </w:pPr>
      <w:r w:rsidRPr="00C53B4B">
        <w:rPr>
          <w:sz w:val="24"/>
          <w:szCs w:val="24"/>
        </w:rPr>
        <w:t xml:space="preserve">În  perioada 2017-2018, au fost lansate 4 apeluri de proiecte cu o valoare de 137,82 mil. € (14,47% din total AP1), care se adaugă celor 20 de apeluri lansate pană la finalul anului 2016. Intervențiile lansate vizează proiecte tehnologice inovative al căror beneficiari sunt întreprinderile cu activitate de CD, investiții ale instituțiilor publice de CD/ universităților și proiecte de tip </w:t>
      </w:r>
      <w:proofErr w:type="spellStart"/>
      <w:r w:rsidRPr="00C53B4B">
        <w:rPr>
          <w:sz w:val="24"/>
          <w:szCs w:val="24"/>
        </w:rPr>
        <w:t>Cloud</w:t>
      </w:r>
      <w:proofErr w:type="spellEnd"/>
      <w:r w:rsidRPr="00C53B4B">
        <w:rPr>
          <w:sz w:val="24"/>
          <w:szCs w:val="24"/>
        </w:rPr>
        <w:t xml:space="preserve"> şi Infrastructuri masive de date</w:t>
      </w:r>
    </w:p>
    <w:p w14:paraId="79689B25" w14:textId="77777777" w:rsidR="000F462D" w:rsidRPr="00C53B4B" w:rsidRDefault="000F462D" w:rsidP="009941AE">
      <w:pPr>
        <w:spacing w:after="0" w:line="240" w:lineRule="auto"/>
        <w:jc w:val="both"/>
        <w:rPr>
          <w:sz w:val="24"/>
          <w:szCs w:val="24"/>
        </w:rPr>
      </w:pPr>
      <w:r w:rsidRPr="00C53B4B">
        <w:rPr>
          <w:sz w:val="24"/>
          <w:szCs w:val="24"/>
        </w:rPr>
        <w:t xml:space="preserve">Până la sfârşitul anului 2018 au fost contractate 221 de proiecte, cu o valoare a asistenței financiare nerambursabile de 667,41 mil. €, reprezentând 70,06% din total alocare axă prioritară. În perioada 2017–2018, valoarea plăților realizate către beneficiari s-a ridicat la 272 mil. € (FEDR 242 mil. € si BS 30 mil. €) reprezentând 28,56% din alocarea totală, respectiv 36,43% din valoarea contractelor încheiate. </w:t>
      </w:r>
    </w:p>
    <w:p w14:paraId="3D14CA4F" w14:textId="77777777" w:rsidR="000F462D" w:rsidRPr="00C53B4B" w:rsidRDefault="000F462D" w:rsidP="009941AE">
      <w:pPr>
        <w:spacing w:after="0" w:line="240" w:lineRule="auto"/>
        <w:jc w:val="both"/>
        <w:rPr>
          <w:sz w:val="24"/>
          <w:szCs w:val="24"/>
        </w:rPr>
      </w:pPr>
      <w:r w:rsidRPr="00C53B4B">
        <w:rPr>
          <w:sz w:val="24"/>
          <w:szCs w:val="24"/>
        </w:rPr>
        <w:lastRenderedPageBreak/>
        <w:t xml:space="preserve">Accesul la finanțare a IMM-urilor inovative este susținut prin instrumente financiare, cu o alocare de 59,3 mil. € (FEDR 50 mil. € și BS 9,3 mil. €); implementarea a fost încredințată FEI (ca Fond al Fondurilor) în baza Acordului încheiat între MFE și FEI în septembrie 2016.  Pentru instrumentul de capital de risc (acceleratoare și fonduri </w:t>
      </w:r>
      <w:proofErr w:type="spellStart"/>
      <w:r w:rsidRPr="00C53B4B">
        <w:rPr>
          <w:sz w:val="24"/>
          <w:szCs w:val="24"/>
        </w:rPr>
        <w:t>seed</w:t>
      </w:r>
      <w:proofErr w:type="spellEnd"/>
      <w:r w:rsidRPr="00C53B4B">
        <w:rPr>
          <w:sz w:val="24"/>
          <w:szCs w:val="24"/>
        </w:rPr>
        <w:t xml:space="preserve">) au fost constituite două fonduri: Fondul Manager </w:t>
      </w:r>
      <w:proofErr w:type="spellStart"/>
      <w:r w:rsidRPr="00C53B4B">
        <w:rPr>
          <w:sz w:val="24"/>
          <w:szCs w:val="24"/>
        </w:rPr>
        <w:t>GapMinder</w:t>
      </w:r>
      <w:proofErr w:type="spellEnd"/>
      <w:r w:rsidRPr="00C53B4B">
        <w:rPr>
          <w:sz w:val="24"/>
          <w:szCs w:val="24"/>
        </w:rPr>
        <w:t xml:space="preserve"> (au fost semnate 13 tranzacții în accelerator în valoare de 0,39 mil. €) și au fost făcute 4 investiții în </w:t>
      </w:r>
      <w:proofErr w:type="spellStart"/>
      <w:r w:rsidRPr="00C53B4B">
        <w:rPr>
          <w:sz w:val="24"/>
          <w:szCs w:val="24"/>
        </w:rPr>
        <w:t>seed</w:t>
      </w:r>
      <w:proofErr w:type="spellEnd"/>
      <w:r w:rsidRPr="00C53B4B">
        <w:rPr>
          <w:sz w:val="24"/>
          <w:szCs w:val="24"/>
        </w:rPr>
        <w:t xml:space="preserve"> în valoare de 1,86 mil. € - 17 beneficiari finali) și  Fondul Manager </w:t>
      </w:r>
      <w:proofErr w:type="spellStart"/>
      <w:r w:rsidRPr="00C53B4B">
        <w:rPr>
          <w:sz w:val="24"/>
          <w:szCs w:val="24"/>
        </w:rPr>
        <w:t>EarlyGame</w:t>
      </w:r>
      <w:proofErr w:type="spellEnd"/>
      <w:r w:rsidRPr="00C53B4B">
        <w:rPr>
          <w:sz w:val="24"/>
          <w:szCs w:val="24"/>
        </w:rPr>
        <w:t xml:space="preserve"> în cadrul căruia nu au fost făcute investiții până la sfârșitul anului 2018.  Pentru instrumentul de creditare cu partajarea riscului - au fost acordate 8 credite (6 beneficiari finali) în valoare de 3,03 mil. €.</w:t>
      </w:r>
    </w:p>
    <w:p w14:paraId="61A219E1" w14:textId="77777777" w:rsidR="000F462D" w:rsidRPr="00C53B4B" w:rsidRDefault="000F462D" w:rsidP="009941AE">
      <w:pPr>
        <w:spacing w:after="0" w:line="240" w:lineRule="auto"/>
        <w:jc w:val="both"/>
        <w:rPr>
          <w:sz w:val="24"/>
          <w:szCs w:val="24"/>
        </w:rPr>
      </w:pPr>
      <w:r w:rsidRPr="00C53B4B">
        <w:rPr>
          <w:sz w:val="24"/>
          <w:szCs w:val="24"/>
        </w:rPr>
        <w:t xml:space="preserve">Din analiza indicatorilor aferenți cadrului de performanță reiese că țintele POC pentru AP1 au fost depășite, atât pentru indicatorul financiar, cât și pentru indicatorii fizici. </w:t>
      </w:r>
    </w:p>
    <w:p w14:paraId="22C7BD22" w14:textId="77777777" w:rsidR="000F462D" w:rsidRPr="00C53B4B" w:rsidRDefault="000F462D" w:rsidP="009941AE">
      <w:pPr>
        <w:spacing w:after="0" w:line="240" w:lineRule="auto"/>
        <w:jc w:val="both"/>
        <w:rPr>
          <w:sz w:val="24"/>
          <w:szCs w:val="24"/>
        </w:rPr>
      </w:pPr>
      <w:r w:rsidRPr="00C53B4B">
        <w:rPr>
          <w:sz w:val="24"/>
          <w:szCs w:val="24"/>
        </w:rPr>
        <w:t xml:space="preserve">Proiecte majore: </w:t>
      </w:r>
    </w:p>
    <w:p w14:paraId="63AF8682" w14:textId="6FA72C58" w:rsidR="000F462D" w:rsidRPr="00C53B4B" w:rsidRDefault="000F462D" w:rsidP="009941AE">
      <w:pPr>
        <w:pStyle w:val="ListParagraph"/>
        <w:numPr>
          <w:ilvl w:val="0"/>
          <w:numId w:val="9"/>
        </w:numPr>
        <w:spacing w:after="0" w:line="240" w:lineRule="auto"/>
        <w:jc w:val="both"/>
        <w:rPr>
          <w:sz w:val="24"/>
          <w:szCs w:val="24"/>
        </w:rPr>
      </w:pPr>
      <w:r w:rsidRPr="00C53B4B">
        <w:rPr>
          <w:sz w:val="24"/>
          <w:szCs w:val="24"/>
        </w:rPr>
        <w:t>ELI-NP – Faza II - stadiul fizic de implementare la sfârșitul anului 2018 este de  aprox. 70% (</w:t>
      </w:r>
      <w:proofErr w:type="spellStart"/>
      <w:r w:rsidRPr="00C53B4B">
        <w:rPr>
          <w:sz w:val="24"/>
          <w:szCs w:val="24"/>
        </w:rPr>
        <w:t>fazaI</w:t>
      </w:r>
      <w:proofErr w:type="spellEnd"/>
      <w:r w:rsidRPr="00C53B4B">
        <w:rPr>
          <w:sz w:val="24"/>
          <w:szCs w:val="24"/>
        </w:rPr>
        <w:t>+</w:t>
      </w:r>
      <w:proofErr w:type="spellStart"/>
      <w:r w:rsidRPr="00C53B4B">
        <w:rPr>
          <w:sz w:val="24"/>
          <w:szCs w:val="24"/>
        </w:rPr>
        <w:t>fazaII</w:t>
      </w:r>
      <w:proofErr w:type="spellEnd"/>
      <w:r w:rsidRPr="00C53B4B">
        <w:rPr>
          <w:sz w:val="24"/>
          <w:szCs w:val="24"/>
        </w:rPr>
        <w:t xml:space="preserve">). Parametrii măsurați pentru Sistemul de Laseri de Mare Putere au demonstrat funcționarea acestuia. </w:t>
      </w:r>
      <w:r w:rsidR="00B74A9E" w:rsidRPr="00C53B4B">
        <w:rPr>
          <w:sz w:val="24"/>
          <w:szCs w:val="24"/>
        </w:rPr>
        <w:t xml:space="preserve">În martie 2019, s-a realizat obiectivul de atingere a puterii de 10 PW, ceea ce îl face cel mai puternic sistem laser construit vreodată. </w:t>
      </w:r>
      <w:r w:rsidRPr="00C53B4B">
        <w:rPr>
          <w:sz w:val="24"/>
          <w:szCs w:val="24"/>
        </w:rPr>
        <w:t xml:space="preserve">Au fost înregistrate întârzieri în ceea ce privește componenta Gamma. Disputa dintre </w:t>
      </w:r>
      <w:proofErr w:type="spellStart"/>
      <w:r w:rsidRPr="00C53B4B">
        <w:rPr>
          <w:sz w:val="24"/>
          <w:szCs w:val="24"/>
        </w:rPr>
        <w:t>EuroGammas</w:t>
      </w:r>
      <w:proofErr w:type="spellEnd"/>
      <w:r w:rsidRPr="00C53B4B">
        <w:rPr>
          <w:sz w:val="24"/>
          <w:szCs w:val="24"/>
        </w:rPr>
        <w:t>, furnizorul echipamentelor, și IFIN –HH a fost formalizată în instanță. IFIN-HH - beneficiarul finanțării nerambursabile - a inițiat o nouă procedură de achiziție pentru sistemul Gamma. Finalizarea acestui nou contract se poate realiza în actualul ciclu financiar (până în anul 2023) și cu încadrarea în bugetul aprobat al proiectului.</w:t>
      </w:r>
      <w:r w:rsidR="003A77BA" w:rsidRPr="00C53B4B">
        <w:rPr>
          <w:sz w:val="24"/>
          <w:szCs w:val="24"/>
        </w:rPr>
        <w:t xml:space="preserve"> </w:t>
      </w:r>
    </w:p>
    <w:p w14:paraId="5FC81C2A" w14:textId="77777777" w:rsidR="000F462D" w:rsidRPr="00C53B4B" w:rsidRDefault="000F462D" w:rsidP="009941AE">
      <w:pPr>
        <w:pStyle w:val="ListParagraph"/>
        <w:numPr>
          <w:ilvl w:val="0"/>
          <w:numId w:val="9"/>
        </w:numPr>
        <w:spacing w:after="0" w:line="240" w:lineRule="auto"/>
        <w:jc w:val="both"/>
        <w:rPr>
          <w:sz w:val="24"/>
          <w:szCs w:val="24"/>
        </w:rPr>
      </w:pPr>
      <w:r w:rsidRPr="00C53B4B">
        <w:rPr>
          <w:sz w:val="24"/>
          <w:szCs w:val="24"/>
        </w:rPr>
        <w:t>DANUBIUS - în perioada mai 2018 – iunie 2019 s-a derulat proiectul ”</w:t>
      </w:r>
      <w:r w:rsidRPr="00C53B4B">
        <w:rPr>
          <w:i/>
          <w:sz w:val="24"/>
          <w:szCs w:val="24"/>
        </w:rPr>
        <w:t>Strategie și acțiuni pentru pregătirea participării naționale la proiectul DANUBIUS-R</w:t>
      </w:r>
      <w:r w:rsidRPr="00C53B4B">
        <w:rPr>
          <w:sz w:val="24"/>
          <w:szCs w:val="24"/>
        </w:rPr>
        <w:t>I” (DANS), finanțat în cadrul Planului Național CDI III, pentru pregătirea proiectului  DANUBIUS-RI. Pentru finalizarea documentației necesare finanțării proiectului mai sunt necesare studii și analize tehnice.</w:t>
      </w:r>
    </w:p>
    <w:p w14:paraId="1AED6987" w14:textId="77777777" w:rsidR="000F462D" w:rsidRPr="00C53B4B" w:rsidRDefault="000F462D" w:rsidP="009941AE">
      <w:pPr>
        <w:spacing w:after="0" w:line="240" w:lineRule="auto"/>
        <w:jc w:val="both"/>
        <w:rPr>
          <w:sz w:val="24"/>
          <w:szCs w:val="24"/>
        </w:rPr>
      </w:pPr>
      <w:r w:rsidRPr="00C53B4B">
        <w:rPr>
          <w:b/>
          <w:sz w:val="24"/>
          <w:szCs w:val="24"/>
          <w:highlight w:val="green"/>
        </w:rPr>
        <w:t>Prin POR</w:t>
      </w:r>
      <w:r w:rsidRPr="00C53B4B">
        <w:rPr>
          <w:sz w:val="24"/>
          <w:szCs w:val="24"/>
        </w:rPr>
        <w:t xml:space="preserve"> - AP1 (alocare 179,59 mil. €, din care 152,53 mil. € FEDR și 27,06 mil. € BS) este sprijinită dezvoltarea de infrastructuri/servicii și crearea de baze de date, pentru un transfer mai intens al rezultatelor cercetării în aplicații comerciale inovative și diseminarea rezultatelor în piață, în contextul orientărilor RIS3. Lansarea apelurilor de proiecte s-a realizat cu întârziere, întrucât a necesitat în primul rând identificarea domeniilor de specializare inteligentă. Începând cu anul 2018 au fost lansate 3 apeluri care au vizat entități de Inovare și Transfer Tehnologic (ITT), parteneriate IMM și ITT, parcuri științifice si tehnologice, fiind depuse 101 proiecte în valoare de 29,49 mil €, aflate în diverse stadii de evaluare. Inițiativa Regiuni mai puțin dezvoltate lansată de Comisie la începutul anului 2016,  a vizat inițial regiunile Nord – Vest şi Nord – Est. La nivel regional, implementarea Inițiativei a fost asumată de Agențiile de Dezvoltare Regională, COM oferind asistență specializată pentru elaborarea/actualizarea RIS3. Pe parcursul anului 2018 a continuat implementarea </w:t>
      </w:r>
      <w:r w:rsidRPr="00C53B4B">
        <w:rPr>
          <w:i/>
          <w:sz w:val="24"/>
          <w:szCs w:val="24"/>
        </w:rPr>
        <w:t>Inițiativei</w:t>
      </w:r>
      <w:r w:rsidRPr="00C53B4B">
        <w:rPr>
          <w:sz w:val="24"/>
          <w:szCs w:val="24"/>
        </w:rPr>
        <w:t>, aceasta fiind extinsă, cu sprijinul JRC pentru continuarea asistenţei specializate în Regiunile Nord Est și Nord Vest și sprijin metodologic pentru celelalte 5 regiuni și Regiunea B-I, precum și cu sprijinul Băncii Mondiale pentru dezvoltarea capacității regionale de a formula, implementa, monitoriza mai multe tipuri de programe de inovare. Procesul de dezvoltare a capacitații administrative la nivel regional, fiind complex, indicatorii din cadrul de performanți nu au fost atinși.</w:t>
      </w:r>
    </w:p>
    <w:p w14:paraId="20F61399" w14:textId="77777777" w:rsidR="000F462D" w:rsidRPr="00C53B4B" w:rsidRDefault="000F462D" w:rsidP="009941AE">
      <w:pPr>
        <w:spacing w:after="0" w:line="240" w:lineRule="auto"/>
        <w:jc w:val="both"/>
        <w:rPr>
          <w:sz w:val="24"/>
          <w:szCs w:val="24"/>
        </w:rPr>
      </w:pPr>
      <w:r w:rsidRPr="00C53B4B">
        <w:rPr>
          <w:b/>
          <w:sz w:val="24"/>
          <w:szCs w:val="24"/>
          <w:highlight w:val="cyan"/>
        </w:rPr>
        <w:t>Prin PNDR</w:t>
      </w:r>
      <w:r w:rsidRPr="00C53B4B">
        <w:rPr>
          <w:b/>
          <w:sz w:val="24"/>
          <w:szCs w:val="24"/>
        </w:rPr>
        <w:t xml:space="preserve"> - </w:t>
      </w:r>
      <w:r w:rsidRPr="00C53B4B">
        <w:rPr>
          <w:sz w:val="24"/>
          <w:szCs w:val="24"/>
        </w:rPr>
        <w:t xml:space="preserve">P1 (alocare de 42,5 mil. € din care 37,3 mil. € FEADR și 5,2 mil. € BS) încurajează în zonele rurale transferul de cunoștințe și inovare în agricultură, silvicultură și asigură consolidarea legăturilor dintre agricultură, producția alimentară și silvicultură, pe de o parte, și cercetare și inovare, pe de altă parte pentru dezvoltarea de noi produse, procese și tehnologii. </w:t>
      </w:r>
    </w:p>
    <w:p w14:paraId="1B5A86DD" w14:textId="77777777" w:rsidR="000F462D" w:rsidRPr="00C53B4B" w:rsidRDefault="000F462D" w:rsidP="009941AE">
      <w:pPr>
        <w:spacing w:after="0" w:line="240" w:lineRule="auto"/>
        <w:jc w:val="both"/>
        <w:rPr>
          <w:sz w:val="24"/>
          <w:szCs w:val="24"/>
        </w:rPr>
      </w:pPr>
      <w:r w:rsidRPr="00C53B4B">
        <w:rPr>
          <w:sz w:val="24"/>
          <w:szCs w:val="24"/>
        </w:rPr>
        <w:t xml:space="preserve">La îndeplinirea OT1 contribuie realizările submăsurilor 2.1, 16.1, 16.1a, 16.4, 16.4a din cadrul Priorității 1. Până la data de 31 decembrie 2018 nu au fost finalizate proiecte, însă au fost demarate 22 de operațiuni de cooperare, din ținta 2023 de 211 operațiuni, în cadrul cărora au fost </w:t>
      </w:r>
      <w:r w:rsidRPr="00C53B4B">
        <w:rPr>
          <w:sz w:val="24"/>
          <w:szCs w:val="24"/>
        </w:rPr>
        <w:lastRenderedPageBreak/>
        <w:t xml:space="preserve">realizate cheltuieli în valoare publică de 0,6 mil. euro, reprezentând 1,3% din alocarea financiară OT1 PNDR. </w:t>
      </w:r>
    </w:p>
    <w:p w14:paraId="7AF47B30" w14:textId="77777777" w:rsidR="000F462D" w:rsidRPr="00C53B4B" w:rsidRDefault="000F462D" w:rsidP="009941AE">
      <w:pPr>
        <w:spacing w:after="0" w:line="240" w:lineRule="auto"/>
        <w:jc w:val="both"/>
        <w:rPr>
          <w:sz w:val="24"/>
          <w:szCs w:val="24"/>
        </w:rPr>
      </w:pPr>
      <w:r w:rsidRPr="00C53B4B">
        <w:rPr>
          <w:sz w:val="24"/>
          <w:szCs w:val="24"/>
        </w:rPr>
        <w:t>De asemenea, până la finalul anului 2018 au fost angajate cheltuieli publice totale de 9,8 mil. € (grad de angajare 23,1%) reprezentând suma publică totală contractată în cadrul submăsurilor menționate mai sus.</w:t>
      </w:r>
    </w:p>
    <w:p w14:paraId="1026D567" w14:textId="77777777"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Intervențiile din cadrul OT2</w:t>
      </w:r>
      <w:r w:rsidRPr="00C53B4B">
        <w:rPr>
          <w:color w:val="FF0000"/>
          <w:sz w:val="24"/>
          <w:szCs w:val="24"/>
        </w:rPr>
        <w:t xml:space="preserve"> </w:t>
      </w:r>
      <w:r w:rsidRPr="00C53B4B">
        <w:rPr>
          <w:sz w:val="24"/>
          <w:szCs w:val="24"/>
        </w:rPr>
        <w:t xml:space="preserve">susțin 4 dintre provocările de dezvoltare identificate în AP: </w:t>
      </w:r>
      <w:r w:rsidRPr="00C53B4B">
        <w:rPr>
          <w:i/>
          <w:sz w:val="24"/>
          <w:szCs w:val="24"/>
        </w:rPr>
        <w:t>Competitivitate și dezvoltare locală</w:t>
      </w:r>
      <w:r w:rsidRPr="00C53B4B">
        <w:rPr>
          <w:sz w:val="24"/>
          <w:szCs w:val="24"/>
        </w:rPr>
        <w:t xml:space="preserve">, </w:t>
      </w:r>
      <w:r w:rsidRPr="00C53B4B">
        <w:rPr>
          <w:i/>
          <w:sz w:val="24"/>
          <w:szCs w:val="24"/>
        </w:rPr>
        <w:t>Populația și aspecte sociale</w:t>
      </w:r>
      <w:r w:rsidRPr="00C53B4B">
        <w:rPr>
          <w:sz w:val="24"/>
          <w:szCs w:val="24"/>
        </w:rPr>
        <w:t xml:space="preserve">, </w:t>
      </w:r>
      <w:r w:rsidRPr="00C53B4B">
        <w:rPr>
          <w:i/>
          <w:sz w:val="24"/>
          <w:szCs w:val="24"/>
        </w:rPr>
        <w:t>Infrastructură</w:t>
      </w:r>
      <w:r w:rsidRPr="00C53B4B">
        <w:rPr>
          <w:sz w:val="24"/>
          <w:szCs w:val="24"/>
        </w:rPr>
        <w:t xml:space="preserve"> și </w:t>
      </w:r>
      <w:r w:rsidRPr="00C53B4B">
        <w:rPr>
          <w:i/>
          <w:sz w:val="24"/>
          <w:szCs w:val="24"/>
        </w:rPr>
        <w:t>Guvernare</w:t>
      </w:r>
      <w:r w:rsidRPr="00C53B4B">
        <w:rPr>
          <w:sz w:val="24"/>
          <w:szCs w:val="24"/>
        </w:rPr>
        <w:t>. Acest OT beneficiază de o alocare de 531,91 mil. € FEDR (1,73% din totalul alocării AP) și este implementat p</w:t>
      </w:r>
      <w:r w:rsidRPr="00C53B4B">
        <w:rPr>
          <w:b/>
          <w:sz w:val="24"/>
          <w:szCs w:val="24"/>
        </w:rPr>
        <w:t xml:space="preserve">rin AP2 din </w:t>
      </w:r>
      <w:r w:rsidRPr="00C53B4B">
        <w:rPr>
          <w:b/>
          <w:sz w:val="24"/>
          <w:szCs w:val="24"/>
          <w:highlight w:val="cyan"/>
        </w:rPr>
        <w:t>cadrul POC.</w:t>
      </w:r>
      <w:r w:rsidRPr="00C53B4B">
        <w:rPr>
          <w:sz w:val="24"/>
          <w:szCs w:val="24"/>
        </w:rPr>
        <w:t xml:space="preserve"> Până la sfârșitul anului 2018 au fost lansate 13 apeluri cu o valoare de 587,45 mil. € (93,22% din total alocare AP2), din care FEDR 268,42 mil. € și contractate 138 de proiecte cu o valoare de 268,42 mil. € (45,69% din valoarea apelurilor lansate, respectiv 42,59% din alocare AP2). În perioada 2017–2018, valoarea plăților realizate către beneficiari s-a ridicat la 64,07 mil. € (FEDR de 59,90 mil. € si BS de 4,17 mil. €) reprezentând 10,17 % din alocarea totală, respectiv 20,50 % din valoarea contractelor încheiate.</w:t>
      </w:r>
    </w:p>
    <w:p w14:paraId="3CD598B9" w14:textId="77777777" w:rsidR="000F462D" w:rsidRPr="00C53B4B" w:rsidRDefault="000F462D" w:rsidP="009941AE">
      <w:pPr>
        <w:spacing w:after="0" w:line="240" w:lineRule="auto"/>
        <w:jc w:val="both"/>
        <w:rPr>
          <w:sz w:val="24"/>
          <w:szCs w:val="24"/>
        </w:rPr>
      </w:pPr>
      <w:proofErr w:type="spellStart"/>
      <w:r w:rsidRPr="00C53B4B">
        <w:rPr>
          <w:sz w:val="24"/>
          <w:szCs w:val="24"/>
        </w:rPr>
        <w:t>RoNET</w:t>
      </w:r>
      <w:proofErr w:type="spellEnd"/>
      <w:r w:rsidRPr="00C53B4B">
        <w:rPr>
          <w:sz w:val="24"/>
          <w:szCs w:val="24"/>
        </w:rPr>
        <w:t xml:space="preserve"> – faza II (65,5 mil. €, din care FEDR 44,9 mil. €) - din ținta de 783 localități, pentru 604 investițiile au fost finalizate, plățile aferente fiind în valoare de 62,2 mil. lei.</w:t>
      </w:r>
    </w:p>
    <w:p w14:paraId="6950D5E9" w14:textId="3F0B1AE5" w:rsidR="000F462D" w:rsidRPr="00C53B4B" w:rsidRDefault="000F462D" w:rsidP="009941AE">
      <w:pPr>
        <w:spacing w:after="0" w:line="240" w:lineRule="auto"/>
        <w:jc w:val="both"/>
        <w:rPr>
          <w:sz w:val="24"/>
          <w:szCs w:val="24"/>
        </w:rPr>
      </w:pPr>
      <w:r w:rsidRPr="00C53B4B">
        <w:rPr>
          <w:sz w:val="24"/>
          <w:szCs w:val="24"/>
        </w:rPr>
        <w:t xml:space="preserve">La finalul anului 2018 au fost deschise apelurile necompetitive pentru: interoperabilitate, e-guvernare si open data pentru evenimentele de viața, Big Data, </w:t>
      </w:r>
      <w:proofErr w:type="spellStart"/>
      <w:r w:rsidRPr="00C53B4B">
        <w:rPr>
          <w:sz w:val="24"/>
          <w:szCs w:val="24"/>
        </w:rPr>
        <w:t>cloud</w:t>
      </w:r>
      <w:proofErr w:type="spellEnd"/>
      <w:r w:rsidRPr="00C53B4B">
        <w:rPr>
          <w:sz w:val="24"/>
          <w:szCs w:val="24"/>
        </w:rPr>
        <w:t xml:space="preserve"> guvernamental, securitate cibernetica, e-cultura, e-</w:t>
      </w:r>
      <w:r w:rsidR="00E24108" w:rsidRPr="00C53B4B">
        <w:rPr>
          <w:sz w:val="24"/>
          <w:szCs w:val="24"/>
        </w:rPr>
        <w:t xml:space="preserve">educație </w:t>
      </w:r>
      <w:r w:rsidRPr="00C53B4B">
        <w:rPr>
          <w:sz w:val="24"/>
          <w:szCs w:val="24"/>
        </w:rPr>
        <w:t xml:space="preserve">(proiectele pentru realizarea catalogului electronic si platformei naționale de </w:t>
      </w:r>
      <w:r w:rsidR="00E24108" w:rsidRPr="00C53B4B">
        <w:rPr>
          <w:sz w:val="24"/>
          <w:szCs w:val="24"/>
        </w:rPr>
        <w:t>învățare</w:t>
      </w:r>
      <w:r w:rsidRPr="00C53B4B">
        <w:rPr>
          <w:sz w:val="24"/>
          <w:szCs w:val="24"/>
        </w:rPr>
        <w:t>), e-</w:t>
      </w:r>
      <w:r w:rsidR="00E24108" w:rsidRPr="00C53B4B">
        <w:rPr>
          <w:sz w:val="24"/>
          <w:szCs w:val="24"/>
        </w:rPr>
        <w:t xml:space="preserve">sănătate </w:t>
      </w:r>
      <w:r w:rsidRPr="00C53B4B">
        <w:rPr>
          <w:sz w:val="24"/>
          <w:szCs w:val="24"/>
        </w:rPr>
        <w:t>(proiectele pentru realizarea telemedicina, platforma naționala de sănătate).</w:t>
      </w:r>
    </w:p>
    <w:p w14:paraId="5D2B2A47" w14:textId="77777777" w:rsidR="000F462D" w:rsidRPr="00C53B4B" w:rsidRDefault="000F462D" w:rsidP="009941AE">
      <w:pPr>
        <w:spacing w:after="0" w:line="240" w:lineRule="auto"/>
        <w:jc w:val="both"/>
        <w:rPr>
          <w:sz w:val="24"/>
          <w:szCs w:val="24"/>
        </w:rPr>
      </w:pPr>
      <w:r w:rsidRPr="00C53B4B">
        <w:rPr>
          <w:sz w:val="24"/>
          <w:szCs w:val="24"/>
        </w:rPr>
        <w:t>Din analiza indicatorilor aferenți cadrului de performanță reiese că țintele pentru indicatorii fizici nu au fost atinse. Ținta pentru Indicatorul financiar pentru zonele mai dezvoltate a fost depășită.</w:t>
      </w:r>
    </w:p>
    <w:p w14:paraId="5C01CF71" w14:textId="1502FBFE" w:rsidR="000F462D" w:rsidRPr="00C53B4B" w:rsidRDefault="000F462D" w:rsidP="009941AE">
      <w:pPr>
        <w:shd w:val="clear" w:color="auto" w:fill="FFFFFF" w:themeFill="background1"/>
        <w:spacing w:after="0" w:line="240" w:lineRule="auto"/>
        <w:jc w:val="both"/>
        <w:rPr>
          <w:sz w:val="24"/>
          <w:szCs w:val="24"/>
        </w:rPr>
      </w:pPr>
      <w:r w:rsidRPr="00C53B4B">
        <w:rPr>
          <w:sz w:val="24"/>
          <w:szCs w:val="24"/>
        </w:rPr>
        <w:t xml:space="preserve">Complementar intervențiilor directe FEDR, în cadrul intervențiilor de tip LEADER </w:t>
      </w:r>
      <w:r w:rsidRPr="00C53B4B">
        <w:rPr>
          <w:sz w:val="24"/>
          <w:szCs w:val="24"/>
          <w:highlight w:val="cyan"/>
        </w:rPr>
        <w:t xml:space="preserve">din </w:t>
      </w:r>
      <w:r w:rsidRPr="00C53B4B">
        <w:rPr>
          <w:b/>
          <w:sz w:val="24"/>
          <w:szCs w:val="24"/>
          <w:highlight w:val="cyan"/>
        </w:rPr>
        <w:t>PNDR</w:t>
      </w:r>
      <w:r w:rsidRPr="00C53B4B">
        <w:rPr>
          <w:sz w:val="24"/>
          <w:szCs w:val="24"/>
        </w:rPr>
        <w:t>, este sprijinită dezvoltarea infrastructurii de bandă largă în zonele rurale și în orașele cu cel mult 20000 locuitori. Alocarea inițială de 25 mil. €, poate fi majorată până la 35 mil. € în funcție de nevoile identificate prin strategiile de dezvoltare locală. Strategiile de Dezvoltare Locală elaborate includ măsurile dedicate dezvoltării infrastructurii de comunicații în bandă largă în valoare de 2.2 mil. € (aprox. 9% din alocarea inițială. Dezvoltarea infrastructurii de comunicații în bandă largă nu este de cele mai multe ori o prioritate la nivel local și de aceea măsura în cadrul LEADER a fost modificată pentru a permite și finanțarea unor intervenții dedicate digitalizării conform cu nevoile identificate prin Strategiilor de Dezvoltare Locală. Pentru obiectivul LEADER dedicat dezvoltării infrastructurii/competentelor digitale în zonele rurale - nu a fost implementata nici</w:t>
      </w:r>
      <w:r w:rsidR="00E24108" w:rsidRPr="00C53B4B">
        <w:rPr>
          <w:sz w:val="24"/>
          <w:szCs w:val="24"/>
        </w:rPr>
        <w:t xml:space="preserve"> un proiect</w:t>
      </w:r>
      <w:r w:rsidRPr="00C53B4B">
        <w:rPr>
          <w:sz w:val="24"/>
          <w:szCs w:val="24"/>
        </w:rPr>
        <w:t xml:space="preserve"> </w:t>
      </w:r>
      <w:r w:rsidR="00E24108" w:rsidRPr="00C53B4B">
        <w:rPr>
          <w:sz w:val="24"/>
          <w:szCs w:val="24"/>
        </w:rPr>
        <w:t xml:space="preserve">până </w:t>
      </w:r>
      <w:r w:rsidRPr="00C53B4B">
        <w:rPr>
          <w:sz w:val="24"/>
          <w:szCs w:val="24"/>
        </w:rPr>
        <w:t>la sfârșitul anului 2018.</w:t>
      </w:r>
    </w:p>
    <w:p w14:paraId="4C80003C" w14:textId="77777777" w:rsidR="000F462D" w:rsidRPr="00C53B4B" w:rsidRDefault="000F462D" w:rsidP="009941AE">
      <w:pPr>
        <w:shd w:val="clear" w:color="auto" w:fill="FFFFFF" w:themeFill="background1"/>
        <w:spacing w:after="0" w:line="240" w:lineRule="auto"/>
        <w:jc w:val="both"/>
        <w:rPr>
          <w:sz w:val="24"/>
          <w:szCs w:val="24"/>
        </w:rPr>
      </w:pPr>
      <w:r w:rsidRPr="00C53B4B">
        <w:rPr>
          <w:sz w:val="24"/>
          <w:szCs w:val="24"/>
        </w:rPr>
        <w:t xml:space="preserve">FSE sprijină indirect OT2 prin intervenții care vizează creșterea atractivității și accesibilității sistemelor de educație și sănătate inclusiv prin utilizarea produselor și serviciilor ICT (în cadrul </w:t>
      </w:r>
      <w:r w:rsidRPr="00C53B4B">
        <w:rPr>
          <w:b/>
          <w:sz w:val="24"/>
          <w:szCs w:val="24"/>
        </w:rPr>
        <w:t>POCU</w:t>
      </w:r>
      <w:r w:rsidRPr="00C53B4B">
        <w:rPr>
          <w:sz w:val="24"/>
          <w:szCs w:val="24"/>
        </w:rPr>
        <w:t xml:space="preserve">), precum și prin măsuri de pregătire a cadrului orizontal de dezvoltare al e-guvernării și al creșterii calității TIC în administrație (în cadrul </w:t>
      </w:r>
      <w:r w:rsidRPr="00C53B4B">
        <w:rPr>
          <w:b/>
          <w:sz w:val="24"/>
          <w:szCs w:val="24"/>
        </w:rPr>
        <w:t>POCA</w:t>
      </w:r>
      <w:r w:rsidRPr="00C53B4B">
        <w:rPr>
          <w:sz w:val="24"/>
          <w:szCs w:val="24"/>
        </w:rPr>
        <w:t>).</w:t>
      </w:r>
    </w:p>
    <w:p w14:paraId="6595E3FF" w14:textId="2E8A0149"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OT3</w:t>
      </w:r>
      <w:r w:rsidRPr="00C53B4B">
        <w:rPr>
          <w:b/>
          <w:color w:val="FF0000"/>
          <w:sz w:val="24"/>
          <w:szCs w:val="24"/>
        </w:rPr>
        <w:t xml:space="preserve"> </w:t>
      </w:r>
      <w:r w:rsidRPr="00C53B4B">
        <w:rPr>
          <w:sz w:val="24"/>
          <w:szCs w:val="24"/>
        </w:rPr>
        <w:t xml:space="preserve">răspunde exclusiv provocării de dezvoltare </w:t>
      </w:r>
      <w:r w:rsidRPr="00C53B4B">
        <w:rPr>
          <w:i/>
          <w:sz w:val="24"/>
          <w:szCs w:val="24"/>
        </w:rPr>
        <w:t>Competitivitate și dezvoltare locală</w:t>
      </w:r>
      <w:r w:rsidRPr="00C53B4B">
        <w:rPr>
          <w:sz w:val="24"/>
          <w:szCs w:val="24"/>
        </w:rPr>
        <w:t xml:space="preserve"> cu o alocare de aprox. 3.9</w:t>
      </w:r>
      <w:r w:rsidR="00E24108" w:rsidRPr="00C53B4B">
        <w:rPr>
          <w:sz w:val="24"/>
          <w:szCs w:val="24"/>
        </w:rPr>
        <w:t>68</w:t>
      </w:r>
      <w:r w:rsidRPr="00C53B4B">
        <w:rPr>
          <w:sz w:val="24"/>
          <w:szCs w:val="24"/>
        </w:rPr>
        <w:t>,47 mil. € (13% din totalul alocării AP) prin PNDR (67,09% FEADR), POR (34% FEDR) și POPAM (1,92% FEPAM). Cofinanțarea națională publică alocată pentru OT3 este de aprox. 512,1 mil. €.</w:t>
      </w:r>
    </w:p>
    <w:p w14:paraId="4258A48C" w14:textId="77777777" w:rsidR="000F462D" w:rsidRPr="00C53B4B" w:rsidRDefault="000F462D" w:rsidP="009941AE">
      <w:pPr>
        <w:spacing w:after="0" w:line="240" w:lineRule="auto"/>
        <w:jc w:val="both"/>
        <w:rPr>
          <w:sz w:val="24"/>
          <w:szCs w:val="24"/>
        </w:rPr>
      </w:pPr>
      <w:r w:rsidRPr="00C53B4B">
        <w:rPr>
          <w:b/>
          <w:sz w:val="24"/>
          <w:szCs w:val="24"/>
          <w:highlight w:val="cyan"/>
        </w:rPr>
        <w:t>PNDR</w:t>
      </w:r>
      <w:r w:rsidRPr="00C53B4B">
        <w:rPr>
          <w:b/>
          <w:sz w:val="24"/>
          <w:szCs w:val="24"/>
        </w:rPr>
        <w:t xml:space="preserve"> susține OT 3</w:t>
      </w:r>
      <w:r w:rsidRPr="00C53B4B">
        <w:rPr>
          <w:sz w:val="24"/>
          <w:szCs w:val="24"/>
        </w:rPr>
        <w:t xml:space="preserve"> printr-o alocare FEADR de 2.662,6 mil. € investiții în întreprinderi agricole pentru creșterea viabilității fermelor și a competitivității tuturor tipurilor de agricultură și promovarea tehnologiilor agricole inovatoare, gestionarea durabilă a pădurilor, precum și promovarea organizării lanțului alimentar, inclusiv a sectoarelor de prelucrare și comercializare a produselor agricole, bunăstarea animalelor și gestionarea riscurilor în agricultură. </w:t>
      </w:r>
    </w:p>
    <w:p w14:paraId="5DAD72D0" w14:textId="77777777" w:rsidR="000F462D" w:rsidRPr="00C53B4B" w:rsidRDefault="000F462D" w:rsidP="009941AE">
      <w:pPr>
        <w:spacing w:after="0" w:line="240" w:lineRule="auto"/>
        <w:jc w:val="both"/>
        <w:rPr>
          <w:sz w:val="24"/>
          <w:szCs w:val="24"/>
        </w:rPr>
      </w:pPr>
      <w:r w:rsidRPr="00C53B4B">
        <w:rPr>
          <w:sz w:val="24"/>
          <w:szCs w:val="24"/>
        </w:rPr>
        <w:t xml:space="preserve">Până la finalul anului 2018 au fost angajate cheltuieli publice totale de cca. 2.441,3 mil. € (grad de angajare 79,6%) reprezentând suma publică totală contractată, din care au fost realizate cheltuieli publice totale pentru operațiunile demarate/finalizate în valoare de 1.372,0 mil. € (grad de plată 44,7%).Susținerea fermierilor și antreprenorilor din spațiul rural pentru finanțarea unor investiții și </w:t>
      </w:r>
      <w:r w:rsidRPr="00C53B4B">
        <w:rPr>
          <w:sz w:val="24"/>
          <w:szCs w:val="24"/>
        </w:rPr>
        <w:lastRenderedPageBreak/>
        <w:t xml:space="preserve">a capitalului de lucru se realizează și prin </w:t>
      </w:r>
      <w:r w:rsidRPr="00C53B4B">
        <w:rPr>
          <w:b/>
          <w:sz w:val="24"/>
          <w:szCs w:val="24"/>
        </w:rPr>
        <w:t>instrumentul financiar de creditare</w:t>
      </w:r>
      <w:r w:rsidRPr="00C53B4B">
        <w:rPr>
          <w:sz w:val="24"/>
          <w:szCs w:val="24"/>
        </w:rPr>
        <w:t xml:space="preserve"> cu partajarea riscului (93,87  mil. €. din care 87,76 mil. FEADR). Instrumentul se implementează în baza Acordului de finanțare între MADR, AFIR și FEI, semnat în  Noiembrie 2017. Procesul de selecție a intermediarilor financiari (Banca Comercială Română, </w:t>
      </w:r>
      <w:proofErr w:type="spellStart"/>
      <w:r w:rsidRPr="00C53B4B">
        <w:rPr>
          <w:sz w:val="24"/>
          <w:szCs w:val="24"/>
        </w:rPr>
        <w:t>Libra</w:t>
      </w:r>
      <w:proofErr w:type="spellEnd"/>
      <w:r w:rsidRPr="00C53B4B">
        <w:rPr>
          <w:sz w:val="24"/>
          <w:szCs w:val="24"/>
        </w:rPr>
        <w:t xml:space="preserve"> Internet Bank, </w:t>
      </w:r>
      <w:proofErr w:type="spellStart"/>
      <w:r w:rsidRPr="00C53B4B">
        <w:rPr>
          <w:sz w:val="24"/>
          <w:szCs w:val="24"/>
        </w:rPr>
        <w:t>ProCredit</w:t>
      </w:r>
      <w:proofErr w:type="spellEnd"/>
      <w:r w:rsidRPr="00C53B4B">
        <w:rPr>
          <w:sz w:val="24"/>
          <w:szCs w:val="24"/>
        </w:rPr>
        <w:t xml:space="preserve"> Bank, Raiffeisen Bank și UniCredit Bank) s-a finalizat în Septembrie 2018.  </w:t>
      </w:r>
    </w:p>
    <w:p w14:paraId="621A7B3D" w14:textId="77777777" w:rsidR="000F462D" w:rsidRPr="00C53B4B" w:rsidRDefault="000F462D" w:rsidP="009941AE">
      <w:pPr>
        <w:spacing w:after="0" w:line="240" w:lineRule="auto"/>
        <w:jc w:val="both"/>
        <w:rPr>
          <w:noProof/>
          <w:sz w:val="24"/>
          <w:szCs w:val="24"/>
        </w:rPr>
      </w:pPr>
      <w:r w:rsidRPr="00C53B4B">
        <w:rPr>
          <w:b/>
          <w:sz w:val="24"/>
          <w:szCs w:val="24"/>
          <w:highlight w:val="green"/>
        </w:rPr>
        <w:t>POR</w:t>
      </w:r>
      <w:r w:rsidRPr="00C53B4B">
        <w:rPr>
          <w:b/>
          <w:sz w:val="24"/>
          <w:szCs w:val="24"/>
        </w:rPr>
        <w:t xml:space="preserve"> a</w:t>
      </w:r>
      <w:r w:rsidRPr="00C53B4B">
        <w:rPr>
          <w:sz w:val="24"/>
          <w:szCs w:val="24"/>
        </w:rPr>
        <w:t xml:space="preserve">locă OT 3 peste 1.152 mil. € FEDR (18,3% din alocarea programului), pentru sprijinirea IMM-urilor în toate etapele de dezvoltare, atât prin finanțare directă, cât şi prin intermediul structurilor suport de incubare sau prin instrumente financiare. Prin AP 2 sunt susținute investițiile în active corporale pentru microîntreprinderi, incubatoarele și acceleratoarele de afaceri, modernizarea și extinderea spațiului de producție/serviciilor oferite de IMM, precum și în susținerea implementării procesului de certificare a produselor. </w:t>
      </w:r>
      <w:r w:rsidRPr="00C53B4B">
        <w:rPr>
          <w:noProof/>
          <w:sz w:val="24"/>
          <w:szCs w:val="24"/>
        </w:rPr>
        <w:t>În cursul anului 2018 a fost suplimentată alocarea pentru aceste intervenții la 979,7 mil. € FEDR, fiind finanțate proiectele din listele de rezervă ale apelurilor lansate anterior și a fost utilizată opțiune de supracontractare - 2700 proiecte (2 incubatoare de afaceri si 2698 IMM-uri).</w:t>
      </w:r>
    </w:p>
    <w:p w14:paraId="2CF6BFA8" w14:textId="77777777" w:rsidR="000F462D" w:rsidRPr="00C53B4B" w:rsidRDefault="000F462D" w:rsidP="009941AE">
      <w:pPr>
        <w:spacing w:after="0" w:line="240" w:lineRule="auto"/>
        <w:jc w:val="both"/>
        <w:rPr>
          <w:noProof/>
          <w:sz w:val="24"/>
          <w:szCs w:val="24"/>
        </w:rPr>
      </w:pPr>
      <w:r w:rsidRPr="00C53B4B">
        <w:rPr>
          <w:noProof/>
          <w:sz w:val="24"/>
          <w:szCs w:val="24"/>
        </w:rPr>
        <w:t xml:space="preserve">Pentru prioritatea de investiții dedicată </w:t>
      </w:r>
      <w:r w:rsidRPr="00C53B4B">
        <w:rPr>
          <w:b/>
          <w:noProof/>
          <w:sz w:val="24"/>
          <w:szCs w:val="24"/>
        </w:rPr>
        <w:t xml:space="preserve">microîntreprinderilor </w:t>
      </w:r>
      <w:r w:rsidRPr="00C53B4B">
        <w:rPr>
          <w:noProof/>
          <w:sz w:val="24"/>
          <w:szCs w:val="24"/>
        </w:rPr>
        <w:t xml:space="preserve">a fost finalizat procesul de evaluare, selecție și contractare a tuturor proiectelor depuse în cadrul apelului, alocarea financiară fiind acoperită în procent de 75%. </w:t>
      </w:r>
    </w:p>
    <w:p w14:paraId="11236A79" w14:textId="77777777" w:rsidR="000F462D" w:rsidRPr="00C53B4B" w:rsidRDefault="000F462D" w:rsidP="009941AE">
      <w:pPr>
        <w:spacing w:after="0" w:line="240" w:lineRule="auto"/>
        <w:jc w:val="both"/>
        <w:rPr>
          <w:noProof/>
          <w:sz w:val="24"/>
          <w:szCs w:val="24"/>
        </w:rPr>
      </w:pPr>
      <w:r w:rsidRPr="00C53B4B">
        <w:rPr>
          <w:noProof/>
          <w:sz w:val="24"/>
          <w:szCs w:val="24"/>
        </w:rPr>
        <w:t xml:space="preserve">Pentru prioritatea de investiție care vizează </w:t>
      </w:r>
      <w:r w:rsidRPr="00C53B4B">
        <w:rPr>
          <w:b/>
          <w:noProof/>
          <w:sz w:val="24"/>
          <w:szCs w:val="24"/>
        </w:rPr>
        <w:t>sprijinirea IMM-urilor</w:t>
      </w:r>
      <w:r w:rsidRPr="00C53B4B">
        <w:rPr>
          <w:noProof/>
          <w:sz w:val="24"/>
          <w:szCs w:val="24"/>
        </w:rPr>
        <w:t>, au fost contractate 92% din proiecte, respectiv 814 proiecte cu o valoare nerambursabilă de 498,52 mil €. În cazul investițiilor de acest tip din zona ITI Delta Dunării, proiectele depuse au depășit de 4 ori alocarea disponibilă. În ceea ce privește investițiile în Incubatoare de afaceri, au fost depuse 69 de proiecte alocarea fiind depășită cu aprox. 70% (2 proiecte contractate cu o valoare eligibilă de 1,3 mil €.).</w:t>
      </w:r>
      <w:r w:rsidRPr="00C53B4B">
        <w:rPr>
          <w:sz w:val="24"/>
          <w:szCs w:val="24"/>
        </w:rPr>
        <w:t xml:space="preserve"> </w:t>
      </w:r>
      <w:r w:rsidRPr="00C53B4B">
        <w:rPr>
          <w:noProof/>
          <w:sz w:val="24"/>
          <w:szCs w:val="24"/>
        </w:rPr>
        <w:t>Tintele stabilite pentru indicatorii din cadrul de performanță au fost atinse în cadrul acestei axe prioirtare.</w:t>
      </w:r>
    </w:p>
    <w:p w14:paraId="16B860A7" w14:textId="77777777" w:rsidR="000F462D" w:rsidRPr="00C53B4B" w:rsidRDefault="000F462D" w:rsidP="009941AE">
      <w:pPr>
        <w:shd w:val="clear" w:color="auto" w:fill="FFFFFF" w:themeFill="background1"/>
        <w:spacing w:after="0" w:line="240" w:lineRule="auto"/>
        <w:jc w:val="both"/>
        <w:rPr>
          <w:sz w:val="24"/>
          <w:szCs w:val="24"/>
        </w:rPr>
      </w:pPr>
      <w:r w:rsidRPr="00C53B4B">
        <w:rPr>
          <w:sz w:val="24"/>
          <w:szCs w:val="24"/>
        </w:rPr>
        <w:t xml:space="preserve">Utilizarea </w:t>
      </w:r>
      <w:r w:rsidRPr="00C53B4B">
        <w:rPr>
          <w:b/>
          <w:sz w:val="24"/>
          <w:szCs w:val="24"/>
        </w:rPr>
        <w:t>instrumentelor financiare</w:t>
      </w:r>
      <w:r w:rsidRPr="00C53B4B">
        <w:rPr>
          <w:sz w:val="24"/>
          <w:szCs w:val="24"/>
        </w:rPr>
        <w:t xml:space="preserve"> a fost stabilită în baza evaluării ex-ante, care a estimat un deficit de finanțare până în 2020, de cca. 3,4 mld. € (cca. 1,9 mld. pentru garanții și credite, cca. 1 mld. pentru </w:t>
      </w:r>
      <w:proofErr w:type="spellStart"/>
      <w:r w:rsidRPr="00C53B4B">
        <w:rPr>
          <w:sz w:val="24"/>
          <w:szCs w:val="24"/>
        </w:rPr>
        <w:t>microfinanțare</w:t>
      </w:r>
      <w:proofErr w:type="spellEnd"/>
      <w:r w:rsidRPr="00C53B4B">
        <w:rPr>
          <w:sz w:val="24"/>
          <w:szCs w:val="24"/>
        </w:rPr>
        <w:t xml:space="preserve"> și cca. 0,5 mld. pentru investiții de capital de risc pentru </w:t>
      </w:r>
      <w:proofErr w:type="spellStart"/>
      <w:r w:rsidRPr="00C53B4B">
        <w:rPr>
          <w:sz w:val="24"/>
          <w:szCs w:val="24"/>
        </w:rPr>
        <w:t>equity</w:t>
      </w:r>
      <w:proofErr w:type="spellEnd"/>
      <w:r w:rsidRPr="00C53B4B">
        <w:rPr>
          <w:sz w:val="24"/>
          <w:szCs w:val="24"/>
        </w:rPr>
        <w:t xml:space="preserve">).  </w:t>
      </w:r>
      <w:r w:rsidRPr="00C53B4B">
        <w:rPr>
          <w:b/>
          <w:sz w:val="24"/>
          <w:szCs w:val="24"/>
        </w:rPr>
        <w:t>POR</w:t>
      </w:r>
      <w:r w:rsidRPr="00C53B4B">
        <w:rPr>
          <w:sz w:val="24"/>
          <w:szCs w:val="24"/>
        </w:rPr>
        <w:t xml:space="preserve"> implementează instrumentul de tip </w:t>
      </w:r>
      <w:proofErr w:type="spellStart"/>
      <w:r w:rsidRPr="00C53B4B">
        <w:rPr>
          <w:sz w:val="24"/>
          <w:szCs w:val="24"/>
        </w:rPr>
        <w:t>equity</w:t>
      </w:r>
      <w:proofErr w:type="spellEnd"/>
      <w:r w:rsidRPr="00C53B4B">
        <w:rPr>
          <w:sz w:val="24"/>
          <w:szCs w:val="24"/>
        </w:rPr>
        <w:t xml:space="preserve"> în baza unui  Acord de Finanțare cu FEI (valoare totală de 58,82 mil. €, din care  50,00 mil. € FEDR) prin:</w:t>
      </w:r>
    </w:p>
    <w:p w14:paraId="3A609F17" w14:textId="77777777" w:rsidR="000F462D" w:rsidRPr="00C53B4B" w:rsidRDefault="000F462D" w:rsidP="009941AE">
      <w:pPr>
        <w:pStyle w:val="ListParagraph"/>
        <w:numPr>
          <w:ilvl w:val="0"/>
          <w:numId w:val="8"/>
        </w:numPr>
        <w:spacing w:after="0" w:line="240" w:lineRule="auto"/>
        <w:jc w:val="both"/>
        <w:rPr>
          <w:sz w:val="24"/>
          <w:szCs w:val="24"/>
        </w:rPr>
      </w:pPr>
      <w:r w:rsidRPr="00C53B4B">
        <w:rPr>
          <w:sz w:val="24"/>
          <w:szCs w:val="24"/>
        </w:rPr>
        <w:t xml:space="preserve">Fondul manager </w:t>
      </w:r>
      <w:proofErr w:type="spellStart"/>
      <w:r w:rsidRPr="00C53B4B">
        <w:rPr>
          <w:sz w:val="24"/>
          <w:szCs w:val="24"/>
        </w:rPr>
        <w:t>Morphosis</w:t>
      </w:r>
      <w:proofErr w:type="spellEnd"/>
      <w:r w:rsidRPr="00C53B4B">
        <w:rPr>
          <w:sz w:val="24"/>
          <w:szCs w:val="24"/>
        </w:rPr>
        <w:t xml:space="preserve">  - capital 48 mil. € (FEDR 27,9 mil. €, resurse private BEI/FEI 12 mil. €, alte surse private obținute de intermediar 8,1 mil. €);</w:t>
      </w:r>
    </w:p>
    <w:p w14:paraId="27C40694" w14:textId="77777777" w:rsidR="000F462D" w:rsidRPr="00C53B4B" w:rsidRDefault="000F462D" w:rsidP="009941AE">
      <w:pPr>
        <w:pStyle w:val="ListParagraph"/>
        <w:numPr>
          <w:ilvl w:val="0"/>
          <w:numId w:val="8"/>
        </w:numPr>
        <w:spacing w:after="0" w:line="240" w:lineRule="auto"/>
        <w:jc w:val="both"/>
        <w:rPr>
          <w:sz w:val="24"/>
          <w:szCs w:val="24"/>
        </w:rPr>
      </w:pPr>
      <w:r w:rsidRPr="00C53B4B">
        <w:rPr>
          <w:sz w:val="24"/>
          <w:szCs w:val="24"/>
        </w:rPr>
        <w:t xml:space="preserve">Fondul manager Black </w:t>
      </w:r>
      <w:proofErr w:type="spellStart"/>
      <w:r w:rsidRPr="00C53B4B">
        <w:rPr>
          <w:sz w:val="24"/>
          <w:szCs w:val="24"/>
        </w:rPr>
        <w:t>Sea</w:t>
      </w:r>
      <w:proofErr w:type="spellEnd"/>
      <w:r w:rsidRPr="00C53B4B">
        <w:rPr>
          <w:sz w:val="24"/>
          <w:szCs w:val="24"/>
        </w:rPr>
        <w:t xml:space="preserve"> Fund - capital 43 mil. € (FEDR 27,9 mil. € , resurse private BEI/FEI 12 mil. €, alte surse private obținute de intermediar 3,1 mil. €).</w:t>
      </w:r>
    </w:p>
    <w:p w14:paraId="263D31B6" w14:textId="77777777" w:rsidR="000F462D" w:rsidRPr="00C53B4B" w:rsidRDefault="000F462D" w:rsidP="009941AE">
      <w:pPr>
        <w:spacing w:after="0" w:line="240" w:lineRule="auto"/>
        <w:contextualSpacing/>
        <w:jc w:val="both"/>
        <w:rPr>
          <w:rFonts w:eastAsia="Times New Roman" w:cs="Times New Roman"/>
          <w:sz w:val="24"/>
          <w:szCs w:val="24"/>
        </w:rPr>
      </w:pPr>
      <w:r w:rsidRPr="00C53B4B">
        <w:rPr>
          <w:rFonts w:eastAsia="Times New Roman" w:cs="Times New Roman"/>
          <w:iCs/>
          <w:sz w:val="24"/>
          <w:szCs w:val="24"/>
        </w:rPr>
        <w:t xml:space="preserve">În data de 16 octombrie 2018, CE a aprobat modificarea POR, respectiv transferul Inițiativei pentru IMM-uri ca axă prioritară (AP15 – Inițiativa pentru IMM-uri), precum și majorarea cu 150 milioane € a alocării inițiale de 100 mil. € FEDR, portofoliu-țintă fiind în acest caz de cca. 1,4 </w:t>
      </w:r>
      <w:proofErr w:type="spellStart"/>
      <w:r w:rsidRPr="00C53B4B">
        <w:rPr>
          <w:rFonts w:eastAsia="Times New Roman" w:cs="Times New Roman"/>
          <w:iCs/>
          <w:sz w:val="24"/>
          <w:szCs w:val="24"/>
        </w:rPr>
        <w:t>mlrd</w:t>
      </w:r>
      <w:proofErr w:type="spellEnd"/>
      <w:r w:rsidRPr="00C53B4B">
        <w:rPr>
          <w:rFonts w:eastAsia="Times New Roman" w:cs="Times New Roman"/>
          <w:iCs/>
          <w:sz w:val="24"/>
          <w:szCs w:val="24"/>
        </w:rPr>
        <w:t xml:space="preserve">. €. </w:t>
      </w:r>
      <w:r w:rsidRPr="00C53B4B">
        <w:rPr>
          <w:rFonts w:eastAsia="Times New Roman" w:cs="Times New Roman"/>
          <w:sz w:val="24"/>
          <w:szCs w:val="24"/>
        </w:rPr>
        <w:t xml:space="preserve">Stadiul implementării Inițiativei pentru IMM-uri: 1.585 de IMM-uri sprijinite cu nivel minim al efectului de levier de 1,6 (rate de garantare de 60%). </w:t>
      </w:r>
    </w:p>
    <w:p w14:paraId="14A8D3B5" w14:textId="77777777" w:rsidR="000F462D" w:rsidRPr="00C53B4B" w:rsidRDefault="000F462D" w:rsidP="009941AE">
      <w:pPr>
        <w:spacing w:after="0" w:line="240" w:lineRule="auto"/>
        <w:jc w:val="both"/>
        <w:rPr>
          <w:sz w:val="24"/>
          <w:szCs w:val="24"/>
        </w:rPr>
      </w:pPr>
      <w:r w:rsidRPr="00C53B4B">
        <w:rPr>
          <w:b/>
          <w:sz w:val="24"/>
          <w:szCs w:val="24"/>
          <w:highlight w:val="cyan"/>
        </w:rPr>
        <w:t>POPAM</w:t>
      </w:r>
      <w:r w:rsidRPr="00C53B4B">
        <w:rPr>
          <w:sz w:val="24"/>
          <w:szCs w:val="24"/>
        </w:rPr>
        <w:t xml:space="preserve"> susține întreprinderile din domeniul pescuitului și acvaculturii, care doresc să demareze o afacere în aceste domenii, alocând aprox. 75,1 mil. € FEPAM, contribuind la OT3 prin măsurile I.1 și II.1 cu impact direct și indirect prin măsurile I.2, I.6, I.22, I.23, II.2, II.5, II.12, IV.1, IV.3, IV.4. Numărul total de contracte este de 64, cu o valoare FEPAM de peste 23,78 mil. € (plăți efectuate din FEPAM de 5.889.002,53 €). Din cadrul de performanță aferent priorităților uniunii fac parte numai măsurile cu impact indirect (I.23, II.2 și IV.4).</w:t>
      </w:r>
    </w:p>
    <w:p w14:paraId="2BCE9043" w14:textId="26F8246A"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Intervențiile aferente OT 04</w:t>
      </w:r>
      <w:r w:rsidRPr="00C53B4B">
        <w:rPr>
          <w:sz w:val="24"/>
          <w:szCs w:val="24"/>
        </w:rPr>
        <w:t xml:space="preserve"> susțin exclusiv provocarea de dezvoltare „</w:t>
      </w:r>
      <w:r w:rsidRPr="00C53B4B">
        <w:rPr>
          <w:i/>
          <w:sz w:val="24"/>
          <w:szCs w:val="24"/>
        </w:rPr>
        <w:t>Resurse</w:t>
      </w:r>
      <w:r w:rsidRPr="00C53B4B">
        <w:rPr>
          <w:sz w:val="24"/>
          <w:szCs w:val="24"/>
        </w:rPr>
        <w:t>” și însumează cca. 3.150 mil. € fonduri ESI în cadrul a 4 programe: POR (85,6%), POIM (5,06%), PNDR (9,21%) şi POPAM (</w:t>
      </w:r>
      <w:r w:rsidR="0004340C" w:rsidRPr="00C53B4B">
        <w:rPr>
          <w:sz w:val="24"/>
          <w:szCs w:val="24"/>
        </w:rPr>
        <w:t>1,61</w:t>
      </w:r>
      <w:r w:rsidRPr="00C53B4B">
        <w:rPr>
          <w:sz w:val="24"/>
          <w:szCs w:val="24"/>
        </w:rPr>
        <w:t>%). OT 4 are o pondere de 10,2% din totalul alocării AP. Cofinanțarea națională publică alocată pentru OT 4 este de aprox. 703 mil. €.</w:t>
      </w:r>
    </w:p>
    <w:p w14:paraId="2E811516" w14:textId="77777777" w:rsidR="000F462D" w:rsidRPr="00C53B4B" w:rsidRDefault="000F462D" w:rsidP="009941AE">
      <w:pPr>
        <w:spacing w:after="0" w:line="240" w:lineRule="auto"/>
        <w:jc w:val="both"/>
        <w:rPr>
          <w:sz w:val="24"/>
          <w:szCs w:val="24"/>
        </w:rPr>
      </w:pPr>
      <w:r w:rsidRPr="00C53B4B">
        <w:rPr>
          <w:sz w:val="24"/>
          <w:szCs w:val="24"/>
        </w:rPr>
        <w:t xml:space="preserve">Pentru OT 4, prin AP 3 și parțial prin AP 4, </w:t>
      </w:r>
      <w:r w:rsidRPr="00C53B4B">
        <w:rPr>
          <w:b/>
          <w:sz w:val="24"/>
          <w:szCs w:val="24"/>
          <w:highlight w:val="green"/>
          <w:u w:val="single"/>
        </w:rPr>
        <w:t>POR</w:t>
      </w:r>
      <w:r w:rsidRPr="00C53B4B">
        <w:rPr>
          <w:sz w:val="24"/>
          <w:szCs w:val="24"/>
        </w:rPr>
        <w:t xml:space="preserve"> alocă 2.410 mil. € FEDR (35,13% din program). AP 3 finanțează măsuri de eficiență energetică a clădirilor publice și rezidențiale, inclusiv măsuri de iluminat public, contribuind la reducerea consumului de energie și a emisiilor cu efect de gaze de seră, precum și activități destinate reducerii emisiilor de CO2 prin stimularea mobilității urbane </w:t>
      </w:r>
      <w:r w:rsidRPr="00C53B4B">
        <w:rPr>
          <w:sz w:val="24"/>
          <w:szCs w:val="24"/>
        </w:rPr>
        <w:lastRenderedPageBreak/>
        <w:t xml:space="preserve">durabile, contribuind la reducerea gradului de poluare. În cadrul apelurilor lansate pana în decembrie 2018, au fost depuse 467 proiecte (511,19 mil €) pentru Clădiri rezidențiale, 686 de proiecte (917,43 mil €) pentru Clădiri publice și 124 de proiecte (295,27 mil €) pentru Iluminat Public. De asemenea, pentru mobilitate urbană au fost depuse 107 de proiecte cu o valoare nerambursabilă de 765,88 </w:t>
      </w:r>
      <w:proofErr w:type="spellStart"/>
      <w:r w:rsidRPr="00C53B4B">
        <w:rPr>
          <w:sz w:val="24"/>
          <w:szCs w:val="24"/>
        </w:rPr>
        <w:t>mil.€</w:t>
      </w:r>
      <w:proofErr w:type="spellEnd"/>
      <w:r w:rsidRPr="00C53B4B">
        <w:rPr>
          <w:sz w:val="24"/>
          <w:szCs w:val="24"/>
        </w:rPr>
        <w:t xml:space="preserve">, iar la finalul anului 2018 erau contractate 22 proiecte (162,43 mil. €) și au fost certificate cheltuieli de 96,26 </w:t>
      </w:r>
      <w:proofErr w:type="spellStart"/>
      <w:r w:rsidRPr="00C53B4B">
        <w:rPr>
          <w:sz w:val="24"/>
          <w:szCs w:val="24"/>
        </w:rPr>
        <w:t>mil.€</w:t>
      </w:r>
      <w:proofErr w:type="spellEnd"/>
      <w:r w:rsidRPr="00C53B4B">
        <w:rPr>
          <w:sz w:val="24"/>
          <w:szCs w:val="24"/>
        </w:rPr>
        <w:t>.</w:t>
      </w:r>
    </w:p>
    <w:p w14:paraId="2912B00E" w14:textId="77777777" w:rsidR="000F462D" w:rsidRPr="00C53B4B" w:rsidRDefault="000F462D" w:rsidP="009941AE">
      <w:pPr>
        <w:spacing w:after="0" w:line="240" w:lineRule="auto"/>
        <w:jc w:val="both"/>
        <w:rPr>
          <w:sz w:val="24"/>
          <w:szCs w:val="24"/>
        </w:rPr>
      </w:pPr>
      <w:r w:rsidRPr="00C53B4B">
        <w:rPr>
          <w:sz w:val="24"/>
          <w:szCs w:val="24"/>
        </w:rPr>
        <w:t xml:space="preserve">Cadrul de performanță al AP 3 a fost îndeplinit pentru categoria </w:t>
      </w:r>
      <w:r w:rsidRPr="00C53B4B">
        <w:rPr>
          <w:i/>
          <w:sz w:val="24"/>
          <w:szCs w:val="24"/>
        </w:rPr>
        <w:t>regiuni mai dezvoltate</w:t>
      </w:r>
      <w:r w:rsidRPr="00C53B4B">
        <w:rPr>
          <w:sz w:val="24"/>
          <w:szCs w:val="24"/>
        </w:rPr>
        <w:t xml:space="preserve"> (București-Ilfov), iar pentru categoria </w:t>
      </w:r>
      <w:r w:rsidRPr="00C53B4B">
        <w:rPr>
          <w:i/>
          <w:sz w:val="24"/>
          <w:szCs w:val="24"/>
        </w:rPr>
        <w:t>regiuni mai puțin dezvoltate</w:t>
      </w:r>
      <w:r w:rsidRPr="00C53B4B">
        <w:rPr>
          <w:sz w:val="24"/>
          <w:szCs w:val="24"/>
        </w:rPr>
        <w:t xml:space="preserve"> țintele indicatorilor din cadrul de performanță pentru 2018 nu au fost atinse, urmând ca sumele aferente rezervei de performanță să fie redistribuite. AP 4, finanțează în cadrul OT 4 măsuri destinate reducerii emisiilor de CO2 prin stimularea mobilității urbane durabile în municipiile reședință de județ, prin PI 4.1.</w:t>
      </w:r>
      <w:r w:rsidRPr="00C53B4B">
        <w:rPr>
          <w:noProof/>
          <w:sz w:val="24"/>
          <w:szCs w:val="24"/>
        </w:rPr>
        <w:t xml:space="preserve"> </w:t>
      </w:r>
      <w:r w:rsidRPr="00C53B4B">
        <w:rPr>
          <w:sz w:val="24"/>
          <w:szCs w:val="24"/>
        </w:rPr>
        <w:t xml:space="preserve">Au fost depuse 116 de proiecte (1,24 </w:t>
      </w:r>
      <w:proofErr w:type="spellStart"/>
      <w:r w:rsidRPr="00C53B4B">
        <w:rPr>
          <w:sz w:val="24"/>
          <w:szCs w:val="24"/>
        </w:rPr>
        <w:t>mld.€</w:t>
      </w:r>
      <w:proofErr w:type="spellEnd"/>
      <w:r w:rsidRPr="00C53B4B">
        <w:rPr>
          <w:sz w:val="24"/>
          <w:szCs w:val="24"/>
        </w:rPr>
        <w:t xml:space="preserve">), iar la finalul anului 2018 erau contractate 19 proiecte (206,31 </w:t>
      </w:r>
      <w:proofErr w:type="spellStart"/>
      <w:r w:rsidRPr="00C53B4B">
        <w:rPr>
          <w:sz w:val="24"/>
          <w:szCs w:val="24"/>
        </w:rPr>
        <w:t>mil.€</w:t>
      </w:r>
      <w:proofErr w:type="spellEnd"/>
      <w:r w:rsidRPr="00C53B4B">
        <w:rPr>
          <w:sz w:val="24"/>
          <w:szCs w:val="24"/>
        </w:rPr>
        <w:t>).</w:t>
      </w:r>
    </w:p>
    <w:p w14:paraId="4CF8D25E" w14:textId="77777777" w:rsidR="000F462D" w:rsidRPr="00C53B4B" w:rsidRDefault="000F462D" w:rsidP="009941AE">
      <w:pPr>
        <w:spacing w:after="0" w:line="240" w:lineRule="auto"/>
        <w:jc w:val="both"/>
        <w:rPr>
          <w:sz w:val="24"/>
          <w:szCs w:val="24"/>
        </w:rPr>
      </w:pPr>
      <w:r w:rsidRPr="00C53B4B">
        <w:rPr>
          <w:b/>
          <w:sz w:val="24"/>
          <w:szCs w:val="24"/>
          <w:highlight w:val="cyan"/>
          <w:u w:val="single"/>
        </w:rPr>
        <w:t>POIM</w:t>
      </w:r>
      <w:r w:rsidRPr="00C53B4B">
        <w:rPr>
          <w:sz w:val="24"/>
          <w:szCs w:val="24"/>
        </w:rPr>
        <w:t xml:space="preserve"> alocă acestui obiectiv specific 446,8 mil. € fonduri nerambursabile (4,8% din alocarea programului), din care 287,23 mil. € FEDR și 159,57 mil. € FC, pentru promovarea energiei curate și eficienței energetice și creșterii eficienței energetice la nivelul sistemului centralizat de termoficare, prin intermediul a 2 axe prioritare dedicate AP 6 si AP7. La 31 decembrie 2018, erau lansate apeluri reprezentând 94% din alocarea fiecărei AP. Contractele de finanțare semnate reprezentau 8,3% în cazul AP 6 și 22% în cazul AP 7.</w:t>
      </w:r>
    </w:p>
    <w:p w14:paraId="00AB2C5B" w14:textId="77777777" w:rsidR="000F462D" w:rsidRPr="00C53B4B" w:rsidRDefault="000F462D" w:rsidP="009941AE">
      <w:pPr>
        <w:spacing w:after="0" w:line="240" w:lineRule="auto"/>
        <w:jc w:val="both"/>
        <w:rPr>
          <w:sz w:val="24"/>
          <w:szCs w:val="24"/>
        </w:rPr>
      </w:pPr>
      <w:r w:rsidRPr="00C53B4B">
        <w:rPr>
          <w:sz w:val="24"/>
          <w:szCs w:val="24"/>
        </w:rPr>
        <w:t>Indicatorii din cadrul de performanță nu au fost atinși pentru AP 6, valoarea atinsă pentru capacitatea instalată pentru producţia de energie regenerabilă din proiecte contractate fiind 0 față de ținta de 48 MW, pentru capacitatea instalată pentru producţia de energie în cogenerare de înaltă eficiență din proiecte contractate fiind 17,14 față de ținta de 40MW, iar suma totală a cheltuielii eligibile din sistemul contabil al autorităţii de certificare, fiind de 628.036,99 euro față de ținta de 27.269.778 euro.</w:t>
      </w:r>
    </w:p>
    <w:p w14:paraId="41D1481F" w14:textId="77777777" w:rsidR="000F462D" w:rsidRPr="00C53B4B" w:rsidRDefault="000F462D" w:rsidP="009941AE">
      <w:pPr>
        <w:spacing w:after="0" w:line="240" w:lineRule="auto"/>
        <w:jc w:val="both"/>
        <w:rPr>
          <w:sz w:val="24"/>
          <w:szCs w:val="24"/>
        </w:rPr>
      </w:pPr>
      <w:r w:rsidRPr="00C53B4B">
        <w:rPr>
          <w:sz w:val="24"/>
          <w:szCs w:val="24"/>
        </w:rPr>
        <w:t>Astfel, pentru AP 6 valorile atinse pentru indicatorii aferenți cadrului de performanță nu permit îndeplinirea condițiilor pentru alocarea definitivă a rezervei de performanță în cuantum de 11.83 mil euro din fonduri nerambursabile.</w:t>
      </w:r>
    </w:p>
    <w:p w14:paraId="14C8956C" w14:textId="77777777" w:rsidR="000F462D" w:rsidRPr="00C53B4B" w:rsidRDefault="000F462D" w:rsidP="009941AE">
      <w:pPr>
        <w:spacing w:after="0" w:line="240" w:lineRule="auto"/>
        <w:jc w:val="both"/>
        <w:rPr>
          <w:sz w:val="24"/>
          <w:szCs w:val="24"/>
        </w:rPr>
      </w:pPr>
      <w:r w:rsidRPr="00C53B4B">
        <w:rPr>
          <w:sz w:val="24"/>
          <w:szCs w:val="24"/>
        </w:rPr>
        <w:t>Progresul insuficient în implementarea priorității a fost cauzat de complexitatea regulilor de ajutor de stat aplicabile și cuantumul redus al sprijinului care poate fi acordat în conformitate cu acestea.</w:t>
      </w:r>
    </w:p>
    <w:p w14:paraId="6E190C19" w14:textId="77777777" w:rsidR="000F462D" w:rsidRPr="00C53B4B" w:rsidRDefault="000F462D" w:rsidP="009941AE">
      <w:pPr>
        <w:spacing w:after="0" w:line="240" w:lineRule="auto"/>
        <w:jc w:val="both"/>
        <w:rPr>
          <w:sz w:val="24"/>
          <w:szCs w:val="24"/>
        </w:rPr>
      </w:pPr>
      <w:r w:rsidRPr="00C53B4B">
        <w:rPr>
          <w:b/>
          <w:sz w:val="24"/>
          <w:szCs w:val="24"/>
          <w:highlight w:val="cyan"/>
        </w:rPr>
        <w:t>PNDR</w:t>
      </w:r>
      <w:r w:rsidRPr="00C53B4B">
        <w:rPr>
          <w:sz w:val="24"/>
          <w:szCs w:val="24"/>
        </w:rPr>
        <w:t xml:space="preserve"> finanțează promovarea utilizării eficiente a resurselor și sprijinirea tranziției către o economie cu emisii reduse de carbon și rezistentă la schimbările climatice în sectoarele agricol, alimentar și silvic, alocarea FEADR fiind de 290,2 mil. €.</w:t>
      </w:r>
    </w:p>
    <w:p w14:paraId="51F2204E" w14:textId="77777777" w:rsidR="000F462D" w:rsidRPr="00C53B4B" w:rsidRDefault="000F462D" w:rsidP="009941AE">
      <w:pPr>
        <w:spacing w:after="0" w:line="240" w:lineRule="auto"/>
        <w:jc w:val="both"/>
        <w:rPr>
          <w:sz w:val="24"/>
          <w:szCs w:val="24"/>
        </w:rPr>
      </w:pPr>
      <w:r w:rsidRPr="00C53B4B">
        <w:rPr>
          <w:sz w:val="24"/>
          <w:szCs w:val="24"/>
        </w:rPr>
        <w:t>Până la 31.12.2018 au fost angajate cheltuieli publice totale de 231,5 mil. € (grad de angajare 66,9%) reprezentând suma publică totală contractată, din care au fost efectuate cheltuieli publice totale pentru operațiunile demarate/finalizate în valoare de 58,9 mil. € (grad de plată 17,0%).</w:t>
      </w:r>
    </w:p>
    <w:p w14:paraId="50CE28AD" w14:textId="77777777" w:rsidR="000F462D" w:rsidRPr="00C53B4B" w:rsidRDefault="000F462D" w:rsidP="009941AE">
      <w:pPr>
        <w:spacing w:after="0" w:line="240" w:lineRule="auto"/>
        <w:jc w:val="both"/>
        <w:rPr>
          <w:sz w:val="24"/>
          <w:szCs w:val="24"/>
        </w:rPr>
      </w:pPr>
      <w:r w:rsidRPr="00C53B4B">
        <w:rPr>
          <w:b/>
          <w:sz w:val="24"/>
          <w:szCs w:val="24"/>
          <w:highlight w:val="cyan"/>
        </w:rPr>
        <w:t>POPAM</w:t>
      </w:r>
      <w:r w:rsidRPr="00C53B4B">
        <w:rPr>
          <w:sz w:val="24"/>
          <w:szCs w:val="24"/>
        </w:rPr>
        <w:t xml:space="preserve"> sprijină fermele de acvacultură în vederea utilizării surselor regenerabile de energie, alocând aprox. 2,7 mil. € FEPAM prin I.21 și II.4. Numărul total de contracte este de 3, cu o valoare FEPAM de 0,124 mil. €, și plăți efectuate din FEPAM de 0,056 mil. €.</w:t>
      </w:r>
    </w:p>
    <w:p w14:paraId="0FFB549C" w14:textId="77777777" w:rsidR="000F462D" w:rsidRPr="00C53B4B" w:rsidRDefault="000F462D" w:rsidP="009941AE">
      <w:pPr>
        <w:spacing w:after="0" w:line="240" w:lineRule="auto"/>
        <w:jc w:val="both"/>
        <w:rPr>
          <w:sz w:val="24"/>
          <w:szCs w:val="24"/>
        </w:rPr>
      </w:pPr>
      <w:r w:rsidRPr="00C53B4B">
        <w:rPr>
          <w:sz w:val="24"/>
          <w:szCs w:val="24"/>
        </w:rPr>
        <w:t>Niciuna din măsurile mai sus menționate nu contribuie la cadrul de performanță aferent Priorității Uniunii din care face parte.</w:t>
      </w:r>
    </w:p>
    <w:p w14:paraId="37E99D65" w14:textId="77777777"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Intervențiile aferente OT 5</w:t>
      </w:r>
      <w:r w:rsidRPr="00C53B4B">
        <w:rPr>
          <w:sz w:val="24"/>
          <w:szCs w:val="24"/>
        </w:rPr>
        <w:t xml:space="preserve"> susțin exclusiv provocarea de dezvoltare „Resurse”, beneficiind de o alocare totală de aprox. 2.016,4 mil. €, fonduri ESI în cadrul a 2 programe: POIM (23,7%) și PNDR (76,3%). OT 5 are o pondere de 6,56% din totalul alocării AP. Cofinanțarea națională publică alocată pentru OT 5 este de aprox. 351,2 mil. €.</w:t>
      </w:r>
    </w:p>
    <w:p w14:paraId="1847F26D" w14:textId="77777777" w:rsidR="000F462D" w:rsidRPr="00C53B4B" w:rsidRDefault="000F462D" w:rsidP="009941AE">
      <w:pPr>
        <w:spacing w:after="0" w:line="240" w:lineRule="auto"/>
        <w:jc w:val="both"/>
        <w:rPr>
          <w:sz w:val="24"/>
          <w:szCs w:val="24"/>
        </w:rPr>
      </w:pPr>
      <w:r w:rsidRPr="00C53B4B">
        <w:rPr>
          <w:b/>
          <w:sz w:val="24"/>
          <w:szCs w:val="24"/>
          <w:highlight w:val="cyan"/>
        </w:rPr>
        <w:t>POIM,</w:t>
      </w:r>
      <w:r w:rsidRPr="00C53B4B">
        <w:rPr>
          <w:sz w:val="24"/>
          <w:szCs w:val="24"/>
        </w:rPr>
        <w:t xml:space="preserve"> prin AP 5, alocă 478,7 mil. € FC și susține investiții pentru promovarea infrastructurilor verzi şi a măsurilor structurale cu rol de protecție și prevenire a producerii unor daune economice ridicate ca urmare a manifestării unor riscuri naturale, precum și dotarea autorităților responsabile cu managementul situațiilor de criză în vederea reducerii timpului de răspuns şi intervenții la dezastre. Pentru anii 2017 și 2018, au fost finanțate în principal proiecte pentru protecția împotriva inundațiilor și a eroziunii costiere, managementul integrat al apelor. Până la 31.12.2018 rata de contractare a ajuns la 159,88% față de 10,84% cât era la 31.12.2017. Valoarea rambursată </w:t>
      </w:r>
      <w:r w:rsidRPr="00C53B4B">
        <w:rPr>
          <w:sz w:val="24"/>
          <w:szCs w:val="24"/>
        </w:rPr>
        <w:lastRenderedPageBreak/>
        <w:t>de către CE a fost de 43 mil. €, ceea ce reprezintă o rată de absorbție de 9% (FC) dintr-un total de 478,72 mil. € Contribuție UE, în creștere față de rata de 6,82% de la finalul lui 2017.</w:t>
      </w:r>
    </w:p>
    <w:p w14:paraId="1B2C050F" w14:textId="77777777" w:rsidR="000F462D" w:rsidRPr="00C53B4B" w:rsidRDefault="000F462D" w:rsidP="009941AE">
      <w:pPr>
        <w:spacing w:after="0" w:line="240" w:lineRule="auto"/>
        <w:jc w:val="both"/>
        <w:rPr>
          <w:sz w:val="24"/>
          <w:szCs w:val="24"/>
        </w:rPr>
      </w:pPr>
      <w:r w:rsidRPr="00C53B4B">
        <w:rPr>
          <w:sz w:val="24"/>
          <w:szCs w:val="24"/>
        </w:rPr>
        <w:t>În anul 2018, la nivelul indicatorilor de performanță au fost recuperate întârzierile înregistrate în 2017, fiind atinse valori ale indicatorilor care permit alocarea definitivă a rezervei de performanță (4.207.040 persoane - populație care va beneficia de măsuri de protecție împotriva inundațiilor propusă prin proiecte contractate, 30,54 km lungime de plajă / faleză.</w:t>
      </w:r>
    </w:p>
    <w:p w14:paraId="02CAD28A" w14:textId="77777777" w:rsidR="000F462D" w:rsidRPr="00C53B4B" w:rsidRDefault="000F462D" w:rsidP="009941AE">
      <w:pPr>
        <w:spacing w:after="0" w:line="240" w:lineRule="auto"/>
        <w:jc w:val="both"/>
        <w:rPr>
          <w:sz w:val="24"/>
          <w:szCs w:val="24"/>
        </w:rPr>
      </w:pPr>
      <w:r w:rsidRPr="00C53B4B">
        <w:rPr>
          <w:b/>
          <w:sz w:val="24"/>
          <w:szCs w:val="24"/>
          <w:highlight w:val="cyan"/>
        </w:rPr>
        <w:t>PNDR</w:t>
      </w:r>
      <w:r w:rsidRPr="00C53B4B">
        <w:rPr>
          <w:sz w:val="24"/>
          <w:szCs w:val="24"/>
        </w:rPr>
        <w:t xml:space="preserve"> alocă pentru OT5 aprox. 1.538 mil. € FEADR (1.796,5 mil. € total alocare publică) și finanțează investițiile dedicate refacerii, conservării și dezvoltării biodiversității în zonele care se confruntă cu constrângeri naturale sau cu alte constrângeri specifice, a activităților agricole de mare valoare naturală, precum și a stării peisajelor europene, eficientizarea utilizării apei în agricultură,  prevenirea eroziunii solului și îmbunătățirea gestionării apelor, îngrășămintelor și a pesticidelor.</w:t>
      </w:r>
    </w:p>
    <w:p w14:paraId="39FBB38D" w14:textId="77777777" w:rsidR="000F462D" w:rsidRPr="00C53B4B" w:rsidRDefault="000F462D" w:rsidP="009941AE">
      <w:pPr>
        <w:spacing w:after="0" w:line="240" w:lineRule="auto"/>
        <w:jc w:val="both"/>
        <w:rPr>
          <w:sz w:val="24"/>
          <w:szCs w:val="24"/>
        </w:rPr>
      </w:pPr>
      <w:r w:rsidRPr="00C53B4B">
        <w:rPr>
          <w:sz w:val="24"/>
          <w:szCs w:val="24"/>
        </w:rPr>
        <w:t>Pentru acest obiectiv au fost finanțate investițiile pentru dezvoltarea, modernizarea sau adaptarea infrastructurii agricole și silvice – componenta infrastructură de irigații (</w:t>
      </w:r>
      <w:proofErr w:type="spellStart"/>
      <w:r w:rsidRPr="00C53B4B">
        <w:rPr>
          <w:sz w:val="24"/>
          <w:szCs w:val="24"/>
        </w:rPr>
        <w:t>sM</w:t>
      </w:r>
      <w:proofErr w:type="spellEnd"/>
      <w:r w:rsidRPr="00C53B4B">
        <w:rPr>
          <w:sz w:val="24"/>
          <w:szCs w:val="24"/>
        </w:rPr>
        <w:t xml:space="preserve"> 4.3), </w:t>
      </w:r>
      <w:proofErr w:type="spellStart"/>
      <w:r w:rsidRPr="00C53B4B">
        <w:rPr>
          <w:sz w:val="24"/>
          <w:szCs w:val="24"/>
        </w:rPr>
        <w:t>agromediu</w:t>
      </w:r>
      <w:proofErr w:type="spellEnd"/>
      <w:r w:rsidRPr="00C53B4B">
        <w:rPr>
          <w:sz w:val="24"/>
          <w:szCs w:val="24"/>
        </w:rPr>
        <w:t xml:space="preserve"> și climă (M10), agricultură ecologică (M11) și plăți pentru zone care se confruntă cu constrângeri naturale sau cu alte constrângeri specifice (M13).</w:t>
      </w:r>
    </w:p>
    <w:p w14:paraId="082403A4" w14:textId="77777777" w:rsidR="000F462D" w:rsidRPr="00C53B4B" w:rsidRDefault="000F462D" w:rsidP="009941AE">
      <w:pPr>
        <w:spacing w:after="0" w:line="240" w:lineRule="auto"/>
        <w:jc w:val="both"/>
        <w:rPr>
          <w:sz w:val="24"/>
          <w:szCs w:val="24"/>
        </w:rPr>
      </w:pPr>
      <w:r w:rsidRPr="00C53B4B">
        <w:rPr>
          <w:sz w:val="24"/>
          <w:szCs w:val="24"/>
        </w:rPr>
        <w:t>Până la 31.12.2018 au fost angajate cheltuieli publice de cca. 989,6 mil. €. (grad de angajare 55,1%) reprezentând suma publică totală contractată, respectiv suma publică solicitată anual în cadrul angajamentelor anuale sau multianuale, din care au fost efectuate cheltuieli publice totale pentru operațiunile demarate/finalizate, respectiv angajamentele a căror cerere anuală a fost plătită integral în cazul măsurilor de plăți compensatorii pe suprafață/animale în valoare de 655,5 mil. € (grad de plată 36,5%).</w:t>
      </w:r>
    </w:p>
    <w:p w14:paraId="68AC65C5" w14:textId="62368C5B" w:rsidR="000F462D" w:rsidRPr="00C53B4B" w:rsidRDefault="000F462D" w:rsidP="009941AE">
      <w:pPr>
        <w:spacing w:after="60" w:line="240" w:lineRule="auto"/>
        <w:jc w:val="both"/>
        <w:rPr>
          <w:b/>
          <w:sz w:val="24"/>
          <w:szCs w:val="24"/>
        </w:rPr>
      </w:pPr>
      <w:r w:rsidRPr="00C53B4B">
        <w:rPr>
          <w:b/>
          <w:color w:val="FF0000"/>
          <w:sz w:val="24"/>
          <w:szCs w:val="24"/>
          <w:u w:val="single"/>
          <w:shd w:val="clear" w:color="auto" w:fill="EEECE1" w:themeFill="background2"/>
        </w:rPr>
        <w:t>Intervențiile aferente OT 6</w:t>
      </w:r>
      <w:r w:rsidRPr="00C53B4B">
        <w:rPr>
          <w:rFonts w:cs="Arial"/>
          <w:b/>
          <w:color w:val="5F497A" w:themeColor="accent4" w:themeShade="BF"/>
          <w:sz w:val="24"/>
          <w:szCs w:val="24"/>
        </w:rPr>
        <w:t xml:space="preserve"> </w:t>
      </w:r>
      <w:r w:rsidRPr="00C53B4B">
        <w:rPr>
          <w:rFonts w:cs="Arial"/>
          <w:sz w:val="24"/>
          <w:szCs w:val="24"/>
        </w:rPr>
        <w:t>susțin exclusiv provocarea de dezvoltare „</w:t>
      </w:r>
      <w:r w:rsidRPr="00C53B4B">
        <w:rPr>
          <w:rFonts w:cs="Arial"/>
          <w:i/>
          <w:sz w:val="24"/>
          <w:szCs w:val="24"/>
        </w:rPr>
        <w:t>Resurse</w:t>
      </w:r>
      <w:r w:rsidRPr="00C53B4B">
        <w:rPr>
          <w:rFonts w:cs="Arial"/>
          <w:sz w:val="24"/>
          <w:szCs w:val="24"/>
        </w:rPr>
        <w:t xml:space="preserve">”, beneficiind de o </w:t>
      </w:r>
      <w:r w:rsidRPr="00C53B4B">
        <w:rPr>
          <w:rFonts w:cs="Arial"/>
          <w:b/>
          <w:sz w:val="24"/>
          <w:szCs w:val="24"/>
        </w:rPr>
        <w:t>alocare de 4</w:t>
      </w:r>
      <w:r w:rsidRPr="00C53B4B">
        <w:rPr>
          <w:rFonts w:cs="Arial"/>
          <w:b/>
          <w:color w:val="000000"/>
          <w:sz w:val="24"/>
          <w:szCs w:val="24"/>
          <w:lang w:eastAsia="ro-RO"/>
        </w:rPr>
        <w:t>.886,4 mil. €</w:t>
      </w:r>
      <w:r w:rsidRPr="00C53B4B">
        <w:rPr>
          <w:rFonts w:cs="Arial"/>
          <w:color w:val="000000"/>
          <w:sz w:val="24"/>
          <w:szCs w:val="24"/>
          <w:lang w:eastAsia="ro-RO"/>
        </w:rPr>
        <w:t xml:space="preserve"> (16,37% FEDR, 59,19% FC, 23,58% FEADR și </w:t>
      </w:r>
      <w:r w:rsidR="00285FE2" w:rsidRPr="00C53B4B">
        <w:rPr>
          <w:rFonts w:cs="Arial"/>
          <w:color w:val="000000"/>
          <w:sz w:val="24"/>
          <w:szCs w:val="24"/>
          <w:lang w:eastAsia="ro-RO"/>
        </w:rPr>
        <w:t>22</w:t>
      </w:r>
      <w:r w:rsidRPr="00C53B4B">
        <w:rPr>
          <w:rFonts w:cs="Arial"/>
          <w:color w:val="000000"/>
          <w:sz w:val="24"/>
          <w:szCs w:val="24"/>
          <w:lang w:eastAsia="ro-RO"/>
        </w:rPr>
        <w:t>,</w:t>
      </w:r>
      <w:r w:rsidR="00285FE2" w:rsidRPr="00C53B4B">
        <w:rPr>
          <w:rFonts w:cs="Arial"/>
          <w:color w:val="000000"/>
          <w:sz w:val="24"/>
          <w:szCs w:val="24"/>
          <w:lang w:eastAsia="ro-RO"/>
        </w:rPr>
        <w:t>26</w:t>
      </w:r>
      <w:r w:rsidRPr="00C53B4B">
        <w:rPr>
          <w:rFonts w:cs="Arial"/>
          <w:color w:val="000000"/>
          <w:sz w:val="24"/>
          <w:szCs w:val="24"/>
          <w:lang w:eastAsia="ro-RO"/>
        </w:rPr>
        <w:t xml:space="preserve">% FEPAM), </w:t>
      </w:r>
      <w:r w:rsidRPr="00C53B4B">
        <w:rPr>
          <w:rFonts w:cs="Arial"/>
          <w:sz w:val="24"/>
          <w:szCs w:val="24"/>
        </w:rPr>
        <w:t xml:space="preserve">care reprezintă 15,9% din bugetul total aferent AP. </w:t>
      </w:r>
      <w:r w:rsidRPr="00C53B4B">
        <w:rPr>
          <w:b/>
          <w:sz w:val="24"/>
          <w:szCs w:val="24"/>
        </w:rPr>
        <w:t>Cofinanțarea națională publică alocată este de aprox. 904,7 mil. €.</w:t>
      </w:r>
    </w:p>
    <w:p w14:paraId="38C92370" w14:textId="77777777" w:rsidR="000F462D" w:rsidRPr="00C53B4B" w:rsidRDefault="000F462D" w:rsidP="009941AE">
      <w:pPr>
        <w:spacing w:after="60" w:line="240" w:lineRule="auto"/>
        <w:jc w:val="both"/>
        <w:rPr>
          <w:sz w:val="24"/>
          <w:szCs w:val="24"/>
        </w:rPr>
      </w:pPr>
      <w:r w:rsidRPr="00C53B4B">
        <w:rPr>
          <w:rFonts w:cs="Arial"/>
          <w:b/>
          <w:color w:val="C00000"/>
          <w:sz w:val="24"/>
          <w:szCs w:val="24"/>
          <w:highlight w:val="cyan"/>
        </w:rPr>
        <w:t>POIM</w:t>
      </w:r>
      <w:r w:rsidRPr="00C53B4B">
        <w:rPr>
          <w:rFonts w:cs="Arial"/>
          <w:b/>
          <w:color w:val="C00000"/>
          <w:sz w:val="24"/>
          <w:szCs w:val="24"/>
        </w:rPr>
        <w:t xml:space="preserve"> </w:t>
      </w:r>
      <w:r w:rsidRPr="00C53B4B">
        <w:rPr>
          <w:rFonts w:cs="Arial"/>
          <w:sz w:val="24"/>
          <w:szCs w:val="24"/>
        </w:rPr>
        <w:t xml:space="preserve"> </w:t>
      </w:r>
      <w:r w:rsidRPr="00C53B4B">
        <w:rPr>
          <w:sz w:val="24"/>
          <w:szCs w:val="24"/>
        </w:rPr>
        <w:t xml:space="preserve">susține OT 6 cu aprox. 3.218 mil. € alocare UE (35% din alocarea POIM) în cadrul a două axe prioritare - AP 3 și AP 4. </w:t>
      </w:r>
    </w:p>
    <w:p w14:paraId="1761569B" w14:textId="77777777" w:rsidR="000F462D" w:rsidRPr="00C53B4B" w:rsidRDefault="000F462D" w:rsidP="009941AE">
      <w:pPr>
        <w:spacing w:after="0" w:line="240" w:lineRule="auto"/>
        <w:jc w:val="both"/>
        <w:rPr>
          <w:sz w:val="24"/>
          <w:szCs w:val="24"/>
        </w:rPr>
      </w:pPr>
      <w:r w:rsidRPr="00C53B4B">
        <w:rPr>
          <w:sz w:val="24"/>
          <w:szCs w:val="24"/>
        </w:rPr>
        <w:t>AP 3 (alocare 2.892 mil. € FC) susține investiții în sistemele de management integrat al deșeurilor și investiții în sistemele regionale de management al apei şi apei uzate. Investițiile vor avea ca rezultat reducerea numărului depozitelor neconforme şi creșterea gradului de pregătire pentru reciclare a deșeurilor în România, iar în domeniul apei/</w:t>
      </w:r>
      <w:proofErr w:type="spellStart"/>
      <w:r w:rsidRPr="00C53B4B">
        <w:rPr>
          <w:sz w:val="24"/>
          <w:szCs w:val="24"/>
        </w:rPr>
        <w:t>apei</w:t>
      </w:r>
      <w:proofErr w:type="spellEnd"/>
      <w:r w:rsidRPr="00C53B4B">
        <w:rPr>
          <w:sz w:val="24"/>
          <w:szCs w:val="24"/>
        </w:rPr>
        <w:t xml:space="preserve"> uzate rezultatul va fi creșterea nivelului de colectare şi epurare a apelor uzate urbane, precum şi a gradului de asigurare a alimentării cu apă potabilă a populației. La 31.12.2018, rata de contractare a ajuns la 82,26% din alocarea totală de 3,4 mld. € (UE și contribuție națională, inclusiv rezerva de performanță) corespunzând valorii eligibile totale de 2,79 mld. € a celor 92 contracte de finanțare semnate, aceasta reprezentând o creștere cu 1,03 mld. € a valorii proiectelor contractate față de finalul anului 2017. Indicatorii din cadrul de performanță au fost atinși, indicatorul </w:t>
      </w:r>
      <w:r w:rsidRPr="00C53B4B">
        <w:rPr>
          <w:i/>
          <w:sz w:val="24"/>
          <w:szCs w:val="24"/>
        </w:rPr>
        <w:t xml:space="preserve">populaţie suplimentară care beneficiază de o mai bună epurare a apelor uzate din proiectele transmise spre aprobare CE </w:t>
      </w:r>
      <w:r w:rsidRPr="00C53B4B">
        <w:rPr>
          <w:sz w:val="24"/>
          <w:szCs w:val="24"/>
        </w:rPr>
        <w:t xml:space="preserve">având o valoare de 4.304.833 </w:t>
      </w:r>
      <w:proofErr w:type="spellStart"/>
      <w:r w:rsidRPr="00C53B4B">
        <w:rPr>
          <w:sz w:val="24"/>
          <w:szCs w:val="24"/>
        </w:rPr>
        <w:t>p.e</w:t>
      </w:r>
      <w:proofErr w:type="spellEnd"/>
      <w:r w:rsidRPr="00C53B4B">
        <w:rPr>
          <w:sz w:val="24"/>
          <w:szCs w:val="24"/>
        </w:rPr>
        <w:t xml:space="preserve">. față de ținta de 1.500.000 </w:t>
      </w:r>
      <w:proofErr w:type="spellStart"/>
      <w:r w:rsidRPr="00C53B4B">
        <w:rPr>
          <w:sz w:val="24"/>
          <w:szCs w:val="24"/>
        </w:rPr>
        <w:t>p.e</w:t>
      </w:r>
      <w:proofErr w:type="spellEnd"/>
      <w:r w:rsidRPr="00C53B4B">
        <w:rPr>
          <w:sz w:val="24"/>
          <w:szCs w:val="24"/>
        </w:rPr>
        <w:t xml:space="preserve">. </w:t>
      </w:r>
    </w:p>
    <w:p w14:paraId="0C4446C3" w14:textId="4B9BCE7F" w:rsidR="000F462D" w:rsidRPr="00C53B4B" w:rsidRDefault="000F462D" w:rsidP="009941AE">
      <w:pPr>
        <w:spacing w:after="0" w:line="240" w:lineRule="auto"/>
        <w:jc w:val="both"/>
        <w:rPr>
          <w:sz w:val="24"/>
          <w:szCs w:val="24"/>
          <w:lang w:val="it-IT"/>
        </w:rPr>
      </w:pPr>
      <w:r w:rsidRPr="00C53B4B">
        <w:rPr>
          <w:sz w:val="24"/>
          <w:szCs w:val="24"/>
          <w:lang w:val="it-IT"/>
        </w:rPr>
        <w:t xml:space="preserve">Prin AP 4 (alocare 425,5 mil.€ FEDR), se realizează investiții privind: asigurarea unui management eficient al ariilor naturale protejate, protecția și refacerea biodiversității naturale și a solurilor; decontaminarea siturilor poluate istoric în vederea reducerii impactului negativ asupra sănătății şi calității mediului; dotarea sistemului național de evaluare şi monitorizare a calității aerului în vederea dezvoltării şi îmbunătățirii evaluării naționale a calității aerului. La finalul anului 2018, rata de contractare a ajuns la un nivel de 27,61% din alocarea totală de 382,97 mil. € (UE și contribuție națională, inclusiv rezerva de performanță) corespunzând valorii eligibile totale de 105,74 mil. € a celor 58 contracte de finanțare semnate. Aceasta reprezintă o creștere cu 50,74 mil. € a valorii proiectelor contractate față de finalul anului 2017.De precizat că în 2018, 100 mil. € FEDR au fost realocate spre alte programe. Implementarea OS 4.1 este afectată de </w:t>
      </w:r>
      <w:r w:rsidR="00E24108" w:rsidRPr="00C53B4B">
        <w:rPr>
          <w:sz w:val="24"/>
          <w:szCs w:val="24"/>
          <w:lang w:val="it-IT"/>
        </w:rPr>
        <w:t xml:space="preserve">modificările legislative care </w:t>
      </w:r>
      <w:r w:rsidR="00E24108" w:rsidRPr="00C53B4B">
        <w:rPr>
          <w:sz w:val="24"/>
          <w:szCs w:val="24"/>
          <w:lang w:val="it-IT"/>
        </w:rPr>
        <w:lastRenderedPageBreak/>
        <w:t>vizează</w:t>
      </w:r>
      <w:r w:rsidRPr="00C53B4B">
        <w:rPr>
          <w:sz w:val="24"/>
          <w:szCs w:val="24"/>
          <w:lang w:val="it-IT"/>
        </w:rPr>
        <w:t xml:space="preserve"> ariil</w:t>
      </w:r>
      <w:r w:rsidR="00E24108" w:rsidRPr="00C53B4B">
        <w:rPr>
          <w:sz w:val="24"/>
          <w:szCs w:val="24"/>
          <w:lang w:val="it-IT"/>
        </w:rPr>
        <w:t>e</w:t>
      </w:r>
      <w:r w:rsidRPr="00C53B4B">
        <w:rPr>
          <w:sz w:val="24"/>
          <w:szCs w:val="24"/>
          <w:lang w:val="it-IT"/>
        </w:rPr>
        <w:t xml:space="preserve"> protejate (OUG 75/2018), ceea ce a determinat un blocaj atât în procesul de evaluare a cererilor de finanțare cât și în procesul de implementare a contractelor (56 în 2018, și încă 2 în 2019), dar și în lansarea de noi apeluri.</w:t>
      </w:r>
      <w:r w:rsidRPr="00C53B4B">
        <w:rPr>
          <w:color w:val="FF0000"/>
          <w:sz w:val="24"/>
          <w:szCs w:val="24"/>
        </w:rPr>
        <w:t xml:space="preserve"> </w:t>
      </w:r>
      <w:r w:rsidRPr="00C53B4B">
        <w:rPr>
          <w:sz w:val="24"/>
          <w:szCs w:val="24"/>
        </w:rPr>
        <w:t>Indicatorii din cadrul de performanță nu au fost atinși, printre cauzele identificate fiind: numărul mic de proiecte contractate care vizează implementarea planurilor de management a unor arii protejate (5 din cele 56 de proiecte contractate); capacitatea financiară limitată a beneficiarilor proiectelor de biodiversitate (în majoritate ONG-uri); eliminarea custodiei ca formă de gestiune a ariilor protejate (OUG nr. 75/2018), ceea ce a determinat un blocaj atât în procesul de evaluare a cererilor de finanțare privind elaborarea / implementarea planurilor de management.</w:t>
      </w:r>
    </w:p>
    <w:p w14:paraId="325B6123" w14:textId="77777777" w:rsidR="000F462D" w:rsidRPr="00C53B4B" w:rsidRDefault="000F462D" w:rsidP="009941AE">
      <w:pPr>
        <w:spacing w:after="0" w:line="240" w:lineRule="auto"/>
        <w:jc w:val="both"/>
        <w:rPr>
          <w:sz w:val="24"/>
          <w:szCs w:val="24"/>
          <w:lang w:val="it-IT"/>
        </w:rPr>
      </w:pPr>
      <w:r w:rsidRPr="00C53B4B">
        <w:rPr>
          <w:b/>
          <w:color w:val="FF0000"/>
          <w:sz w:val="24"/>
          <w:szCs w:val="24"/>
          <w:highlight w:val="green"/>
          <w:lang w:val="it-IT"/>
        </w:rPr>
        <w:t>POR</w:t>
      </w:r>
      <w:r w:rsidRPr="00C53B4B">
        <w:rPr>
          <w:sz w:val="24"/>
          <w:szCs w:val="24"/>
          <w:lang w:val="it-IT"/>
        </w:rPr>
        <w:t xml:space="preserve"> susține OT 6 prin 2 axe prioritare (AP 4/PI 4.2 și AP 5) cu o alocare de 474,2 mil. € FEDR, reprezentând 6,91% din alocarea totală a programului. Prin AP 5 (alocare de 367,8 mil. €) se urmărește creșterea suprafețelor spațiilor verzi în zonele urbane, precum și conservarea, protejarea și valorificarea patrimoniului cultural. Prin AP 4 (alocare 106,3 mil. €) sunt finanțate acțiuni de reconversie și/sau reutilizarea terenurilor neutilizate și degradate în scopul creșterii suprafețelor spațiilor verzi.</w:t>
      </w:r>
    </w:p>
    <w:p w14:paraId="76AA3B53" w14:textId="77777777" w:rsidR="000F462D" w:rsidRPr="00C53B4B" w:rsidRDefault="000F462D" w:rsidP="009941AE">
      <w:pPr>
        <w:spacing w:after="0" w:line="240" w:lineRule="auto"/>
        <w:jc w:val="both"/>
        <w:rPr>
          <w:sz w:val="24"/>
          <w:szCs w:val="24"/>
          <w:lang w:val="it-IT"/>
        </w:rPr>
      </w:pPr>
      <w:r w:rsidRPr="00C53B4B">
        <w:rPr>
          <w:sz w:val="24"/>
          <w:szCs w:val="24"/>
          <w:lang w:val="it-IT"/>
        </w:rPr>
        <w:t>În cadrul apelului lansat pentru revitalizarea terenurilor degradate aferent AP 4, au fost depuse 26 de proiecte cu o valoare nerambursabilă de 56,47 mil €, însă la finalul anului 2018 nu au fost contractate proiecte acestea fiind în diverse stadii de evaluare.</w:t>
      </w:r>
    </w:p>
    <w:p w14:paraId="7BB2E785" w14:textId="77777777" w:rsidR="000F462D" w:rsidRPr="00C53B4B" w:rsidRDefault="000F462D" w:rsidP="009941AE">
      <w:pPr>
        <w:spacing w:after="0" w:line="240" w:lineRule="auto"/>
        <w:jc w:val="both"/>
        <w:rPr>
          <w:sz w:val="24"/>
          <w:szCs w:val="24"/>
          <w:lang w:val="it-IT"/>
        </w:rPr>
      </w:pPr>
      <w:r w:rsidRPr="00C53B4B">
        <w:rPr>
          <w:sz w:val="24"/>
          <w:szCs w:val="24"/>
          <w:lang w:val="it-IT"/>
        </w:rPr>
        <w:t xml:space="preserve">Finanțarea patrimoniului cultural reprezintă o măsură importantă, alături de alte măsuri de revitalizare urbană, ca instrument pentru impulsionarea dezvoltării locale prin conservarea, protejarea și valorificarea patrimoniului cultural și a identității culturale. </w:t>
      </w:r>
    </w:p>
    <w:p w14:paraId="1968C9A3" w14:textId="77777777" w:rsidR="000F462D" w:rsidRPr="00C53B4B" w:rsidRDefault="000F462D" w:rsidP="009941AE">
      <w:pPr>
        <w:spacing w:after="0" w:line="240" w:lineRule="auto"/>
        <w:jc w:val="both"/>
        <w:rPr>
          <w:sz w:val="24"/>
          <w:szCs w:val="24"/>
          <w:lang w:val="it-IT"/>
        </w:rPr>
      </w:pPr>
      <w:r w:rsidRPr="00C53B4B">
        <w:rPr>
          <w:sz w:val="24"/>
          <w:szCs w:val="24"/>
          <w:lang w:val="it-IT"/>
        </w:rPr>
        <w:t>La finalul anului 2017, în cadrul acestei axe prioritare au fost contractate 116 proiecte cu o valoare de 282,14 mil €, pentru PI 5.1 – Conservarea, protejarea, promovarea și dezvoltarea patrimoniului natural și cultural și 126 de proiecte cu o valoare nerambursabilă de 223,00 mil € pentru PI 5.2 – revitalizarea terenurilor degradate.</w:t>
      </w:r>
    </w:p>
    <w:p w14:paraId="640C307A" w14:textId="77777777" w:rsidR="000F462D" w:rsidRPr="00C53B4B" w:rsidRDefault="000F462D" w:rsidP="009941AE">
      <w:pPr>
        <w:spacing w:after="0" w:line="240" w:lineRule="auto"/>
        <w:jc w:val="both"/>
        <w:rPr>
          <w:sz w:val="24"/>
          <w:szCs w:val="24"/>
          <w:lang w:val="it-IT"/>
        </w:rPr>
      </w:pPr>
      <w:r w:rsidRPr="00C53B4B">
        <w:rPr>
          <w:sz w:val="24"/>
          <w:szCs w:val="24"/>
          <w:lang w:val="it-IT"/>
        </w:rPr>
        <w:t>În anul 2018 a continuat procesul de evaluare, contractare și implementare a proiectelor astfel încât la finalul anului au fost contractate 192 de proiecte cu o valoare nerambursabilă de 454,86 mil € pentru PI 5.1, respectiv 51 de proiecte contractate, cu o valoare eligibilă de 75,18 mil € pentru PI 5.2. Cadrul de performață al AP 5 a fost îndeplinit atât pentru categoria regiuni mai dezvoltate (București-Ilfov), cât și pentru categoria regiuni mai puțin dezvoltate (7 regiuni, fără Bucuresti-Ilfov).</w:t>
      </w:r>
    </w:p>
    <w:p w14:paraId="42ACB65A" w14:textId="77777777" w:rsidR="000F462D" w:rsidRPr="00C53B4B" w:rsidRDefault="000F462D" w:rsidP="009941AE">
      <w:pPr>
        <w:spacing w:after="0" w:line="240" w:lineRule="auto"/>
        <w:jc w:val="both"/>
        <w:rPr>
          <w:sz w:val="24"/>
          <w:szCs w:val="24"/>
          <w:lang w:val="it-IT"/>
        </w:rPr>
      </w:pPr>
      <w:r w:rsidRPr="00C53B4B">
        <w:rPr>
          <w:sz w:val="24"/>
          <w:szCs w:val="24"/>
          <w:lang w:val="it-IT"/>
        </w:rPr>
        <w:t xml:space="preserve">În cadrul </w:t>
      </w:r>
      <w:r w:rsidRPr="00C53B4B">
        <w:rPr>
          <w:b/>
          <w:color w:val="FF0000"/>
          <w:sz w:val="24"/>
          <w:szCs w:val="24"/>
          <w:highlight w:val="cyan"/>
          <w:lang w:val="it-IT"/>
        </w:rPr>
        <w:t>PNDR</w:t>
      </w:r>
      <w:r w:rsidRPr="00C53B4B">
        <w:rPr>
          <w:sz w:val="24"/>
          <w:szCs w:val="24"/>
          <w:lang w:val="it-IT"/>
        </w:rPr>
        <w:t>, intervențiile specifice OT 6 corespund cu Prioritatea P4 operațiunile sprijinite vizând exclusiv angajamente multianuale/anuale în ceea ce privește agromediu și climă, agricultură ecologică și plăți pentru zone care se confruntă cu constrângeri naturale sau cu alte constrângeri specifice,</w:t>
      </w:r>
      <w:r w:rsidRPr="00C53B4B">
        <w:rPr>
          <w:sz w:val="24"/>
          <w:szCs w:val="24"/>
        </w:rPr>
        <w:t xml:space="preserve"> </w:t>
      </w:r>
      <w:r w:rsidRPr="00C53B4B">
        <w:rPr>
          <w:sz w:val="24"/>
          <w:szCs w:val="24"/>
          <w:lang w:val="it-IT"/>
        </w:rPr>
        <w:t>precum și plăți pentru angajamente de silvo-mediu.Alocarea publică dedicată acestor intervenții este de aprox. 1.337 mil. €, din care 1.152,2 mil. € FEADR. Pentru Prioritatea P4 - Refacerea, conservarea și consolidarea ecosistemelor legate de agricultură și silvicultură - au fost angajate chletuieli, până la finalul anului 2018, în valoare de 784,5 mil. €, din care au fost efectuate cheltuieli publice totale, pentru angajamentele a căror cerere anuală a fost plătită integral, în valoare de 629,3 mil. € (grad de plată 47,1%).</w:t>
      </w:r>
    </w:p>
    <w:p w14:paraId="76DC6219" w14:textId="77777777" w:rsidR="000F462D" w:rsidRPr="00C53B4B" w:rsidRDefault="000F462D" w:rsidP="009941AE">
      <w:pPr>
        <w:spacing w:after="0" w:line="240" w:lineRule="auto"/>
        <w:jc w:val="both"/>
        <w:rPr>
          <w:sz w:val="24"/>
          <w:szCs w:val="24"/>
          <w:lang w:val="it-IT"/>
        </w:rPr>
      </w:pPr>
      <w:r w:rsidRPr="00C53B4B">
        <w:rPr>
          <w:sz w:val="24"/>
          <w:szCs w:val="24"/>
          <w:lang w:val="it-IT"/>
        </w:rPr>
        <w:t xml:space="preserve">Investițiile din </w:t>
      </w:r>
      <w:r w:rsidRPr="00C53B4B">
        <w:rPr>
          <w:b/>
          <w:sz w:val="24"/>
          <w:szCs w:val="24"/>
          <w:highlight w:val="cyan"/>
          <w:lang w:val="it-IT"/>
        </w:rPr>
        <w:t>POPAM</w:t>
      </w:r>
      <w:r w:rsidRPr="00C53B4B">
        <w:rPr>
          <w:sz w:val="24"/>
          <w:szCs w:val="24"/>
          <w:lang w:val="it-IT"/>
        </w:rPr>
        <w:t xml:space="preserve"> dedicate OT 6 însumează o alocare de 37,05 mil. € FEPAM (22,26% din alocarea programului) și vizează creșterea protecției și restaurării biodiversității marine, reducerea efectelor negative ale pescuitului asupra mediului marin, reducerea eforturilor de pescuit, reducerea capturilor nedorite şi a cantității de deșeuri, cadrul comun de realizare a schimbului de informații şi implementarea sistemului CISE la Marea Neagră. POPAM sprijină exploatarea sustenabilă a apelor marine şi a zonelor costiere, promovarea pescuitului sustenabil în apele interioare şi în fermele de acvacultură, acțiuni de inspecție şi control.</w:t>
      </w:r>
    </w:p>
    <w:p w14:paraId="7FAC5D41" w14:textId="77777777" w:rsidR="000F462D" w:rsidRPr="00C53B4B" w:rsidRDefault="000F462D" w:rsidP="009941AE">
      <w:pPr>
        <w:spacing w:after="0" w:line="240" w:lineRule="auto"/>
        <w:jc w:val="both"/>
        <w:rPr>
          <w:sz w:val="24"/>
          <w:szCs w:val="24"/>
          <w:lang w:val="it-IT"/>
        </w:rPr>
      </w:pPr>
      <w:r w:rsidRPr="00C53B4B">
        <w:rPr>
          <w:sz w:val="24"/>
          <w:szCs w:val="24"/>
          <w:lang w:val="it-IT"/>
        </w:rPr>
        <w:t>La OT 6 contribuie măsurile I.15, I.17, II.3, II.7, II.9, II.10, VI.1, VI.2, VIII.1. Numărul total de contracte este de 53, cu o valoare FEPAM de peste 32 mil.€, și plăți efectuate de peste 20 mil. €. La cadrul de performanță aferent Prioritățiilor Uniunii 2, 3 și 6 contribuie măsurile II.10, VI.1, VI.2, VIII.1. Indicatorii din cadrul de performanță pentru aceste priorități au fost îndepliniți.</w:t>
      </w:r>
    </w:p>
    <w:p w14:paraId="12827057" w14:textId="77777777"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lastRenderedPageBreak/>
        <w:t>Intervențiile aferente OT 7</w:t>
      </w:r>
      <w:r w:rsidRPr="00C53B4B">
        <w:rPr>
          <w:sz w:val="24"/>
          <w:szCs w:val="24"/>
        </w:rPr>
        <w:t xml:space="preserve"> susțin provocările de dezvoltare „Infrastructura” și „Resurse”, beneficiind de o alocare totală de aprox. 5.960,4 mil. € (43% FEDR și 57% FC), în cadrul a 2 programe: POR (15%) şi POIM (85%). OT 7 are o pondere de 19,4% din totalul alocării AP. Cofinanțarea națională publică alocată OT 7 este de aprox. 1.875,2  mil. €.</w:t>
      </w:r>
    </w:p>
    <w:p w14:paraId="311C7879" w14:textId="334DAB2A" w:rsidR="000F462D" w:rsidRPr="00C53B4B" w:rsidRDefault="000F462D" w:rsidP="009941AE">
      <w:pPr>
        <w:spacing w:after="0" w:line="240" w:lineRule="auto"/>
        <w:jc w:val="both"/>
        <w:rPr>
          <w:sz w:val="24"/>
          <w:szCs w:val="24"/>
        </w:rPr>
      </w:pPr>
      <w:r w:rsidRPr="00C53B4B">
        <w:rPr>
          <w:b/>
          <w:sz w:val="24"/>
          <w:szCs w:val="24"/>
          <w:highlight w:val="cyan"/>
        </w:rPr>
        <w:t>POIM</w:t>
      </w:r>
      <w:r w:rsidRPr="00C53B4B">
        <w:rPr>
          <w:sz w:val="24"/>
          <w:szCs w:val="24"/>
          <w:highlight w:val="cyan"/>
        </w:rPr>
        <w:t>,</w:t>
      </w:r>
      <w:r w:rsidRPr="00C53B4B">
        <w:rPr>
          <w:sz w:val="24"/>
          <w:szCs w:val="24"/>
        </w:rPr>
        <w:t xml:space="preserve"> prin AP 1, AP 2 și AP 8, alocă 55% din bugetul total al programului (3.404 mil. € FC şi 1.670,7 mil. € FEDR) pentru dezvoltarea infrastructurii de transport la standarde </w:t>
      </w:r>
      <w:r w:rsidR="00765A09" w:rsidRPr="00C53B4B">
        <w:rPr>
          <w:sz w:val="24"/>
          <w:szCs w:val="24"/>
        </w:rPr>
        <w:t>euro</w:t>
      </w:r>
      <w:r w:rsidRPr="00C53B4B">
        <w:rPr>
          <w:sz w:val="24"/>
          <w:szCs w:val="24"/>
        </w:rPr>
        <w:t>pene, precum și pentru dezvoltarea infrastructurii de transport energie electrică și gaze în vederea eliminării blocajelor din cadrul infrastructurilor rețelelor majore.</w:t>
      </w:r>
    </w:p>
    <w:p w14:paraId="2C467CA5" w14:textId="7B2AD6DB" w:rsidR="000F462D" w:rsidRPr="00C53B4B" w:rsidRDefault="000F462D" w:rsidP="009941AE">
      <w:pPr>
        <w:spacing w:after="0" w:line="240" w:lineRule="auto"/>
        <w:jc w:val="both"/>
        <w:rPr>
          <w:sz w:val="24"/>
          <w:szCs w:val="24"/>
        </w:rPr>
      </w:pPr>
      <w:r w:rsidRPr="00C53B4B">
        <w:rPr>
          <w:sz w:val="24"/>
          <w:szCs w:val="24"/>
        </w:rPr>
        <w:t xml:space="preserve">Dezvoltarea infrastructurii de transport se realizează prin măsurile şi acţiunile din cadrul </w:t>
      </w:r>
      <w:r w:rsidRPr="00C53B4B">
        <w:rPr>
          <w:b/>
          <w:sz w:val="24"/>
          <w:szCs w:val="24"/>
        </w:rPr>
        <w:t>AP 1</w:t>
      </w:r>
      <w:r w:rsidRPr="00C53B4B">
        <w:rPr>
          <w:sz w:val="24"/>
          <w:szCs w:val="24"/>
        </w:rPr>
        <w:t xml:space="preserve"> „Îmbunătăţirea mobilităţii prin dezvoltarea reţelei TEN-T și a metroului” şi </w:t>
      </w:r>
      <w:r w:rsidRPr="00C53B4B">
        <w:rPr>
          <w:b/>
          <w:sz w:val="24"/>
          <w:szCs w:val="24"/>
        </w:rPr>
        <w:t>AP 2</w:t>
      </w:r>
      <w:r w:rsidRPr="00C53B4B">
        <w:rPr>
          <w:sz w:val="24"/>
          <w:szCs w:val="24"/>
        </w:rPr>
        <w:t xml:space="preserve"> „Dezvoltarea unui sistem de transport </w:t>
      </w:r>
      <w:proofErr w:type="spellStart"/>
      <w:r w:rsidRPr="00C53B4B">
        <w:rPr>
          <w:sz w:val="24"/>
          <w:szCs w:val="24"/>
        </w:rPr>
        <w:t>multimodal</w:t>
      </w:r>
      <w:proofErr w:type="spellEnd"/>
      <w:r w:rsidRPr="00C53B4B">
        <w:rPr>
          <w:sz w:val="24"/>
          <w:szCs w:val="24"/>
        </w:rPr>
        <w:t xml:space="preserve">, de calitate, durabil şi eficient”. Până la sfârşitul anului 2018 au fost lansate </w:t>
      </w:r>
      <w:r w:rsidR="00765A09" w:rsidRPr="00C53B4B">
        <w:rPr>
          <w:sz w:val="24"/>
          <w:szCs w:val="24"/>
        </w:rPr>
        <w:t xml:space="preserve">27 </w:t>
      </w:r>
      <w:r w:rsidRPr="00C53B4B">
        <w:rPr>
          <w:sz w:val="24"/>
          <w:szCs w:val="24"/>
        </w:rPr>
        <w:t>apeluri de proiecte, suplimentar celor 6 apeluri lansate până la sfârşitul anului 2016 și au fost se</w:t>
      </w:r>
      <w:r w:rsidR="00CA68A8" w:rsidRPr="00C53B4B">
        <w:rPr>
          <w:sz w:val="24"/>
          <w:szCs w:val="24"/>
        </w:rPr>
        <w:t>m</w:t>
      </w:r>
      <w:r w:rsidRPr="00C53B4B">
        <w:rPr>
          <w:sz w:val="24"/>
          <w:szCs w:val="24"/>
        </w:rPr>
        <w:t xml:space="preserve">nate în total </w:t>
      </w:r>
      <w:r w:rsidR="00765A09" w:rsidRPr="00C53B4B">
        <w:rPr>
          <w:sz w:val="24"/>
          <w:szCs w:val="24"/>
        </w:rPr>
        <w:t xml:space="preserve">59 </w:t>
      </w:r>
      <w:r w:rsidRPr="00C53B4B">
        <w:rPr>
          <w:sz w:val="24"/>
          <w:szCs w:val="24"/>
        </w:rPr>
        <w:t xml:space="preserve">de contracte de finanțare în cadrul cărora s-au făcut plăți de peste 1.500 </w:t>
      </w:r>
      <w:proofErr w:type="spellStart"/>
      <w:r w:rsidRPr="00C53B4B">
        <w:rPr>
          <w:sz w:val="24"/>
          <w:szCs w:val="24"/>
        </w:rPr>
        <w:t>mil.€</w:t>
      </w:r>
      <w:proofErr w:type="spellEnd"/>
      <w:r w:rsidRPr="00C53B4B">
        <w:rPr>
          <w:sz w:val="24"/>
          <w:szCs w:val="24"/>
        </w:rPr>
        <w:t xml:space="preserve">. Proiectele contractate si suma totală a cheltuielii eligibile au permis îndeplinirea indicatorilor din cadrul de performanță și se consideră că sunt întrunite condițiile pentru alocarea definitivă a rezervei de performanță, pentru AP 1 și AP 2. </w:t>
      </w:r>
    </w:p>
    <w:p w14:paraId="272892BF" w14:textId="77777777" w:rsidR="000F462D" w:rsidRPr="00C53B4B" w:rsidRDefault="000F462D" w:rsidP="009941AE">
      <w:pPr>
        <w:spacing w:after="0" w:line="240" w:lineRule="auto"/>
        <w:jc w:val="both"/>
        <w:rPr>
          <w:sz w:val="24"/>
          <w:szCs w:val="24"/>
        </w:rPr>
      </w:pPr>
      <w:r w:rsidRPr="00C53B4B">
        <w:rPr>
          <w:sz w:val="24"/>
          <w:szCs w:val="24"/>
        </w:rPr>
        <w:t xml:space="preserve">Dezvoltarea infrastructurii de transport energie electrică și gaze în vederea eliminării blocajelor din cadrul infrastructurilor rețelelor majore se realizează prin măsurile şi acţiunile din cadrul AP 8 care vizează creșterea capacității SEN de preluare în siguranță a producției de energie electrică din resurse regenerabile și creșterea capacității de transport a SNT, inclusiv prin dezvoltarea conexiunilor cu sisteme din țări vecine. Până la sfârșitul anului 2018 rata de contractare a ajuns la 57,52% prin proiectul Dezvoltări ale SNT în zona de </w:t>
      </w:r>
      <w:proofErr w:type="spellStart"/>
      <w:r w:rsidRPr="00C53B4B">
        <w:rPr>
          <w:sz w:val="24"/>
          <w:szCs w:val="24"/>
        </w:rPr>
        <w:t>Nord-Est</w:t>
      </w:r>
      <w:proofErr w:type="spellEnd"/>
      <w:r w:rsidRPr="00C53B4B">
        <w:rPr>
          <w:sz w:val="24"/>
          <w:szCs w:val="24"/>
        </w:rPr>
        <w:t xml:space="preserve"> a României în scopul îmbunătățirii aprovizionării cu gaze naturale a zonei precum și a asigurării capacităților de transport spre Republica Moldova, propus de Transgaz. Proiectul Linia Electrică Aeriană (LEA) 400 kV dublu circuit  Smârdan – Gutinaș, propus de Transelectrica, a fost aprobat în 2019, întreaga alocare fiind angajată. Progresul implementării în anul 2018 nu a fost suficient pentru a permite îndeplinirea indicatorilor din cadrul de performanță.</w:t>
      </w:r>
    </w:p>
    <w:p w14:paraId="5A9263D4" w14:textId="77777777" w:rsidR="000F462D" w:rsidRPr="00C53B4B" w:rsidRDefault="000F462D" w:rsidP="009941AE">
      <w:pPr>
        <w:spacing w:after="0" w:line="240" w:lineRule="auto"/>
        <w:jc w:val="both"/>
        <w:rPr>
          <w:sz w:val="24"/>
          <w:szCs w:val="24"/>
        </w:rPr>
      </w:pPr>
      <w:r w:rsidRPr="00C53B4B">
        <w:rPr>
          <w:b/>
          <w:color w:val="FF0000"/>
          <w:sz w:val="24"/>
          <w:szCs w:val="24"/>
          <w:highlight w:val="green"/>
        </w:rPr>
        <w:t>POR,</w:t>
      </w:r>
      <w:r w:rsidRPr="00C53B4B">
        <w:rPr>
          <w:color w:val="FF0000"/>
          <w:sz w:val="24"/>
          <w:szCs w:val="24"/>
        </w:rPr>
        <w:t xml:space="preserve"> </w:t>
      </w:r>
      <w:r w:rsidRPr="00C53B4B">
        <w:rPr>
          <w:sz w:val="24"/>
          <w:szCs w:val="24"/>
        </w:rPr>
        <w:t xml:space="preserve">prin  AP 6 „Îmbunătățirea infrastructurii rutiere de importanță regională” alocă aprox. 1.042 mil. € FEDR (13,75% din alocarea programului), având în vedere potențialul investițiilor în infrastructura de transport regională, creșterea gradului de mobilitate a persoanelor și bunurilor, sporirea adaptabilității populației la nevoile pieței forței de muncă de la nivel regional/local. În cadrul apelurilor lansate au fost depuse 190 de proiecte cu o valoare nerambursabilă de 3,39 </w:t>
      </w:r>
      <w:proofErr w:type="spellStart"/>
      <w:r w:rsidRPr="00C53B4B">
        <w:rPr>
          <w:sz w:val="24"/>
          <w:szCs w:val="24"/>
        </w:rPr>
        <w:t>mlrd</w:t>
      </w:r>
      <w:proofErr w:type="spellEnd"/>
      <w:r w:rsidRPr="00C53B4B">
        <w:rPr>
          <w:sz w:val="24"/>
          <w:szCs w:val="24"/>
        </w:rPr>
        <w:t xml:space="preserve">. €. La finalul anului 2018 erau contractate 106 proiecte cu o valoare nerambursabilă de 1,72 miliarde €. </w:t>
      </w:r>
    </w:p>
    <w:p w14:paraId="3D0CAFEE" w14:textId="77777777" w:rsidR="000F462D" w:rsidRPr="00C53B4B" w:rsidRDefault="000F462D" w:rsidP="009941AE">
      <w:pPr>
        <w:spacing w:after="0" w:line="240" w:lineRule="auto"/>
        <w:jc w:val="both"/>
        <w:rPr>
          <w:sz w:val="24"/>
          <w:szCs w:val="24"/>
        </w:rPr>
      </w:pPr>
      <w:r w:rsidRPr="00C53B4B">
        <w:rPr>
          <w:sz w:val="24"/>
          <w:szCs w:val="24"/>
        </w:rPr>
        <w:t>Dinamica implementării proiectelor contractate a fost redusă în special datorită duratei foarte mari a procedurilor de achiziţii publice. În acest sens au fost lansate apeluri pentru proiecte cu lucrări deja începute ceea ce a contribuit la creşterea de cheltuieli înregistrate până la sfârșitul anului 2018. Proiectele contractate și cheltuielile generate la nivelul axei prioritare 6 au determinat îndeplinirea indicatorilor fizici din cadrul de performanță, dar nu și a celor financiari.</w:t>
      </w:r>
    </w:p>
    <w:p w14:paraId="2AC6173A" w14:textId="77777777"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Obiectivul tematic 8</w:t>
      </w:r>
      <w:r w:rsidRPr="00C53B4B">
        <w:rPr>
          <w:sz w:val="24"/>
          <w:szCs w:val="24"/>
        </w:rPr>
        <w:t xml:space="preserve"> susține intervențiile din cadrul provocărilor de dezvoltare „Competitivitate și dezvoltare locală” și „Populația și aspecte sociale”. Acest obiectiv tematic beneficiază de o alocare totală de aprox. 2.226 mil. €, fonduri ESI în cadrul a 4 programe: POCU (70,26% alocare FSE), POR (4,48% alocare FEDR), PNDR (23,58% alocare FEADR) şi POPAM (1,68% alocare FEPAM). OT 8 are o pondere de 7,83% din totalul alocării AP.</w:t>
      </w:r>
    </w:p>
    <w:p w14:paraId="0C75D6C7" w14:textId="77777777" w:rsidR="000F462D" w:rsidRPr="00C53B4B" w:rsidRDefault="000F462D" w:rsidP="009941AE">
      <w:pPr>
        <w:spacing w:after="0" w:line="240" w:lineRule="auto"/>
        <w:jc w:val="both"/>
        <w:rPr>
          <w:sz w:val="24"/>
          <w:szCs w:val="24"/>
        </w:rPr>
      </w:pPr>
      <w:r w:rsidRPr="00C53B4B">
        <w:rPr>
          <w:b/>
          <w:sz w:val="24"/>
          <w:szCs w:val="24"/>
          <w:highlight w:val="cyan"/>
          <w:u w:val="single"/>
        </w:rPr>
        <w:t>POCU</w:t>
      </w:r>
      <w:r w:rsidRPr="00C53B4B">
        <w:rPr>
          <w:b/>
          <w:sz w:val="24"/>
          <w:szCs w:val="24"/>
          <w:u w:val="single"/>
        </w:rPr>
        <w:t xml:space="preserve"> </w:t>
      </w:r>
      <w:r w:rsidRPr="00C53B4B">
        <w:rPr>
          <w:sz w:val="24"/>
          <w:szCs w:val="24"/>
        </w:rPr>
        <w:t xml:space="preserve">- prin AP 1, AP 2 și AP 3, sunt alocate 1.719,5 mil. € (39,33% din alocarea programului), din care aprox. 1.568 mil. € FSE și 151,1 mil. € ILMT, în vederea încurajării ocupării și a mobilității forței de muncă. AP1 si AP2 se adresează tinerilor </w:t>
      </w:r>
      <w:proofErr w:type="spellStart"/>
      <w:r w:rsidRPr="00C53B4B">
        <w:rPr>
          <w:sz w:val="24"/>
          <w:szCs w:val="24"/>
        </w:rPr>
        <w:t>NEETs</w:t>
      </w:r>
      <w:proofErr w:type="spellEnd"/>
      <w:r w:rsidRPr="00C53B4B">
        <w:rPr>
          <w:sz w:val="24"/>
          <w:szCs w:val="24"/>
        </w:rPr>
        <w:t xml:space="preserve"> de la nivelul tuturor regiunilor de dezvoltare (identificarea si înregistrarea tinerilor </w:t>
      </w:r>
      <w:proofErr w:type="spellStart"/>
      <w:r w:rsidRPr="00C53B4B">
        <w:rPr>
          <w:sz w:val="24"/>
          <w:szCs w:val="24"/>
        </w:rPr>
        <w:t>NEETs</w:t>
      </w:r>
      <w:proofErr w:type="spellEnd"/>
      <w:r w:rsidRPr="00C53B4B">
        <w:rPr>
          <w:sz w:val="24"/>
          <w:szCs w:val="24"/>
        </w:rPr>
        <w:t xml:space="preserve">, nevoi specifice). AP3 susține participarea pe piața muncii, </w:t>
      </w:r>
      <w:proofErr w:type="spellStart"/>
      <w:r w:rsidRPr="00C53B4B">
        <w:rPr>
          <w:sz w:val="24"/>
          <w:szCs w:val="24"/>
        </w:rPr>
        <w:t>antreprenoriatul</w:t>
      </w:r>
      <w:proofErr w:type="spellEnd"/>
      <w:r w:rsidRPr="00C53B4B">
        <w:rPr>
          <w:sz w:val="24"/>
          <w:szCs w:val="24"/>
        </w:rPr>
        <w:t>, modernizarea Serviciului Public de Ocupare.</w:t>
      </w:r>
    </w:p>
    <w:p w14:paraId="1FBD4771" w14:textId="77777777" w:rsidR="000F462D" w:rsidRPr="00C53B4B" w:rsidRDefault="000F462D" w:rsidP="009941AE">
      <w:pPr>
        <w:spacing w:after="0" w:line="240" w:lineRule="auto"/>
        <w:jc w:val="both"/>
        <w:rPr>
          <w:sz w:val="24"/>
          <w:szCs w:val="24"/>
        </w:rPr>
      </w:pPr>
      <w:r w:rsidRPr="00C53B4B">
        <w:rPr>
          <w:sz w:val="24"/>
          <w:szCs w:val="24"/>
        </w:rPr>
        <w:t xml:space="preserve">În domeniul ocupării, în perioada 2017-2018, au fost lansate 33 apeluri de proiecte cu o valoare totală 1.811,13 mil. € (FSE+BS). Cu toate acestea, valoarea totală eligibilă contractată până la 31 </w:t>
      </w:r>
      <w:r w:rsidRPr="00C53B4B">
        <w:rPr>
          <w:sz w:val="24"/>
          <w:szCs w:val="24"/>
        </w:rPr>
        <w:lastRenderedPageBreak/>
        <w:t xml:space="preserve">decembrie 2018 a fost de 1.284 mil. €, reprezentând aprox. 64% din bugetul aferent măsurilor de ocupare, iar plățile efectuate au fost de 171,8 mil. € (BS+UE).Țintele din Cadru de performanță pentru AP 1 și AP 2 nu au fost atinse, în timp ce la nivelul AP 3 țintele tuturor indicatorilor fizici au fost depășite. </w:t>
      </w:r>
    </w:p>
    <w:p w14:paraId="3B6A87E7" w14:textId="77777777" w:rsidR="000F462D" w:rsidRPr="00C53B4B" w:rsidRDefault="000F462D" w:rsidP="009941AE">
      <w:pPr>
        <w:spacing w:after="0" w:line="240" w:lineRule="auto"/>
        <w:jc w:val="both"/>
        <w:rPr>
          <w:sz w:val="24"/>
          <w:szCs w:val="24"/>
        </w:rPr>
      </w:pPr>
      <w:r w:rsidRPr="00C53B4B">
        <w:rPr>
          <w:b/>
          <w:sz w:val="24"/>
          <w:szCs w:val="24"/>
          <w:highlight w:val="cyan"/>
        </w:rPr>
        <w:t>POR</w:t>
      </w:r>
      <w:r w:rsidRPr="00C53B4B">
        <w:rPr>
          <w:b/>
          <w:sz w:val="24"/>
          <w:szCs w:val="24"/>
        </w:rPr>
        <w:t xml:space="preserve"> - </w:t>
      </w:r>
      <w:r w:rsidRPr="00C53B4B">
        <w:rPr>
          <w:sz w:val="24"/>
          <w:szCs w:val="24"/>
        </w:rPr>
        <w:t>prin AP 7 contribuie la crearea de noi locuri de muncă la nivelul zonelor cu potențial turistic. Astfel, până la 31.12.2018, în cadrul apelurilor lansate, au fost depuse 95 de proiecte cu o valoare nerambursabilă de 294,82 mil € , fiind contractate 30 de proiecte cu o valoare nerambursabilă de 97,19 mil €. Cadrul de performanță al AP 7 nu a fost îndeplinit, urmând ca sumele aferente rezervei de performanță să fie redistribuite.</w:t>
      </w:r>
    </w:p>
    <w:p w14:paraId="00EC7832" w14:textId="77777777" w:rsidR="000F462D" w:rsidRPr="00C53B4B" w:rsidRDefault="000F462D" w:rsidP="009941AE">
      <w:pPr>
        <w:spacing w:after="0" w:line="240" w:lineRule="auto"/>
        <w:jc w:val="both"/>
        <w:rPr>
          <w:sz w:val="24"/>
          <w:szCs w:val="24"/>
        </w:rPr>
      </w:pPr>
      <w:r w:rsidRPr="00C53B4B">
        <w:rPr>
          <w:b/>
          <w:sz w:val="24"/>
          <w:szCs w:val="24"/>
          <w:highlight w:val="cyan"/>
        </w:rPr>
        <w:t>PNDR</w:t>
      </w:r>
      <w:r w:rsidRPr="00C53B4B">
        <w:rPr>
          <w:sz w:val="24"/>
          <w:szCs w:val="24"/>
        </w:rPr>
        <w:t xml:space="preserve"> – PNDR – cu o alocare FEADR de 524,9 mil. € susține înființarea și dezvoltarea întreprinderilor mici, dezvoltarea de activități neagricole, precum și dezvoltarea/crearea de noi unități de procesare a produselor agroalimentare. Până la finalul anului 2018 au fost angajate cheltuieli publice totale de 437,7 mil. € (grad de angajare 70,8%) reprezentând suma publică totală contractată, din care au fost efectuate cheltuieli publice totale pentru operațiunile demarate/finalizate în valoare de 171,9 mil. € (grad de plată 27,8%). </w:t>
      </w:r>
    </w:p>
    <w:p w14:paraId="0ACBD063" w14:textId="77777777" w:rsidR="000F462D" w:rsidRPr="00C53B4B" w:rsidRDefault="000F462D" w:rsidP="009941AE">
      <w:pPr>
        <w:spacing w:after="0" w:line="240" w:lineRule="auto"/>
        <w:jc w:val="both"/>
        <w:rPr>
          <w:sz w:val="24"/>
          <w:szCs w:val="24"/>
        </w:rPr>
      </w:pPr>
      <w:r w:rsidRPr="00C53B4B">
        <w:rPr>
          <w:b/>
          <w:sz w:val="24"/>
          <w:szCs w:val="24"/>
          <w:highlight w:val="cyan"/>
        </w:rPr>
        <w:t>POPAM</w:t>
      </w:r>
      <w:r w:rsidRPr="00C53B4B">
        <w:rPr>
          <w:sz w:val="24"/>
          <w:szCs w:val="24"/>
        </w:rPr>
        <w:t xml:space="preserve"> susține OT 8 cu o alocare de aprox. 37,4 mil. € FEPAM prin măsuri de diversificare economică la nivelul comunităților locale, precum și prin investiții directe în pescuit şi acvacultură care contribuie la creșterea numărului de locuri de muncă. Până la 31.12. 2018 au fost lansate 2 apeluri în cadrul M III 1 (contractate 28 de proiecte – finalizate cu plăți efectuate de 0,49 mil €, din care 0,37 mil € FEPAM) și 2 în cadrul M III 2 pentru punerea în aplicare a strategiilor de dezvoltare locală selectarea FLAG (23 de proiecte selectate). În cadrul schemei de ajutor de </w:t>
      </w:r>
      <w:proofErr w:type="spellStart"/>
      <w:r w:rsidRPr="00C53B4B">
        <w:rPr>
          <w:sz w:val="24"/>
          <w:szCs w:val="24"/>
        </w:rPr>
        <w:t>minimis</w:t>
      </w:r>
      <w:proofErr w:type="spellEnd"/>
      <w:r w:rsidRPr="00C53B4B">
        <w:rPr>
          <w:sz w:val="24"/>
          <w:szCs w:val="24"/>
        </w:rPr>
        <w:t xml:space="preserve"> (măsura III.3) implementată pentru facilitarea accesului la finanțare a întreprinderilor care nu sunt legate de producția, prelucrarea și comercializarea produselor pescărești și de acvacultură, dar care prin specificul lor contribuie la dezvoltarea locală a comunităților piscicole, până la 31.12.2018 au fost contractate 10 proiecte din cadrul strategiilor locale, cu o valoare publică de aprox. 11 mil. €. Indicatorii din cadrul de performanță au fost atinși.</w:t>
      </w:r>
    </w:p>
    <w:p w14:paraId="48061E9D" w14:textId="358190D0"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Intervențiile aferente OT 9</w:t>
      </w:r>
      <w:r w:rsidRPr="00C53B4B">
        <w:rPr>
          <w:sz w:val="24"/>
          <w:szCs w:val="24"/>
        </w:rPr>
        <w:t xml:space="preserve"> - susțin exclusiv provocarea de dezvoltare „Oamenii și societatea” în cadrul POCU, POR și PNDR cu o alocare de peste  3.657 mil. € (31,2% FSE, POCU, 22,74% FEDR și 46,</w:t>
      </w:r>
      <w:r w:rsidR="00095F22" w:rsidRPr="00C53B4B">
        <w:rPr>
          <w:sz w:val="24"/>
          <w:szCs w:val="24"/>
        </w:rPr>
        <w:t>0</w:t>
      </w:r>
      <w:r w:rsidRPr="00C53B4B">
        <w:rPr>
          <w:sz w:val="24"/>
          <w:szCs w:val="24"/>
        </w:rPr>
        <w:t>5% FEADR), reprezentând 12% din bugetul AP. Contribuția națională totală alocată pentru implementarea OT 9 este de aprox. 793,9 mil. euro.</w:t>
      </w:r>
    </w:p>
    <w:p w14:paraId="2DD1384D" w14:textId="77777777" w:rsidR="000F462D" w:rsidRPr="00C53B4B" w:rsidRDefault="000F462D" w:rsidP="009941AE">
      <w:pPr>
        <w:spacing w:after="0" w:line="240" w:lineRule="auto"/>
        <w:jc w:val="both"/>
        <w:rPr>
          <w:sz w:val="24"/>
          <w:szCs w:val="24"/>
        </w:rPr>
      </w:pPr>
      <w:r w:rsidRPr="00C53B4B">
        <w:rPr>
          <w:b/>
          <w:sz w:val="24"/>
          <w:szCs w:val="24"/>
          <w:highlight w:val="green"/>
        </w:rPr>
        <w:t>POCU</w:t>
      </w:r>
      <w:r w:rsidRPr="00C53B4B">
        <w:rPr>
          <w:sz w:val="24"/>
          <w:szCs w:val="24"/>
        </w:rPr>
        <w:t>, prin AP 4 și 5 (1.141,6 mil. € FSE) susține masuri în domeniul sănătății, asistenței sociale și medicale (inclusiv în domeniul instituționalizării), incluziunea socială (comunități marginalizate rome și non-rome), tranziția de la sistemul de îngrijire de tip instituționalizat către servicii oferite la nivelul comunității.</w:t>
      </w:r>
    </w:p>
    <w:p w14:paraId="4E69BA3D" w14:textId="77777777" w:rsidR="000F462D" w:rsidRPr="00C53B4B" w:rsidRDefault="000F462D" w:rsidP="009941AE">
      <w:pPr>
        <w:spacing w:after="0" w:line="240" w:lineRule="auto"/>
        <w:jc w:val="both"/>
        <w:rPr>
          <w:sz w:val="24"/>
          <w:szCs w:val="24"/>
        </w:rPr>
      </w:pPr>
      <w:r w:rsidRPr="00C53B4B">
        <w:rPr>
          <w:sz w:val="24"/>
          <w:szCs w:val="24"/>
        </w:rPr>
        <w:t xml:space="preserve">Valoarea contractată (2014-2018) în cadrul AP4 depășește alocarea disponibilă (UE+BS), cu cca 30%, plățile reprezentând 47% din alocare. Au fost sprijinite 18.840 de persoane aflate în risc de sărăcie sau de excluziune socială (33,64% din </w:t>
      </w:r>
      <w:proofErr w:type="spellStart"/>
      <w:r w:rsidRPr="00C53B4B">
        <w:rPr>
          <w:sz w:val="24"/>
          <w:szCs w:val="24"/>
        </w:rPr>
        <w:t>o.e</w:t>
      </w:r>
      <w:proofErr w:type="spellEnd"/>
      <w:r w:rsidRPr="00C53B4B">
        <w:rPr>
          <w:sz w:val="24"/>
          <w:szCs w:val="24"/>
        </w:rPr>
        <w:t>. 2018).</w:t>
      </w:r>
    </w:p>
    <w:p w14:paraId="491A8EF3" w14:textId="77777777" w:rsidR="000F462D" w:rsidRPr="00C53B4B" w:rsidRDefault="000F462D" w:rsidP="009941AE">
      <w:pPr>
        <w:spacing w:after="0" w:line="240" w:lineRule="auto"/>
        <w:jc w:val="both"/>
        <w:rPr>
          <w:sz w:val="24"/>
          <w:szCs w:val="24"/>
        </w:rPr>
      </w:pPr>
      <w:r w:rsidRPr="00C53B4B">
        <w:rPr>
          <w:sz w:val="24"/>
          <w:szCs w:val="24"/>
        </w:rPr>
        <w:t>La nivelul AP5, valoarea contractată (2014-2018) a ajuns, în 2018, la 6% din totalul alocării, deși valoarea apelurilor este peste 50% din alocarea disponibilă (UE+BS). Contractele semnate corespund primei faze a implementării intervențiilor CLLD, vizând pregătirea strategiilor de dezvoltare locală (SDL), sprijin pentru crearea și funcționarea GAL. Țintele din Cadru de performanță pentru AP 4 și AP 5 nu au fost atinse.</w:t>
      </w:r>
    </w:p>
    <w:p w14:paraId="1AEAE37C" w14:textId="77777777" w:rsidR="000F462D" w:rsidRPr="00C53B4B" w:rsidRDefault="000F462D" w:rsidP="009941AE">
      <w:pPr>
        <w:spacing w:after="0" w:line="240" w:lineRule="auto"/>
        <w:jc w:val="both"/>
        <w:rPr>
          <w:sz w:val="24"/>
          <w:szCs w:val="24"/>
        </w:rPr>
      </w:pPr>
      <w:r w:rsidRPr="00C53B4B">
        <w:rPr>
          <w:b/>
          <w:sz w:val="24"/>
          <w:szCs w:val="24"/>
          <w:highlight w:val="cyan"/>
        </w:rPr>
        <w:t>POR,</w:t>
      </w:r>
      <w:r w:rsidRPr="00C53B4B">
        <w:rPr>
          <w:b/>
          <w:sz w:val="24"/>
          <w:szCs w:val="24"/>
        </w:rPr>
        <w:t xml:space="preserve"> </w:t>
      </w:r>
      <w:r w:rsidRPr="00C53B4B">
        <w:rPr>
          <w:sz w:val="24"/>
          <w:szCs w:val="24"/>
        </w:rPr>
        <w:t xml:space="preserve">prin intervenții în cadrul AP 4, PI 4.3, AP 8, AP 9, AP 13 și AP 14 alocă pentru OT 9 aprox. 831,8 mil. € FEDR, cu precădere pentru cele 7 regiuni mai puțin dezvoltate prin investiții în facilități/clădiri destinate utilizării publice, precum și reabilitarea/modernizarea/extinderea centrelor comunitare integrate socio-medicale, ambulatorii și unităților de primiri urgență vor determina crearea condițiilor pentru integrare socială, combaterea sărăciei și îmbunătățirea serviciilor medicale/sociale contribuind astfel la dezvoltarea locală a comunităților defavorizate. Până la 31 decembrie 2018 suma totala a cheltuielilor eligibile din sistemul contabil al </w:t>
      </w:r>
      <w:proofErr w:type="spellStart"/>
      <w:r w:rsidRPr="00C53B4B">
        <w:rPr>
          <w:sz w:val="24"/>
          <w:szCs w:val="24"/>
        </w:rPr>
        <w:t>Autoritatii</w:t>
      </w:r>
      <w:proofErr w:type="spellEnd"/>
      <w:r w:rsidRPr="00C53B4B">
        <w:rPr>
          <w:sz w:val="24"/>
          <w:szCs w:val="24"/>
        </w:rPr>
        <w:t xml:space="preserve"> de certificare a fost de 43.585.740 euro pentru Axa prioritara 4 (</w:t>
      </w:r>
      <w:proofErr w:type="spellStart"/>
      <w:r w:rsidRPr="00C53B4B">
        <w:rPr>
          <w:sz w:val="24"/>
          <w:szCs w:val="24"/>
        </w:rPr>
        <w:t>aprox</w:t>
      </w:r>
      <w:proofErr w:type="spellEnd"/>
      <w:r w:rsidRPr="00C53B4B">
        <w:rPr>
          <w:sz w:val="24"/>
          <w:szCs w:val="24"/>
        </w:rPr>
        <w:t xml:space="preserve"> 355 mil euro contractate) si de 188.086.717 euro pentru Axa 8 (aprox. 358,91 mil euro contractate). Întârzierile în lansarea </w:t>
      </w:r>
      <w:r w:rsidRPr="00C53B4B">
        <w:rPr>
          <w:sz w:val="24"/>
          <w:szCs w:val="24"/>
        </w:rPr>
        <w:lastRenderedPageBreak/>
        <w:t xml:space="preserve">apelurilor de proiecte în cadrul axei 9 au fost determinate de complexitatea procesului care a implicat identificarea zonelor marginalizate, animarea comunităților, elaborarea strategiilor, crearea structurilor de tip GAL, selectarea </w:t>
      </w:r>
      <w:proofErr w:type="spellStart"/>
      <w:r w:rsidRPr="00C53B4B">
        <w:rPr>
          <w:sz w:val="24"/>
          <w:szCs w:val="24"/>
        </w:rPr>
        <w:t>stategiilor</w:t>
      </w:r>
      <w:proofErr w:type="spellEnd"/>
      <w:r w:rsidRPr="00C53B4B">
        <w:rPr>
          <w:sz w:val="24"/>
          <w:szCs w:val="24"/>
        </w:rPr>
        <w:t xml:space="preserve">, aprobarea procedurilor de lucru ale </w:t>
      </w:r>
      <w:proofErr w:type="spellStart"/>
      <w:r w:rsidRPr="00C53B4B">
        <w:rPr>
          <w:sz w:val="24"/>
          <w:szCs w:val="24"/>
        </w:rPr>
        <w:t>GAL-urilor</w:t>
      </w:r>
      <w:proofErr w:type="spellEnd"/>
      <w:r w:rsidRPr="00C53B4B">
        <w:rPr>
          <w:sz w:val="24"/>
          <w:szCs w:val="24"/>
        </w:rPr>
        <w:t xml:space="preserve"> în vederea selectării proiectelor. De asemenea, trebuie ținut cont de noutatea instrumentului CLLD implementat. Țintele din cadru de performanta pentru AP 8 și AP 13 au fost îndeplinite.</w:t>
      </w:r>
    </w:p>
    <w:p w14:paraId="4025D268" w14:textId="77777777" w:rsidR="000F462D" w:rsidRPr="00C53B4B" w:rsidRDefault="000F462D" w:rsidP="009941AE">
      <w:pPr>
        <w:spacing w:after="0" w:line="240" w:lineRule="auto"/>
        <w:jc w:val="both"/>
        <w:rPr>
          <w:color w:val="FF0000"/>
          <w:sz w:val="24"/>
          <w:szCs w:val="24"/>
        </w:rPr>
      </w:pPr>
      <w:r w:rsidRPr="00C53B4B">
        <w:rPr>
          <w:sz w:val="24"/>
          <w:szCs w:val="24"/>
        </w:rPr>
        <w:t>Țintele din Cadrul de performanță pentru AP 9 și AP 14 nu au fost îndeplinite.</w:t>
      </w:r>
    </w:p>
    <w:p w14:paraId="0605A8C4" w14:textId="77777777" w:rsidR="000F462D" w:rsidRPr="00C53B4B" w:rsidRDefault="000F462D" w:rsidP="009941AE">
      <w:pPr>
        <w:spacing w:after="0" w:line="240" w:lineRule="auto"/>
        <w:jc w:val="both"/>
        <w:rPr>
          <w:sz w:val="24"/>
          <w:szCs w:val="24"/>
        </w:rPr>
      </w:pPr>
      <w:r w:rsidRPr="00C53B4B">
        <w:rPr>
          <w:b/>
          <w:sz w:val="24"/>
          <w:szCs w:val="24"/>
          <w:highlight w:val="cyan"/>
        </w:rPr>
        <w:t>PNDR</w:t>
      </w:r>
      <w:r w:rsidRPr="00C53B4B">
        <w:rPr>
          <w:sz w:val="24"/>
          <w:szCs w:val="24"/>
        </w:rPr>
        <w:t xml:space="preserve"> alocă acestui obiectiv tematic aprox. 1.684 mil. € FEADR, vizând diminuarea decalajelor care persistă între mediul rural și cel urban și crearea unor condiții decente de viață la nivelul populației rurale. Investițiile urmăresc reducerea riscului de sărăcie în zonele rurale prin investiții în infrastructura la scară mică (drumuri, apă/</w:t>
      </w:r>
      <w:proofErr w:type="spellStart"/>
      <w:r w:rsidRPr="00C53B4B">
        <w:rPr>
          <w:sz w:val="24"/>
          <w:szCs w:val="24"/>
        </w:rPr>
        <w:t>apă</w:t>
      </w:r>
      <w:proofErr w:type="spellEnd"/>
      <w:r w:rsidRPr="00C53B4B">
        <w:rPr>
          <w:sz w:val="24"/>
          <w:szCs w:val="24"/>
        </w:rPr>
        <w:t xml:space="preserve"> uzată, educație, patrimoniu cultural), precum și creșterea accesului populației rurale la infrastructura de bază și servicii. Totodată se acordă sprijin pentru dezvoltarea locală LEADER (DLRC - Dezvoltarea locală plasată sub responsabilitatea comunității). Până la finalul anului 2018 au fost angajate cheltuieli publice totale de cca. 1.791,4 mil. € (grad de angajare 91,5%) reprezentând suma publică totală contractată, din care au fost realizate cheltuieli publice totale pentru operațiunile demarate/finalizate în valoare de 384,9 mil. € (grad de plată 19,7%).</w:t>
      </w:r>
    </w:p>
    <w:p w14:paraId="22281789" w14:textId="77777777"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Obiectivul tematic 10 susține</w:t>
      </w:r>
      <w:r w:rsidRPr="00C53B4B">
        <w:rPr>
          <w:sz w:val="24"/>
          <w:szCs w:val="24"/>
        </w:rPr>
        <w:t xml:space="preserve"> intervențiile din cadrul provocării de dezvoltare „Populația și aspecte sociale”, beneficiind de o alocare totală de aprox. 1.679,2 mil. €, fonduri ESI în cadrul a 3 programe: POCU (74,86% FSE), POR (21,54% FEDR) şi PNDR (3,6% FEADR). OT 10 are o pondere de 5,91% din totalul alocării AP.</w:t>
      </w:r>
    </w:p>
    <w:p w14:paraId="771B9C50" w14:textId="77777777" w:rsidR="000F462D" w:rsidRPr="00C53B4B" w:rsidRDefault="000F462D" w:rsidP="009941AE">
      <w:pPr>
        <w:spacing w:after="0" w:line="240" w:lineRule="auto"/>
        <w:jc w:val="both"/>
        <w:rPr>
          <w:sz w:val="24"/>
          <w:szCs w:val="24"/>
        </w:rPr>
      </w:pPr>
      <w:r w:rsidRPr="00C53B4B">
        <w:rPr>
          <w:b/>
          <w:sz w:val="24"/>
          <w:szCs w:val="24"/>
        </w:rPr>
        <w:t xml:space="preserve">Prin </w:t>
      </w:r>
      <w:r w:rsidRPr="00C53B4B">
        <w:rPr>
          <w:b/>
          <w:sz w:val="24"/>
          <w:szCs w:val="24"/>
          <w:highlight w:val="green"/>
        </w:rPr>
        <w:t>POCU</w:t>
      </w:r>
      <w:r w:rsidRPr="00C53B4B">
        <w:rPr>
          <w:sz w:val="24"/>
          <w:szCs w:val="24"/>
        </w:rPr>
        <w:t xml:space="preserve"> - AP 6 alocă 1.253 mil. € FSE (28,65% din alocarea programului), pentru intervenții care urmăresc reducerea și prevenirea părăsirii timpurii a școlii, creșterea accesului la toate nivelele de învățământ preșcolar, îmbunătățirea ofertei educaționale, precum si promovarea învățării pe tot parcursul vieții. In perioada 2017-2018 au fost lansate 12 apeluri de proiecte în valoare totală de 631,02 mil. € si au fost contractate 246 de proiecte in valoare de 428 </w:t>
      </w:r>
      <w:proofErr w:type="spellStart"/>
      <w:r w:rsidRPr="00C53B4B">
        <w:rPr>
          <w:sz w:val="24"/>
          <w:szCs w:val="24"/>
        </w:rPr>
        <w:t>mil.€</w:t>
      </w:r>
      <w:proofErr w:type="spellEnd"/>
      <w:r w:rsidRPr="00C53B4B">
        <w:rPr>
          <w:sz w:val="24"/>
          <w:szCs w:val="24"/>
        </w:rPr>
        <w:t xml:space="preserve">, reprezentând 28,95% din alocarea AP 6 (UE+BS). La nivelul Cadrului de Performanta, un singur indicator fizic (stabilit pentru regiunile mai puțin dezvoltate) si-a atins ținta in 2018 dintre cei 12 indicatori stabiliți (2 financiari si 10 fizici). </w:t>
      </w:r>
    </w:p>
    <w:p w14:paraId="79489614" w14:textId="77777777" w:rsidR="000F462D" w:rsidRPr="00C53B4B" w:rsidRDefault="000F462D" w:rsidP="009941AE">
      <w:pPr>
        <w:spacing w:after="0" w:line="240" w:lineRule="auto"/>
        <w:jc w:val="both"/>
        <w:rPr>
          <w:color w:val="FF0000"/>
          <w:sz w:val="24"/>
          <w:szCs w:val="24"/>
        </w:rPr>
      </w:pPr>
      <w:r w:rsidRPr="00C53B4B">
        <w:rPr>
          <w:b/>
          <w:sz w:val="24"/>
          <w:szCs w:val="24"/>
          <w:highlight w:val="green"/>
        </w:rPr>
        <w:t>POR</w:t>
      </w:r>
      <w:r w:rsidRPr="00C53B4B">
        <w:rPr>
          <w:sz w:val="24"/>
          <w:szCs w:val="24"/>
        </w:rPr>
        <w:t xml:space="preserve"> a alocat în vederea îmbunătățirii infrastructurii educaționale, prin AP 4 și AP 10 aprox. 361,7 mil. € FEDR (5,48% din alocarea programului), urmărindu-se creșterea gradului de participare în sistemul educațional prin asigurarea condițiilor decente de studiu în cadrul infrastructurii educaționale. In cadrul AP 4 pentru investiții in educație, au fost depuse 82 de proiecte în valoare de aprox. 90,93 mil. €, fiind contractate 16 proiecte in valoare de aprox. 18,41 mil. €. În cadrul AP 10, începând cu finalul anului 2017 au fost lansate apeluri de proiecte pentru toate nivelele de educație și au fost 814 proiecte in valoare de 1.300 mil. € reprezentând 369% din alocarea axei. Pana la 31.12.2018 au fost contractate 24 proiecte in valoare de 139,59 mil. € si au fost declarate plați in valoare de 38, 69 mil. €. Doar pentru axa prioritară 10 au fost stabiliți indicatori de performanță, țintele fiind îndeplinite doar pentru o parte a indicatorilor.</w:t>
      </w:r>
    </w:p>
    <w:p w14:paraId="70B2888E" w14:textId="469D3BC7" w:rsidR="000F462D" w:rsidRPr="00C53B4B" w:rsidRDefault="000F462D" w:rsidP="009941AE">
      <w:pPr>
        <w:spacing w:after="0" w:line="240" w:lineRule="auto"/>
        <w:jc w:val="both"/>
        <w:rPr>
          <w:sz w:val="24"/>
          <w:szCs w:val="24"/>
        </w:rPr>
      </w:pPr>
      <w:r w:rsidRPr="00C53B4B">
        <w:rPr>
          <w:b/>
          <w:sz w:val="24"/>
          <w:szCs w:val="24"/>
          <w:highlight w:val="cyan"/>
        </w:rPr>
        <w:t>PNDR</w:t>
      </w:r>
      <w:r w:rsidRPr="00C53B4B">
        <w:rPr>
          <w:b/>
          <w:sz w:val="24"/>
          <w:szCs w:val="24"/>
        </w:rPr>
        <w:t xml:space="preserve"> </w:t>
      </w:r>
      <w:r w:rsidRPr="00C53B4B">
        <w:rPr>
          <w:sz w:val="24"/>
          <w:szCs w:val="24"/>
        </w:rPr>
        <w:t>alocă acestui obiectiv tematic aprox. 60,</w:t>
      </w:r>
      <w:r w:rsidR="00095F22" w:rsidRPr="00C53B4B">
        <w:rPr>
          <w:sz w:val="24"/>
          <w:szCs w:val="24"/>
        </w:rPr>
        <w:t xml:space="preserve">4 </w:t>
      </w:r>
      <w:r w:rsidRPr="00C53B4B">
        <w:rPr>
          <w:sz w:val="24"/>
          <w:szCs w:val="24"/>
        </w:rPr>
        <w:t>mil. € FEADR și vizează încurajarea învățării pe tot parcursul vieții și a formării profesionale în sectoarele agricol și forestier acordând sprijin pentru formarea profesională și dobândirea de competențe și activități demonstrative și de informare. Până la finalul anului 2018 au fost angajate cheltuieli publice totale de 3,7 mil. € (grad de angajare 5,5%) reprezentând suma publică totală contractată, din care au fost realizate cheltuieli publice totale pentru operațiunile demarate/finalizate în valoare de 0,6 mil. € (grad de plată 0,9%).</w:t>
      </w:r>
    </w:p>
    <w:p w14:paraId="0C2DA334" w14:textId="77777777" w:rsidR="000F462D" w:rsidRPr="00C53B4B" w:rsidRDefault="000F462D" w:rsidP="009941AE">
      <w:pPr>
        <w:spacing w:after="0" w:line="240" w:lineRule="auto"/>
        <w:jc w:val="both"/>
        <w:rPr>
          <w:sz w:val="24"/>
          <w:szCs w:val="24"/>
        </w:rPr>
      </w:pPr>
      <w:r w:rsidRPr="00C53B4B">
        <w:rPr>
          <w:b/>
          <w:color w:val="FF0000"/>
          <w:sz w:val="24"/>
          <w:szCs w:val="24"/>
          <w:u w:val="single"/>
          <w:shd w:val="clear" w:color="auto" w:fill="EEECE1" w:themeFill="background2"/>
        </w:rPr>
        <w:t>Intervențiile aferente OT 11</w:t>
      </w:r>
      <w:r w:rsidRPr="00C53B4B">
        <w:rPr>
          <w:sz w:val="24"/>
          <w:szCs w:val="24"/>
        </w:rPr>
        <w:t xml:space="preserve"> susțin provocările de dezvoltare „Populația și aspecte sociale”și „Administrație și Guvernare” în cadrul POR și POCA. Prin cele 2 programe, OT 11 beneficiază de o alocare de aprox. 767 mil. €  (33% FEDR și 67% FSE), reprezentând 2,54% din bugetul total aferent AP. Cofinanțarea națională publică alocată OT 11 este de aprox. 150 mil. €.</w:t>
      </w:r>
    </w:p>
    <w:p w14:paraId="4DDABFDB" w14:textId="2EDE4F38" w:rsidR="000F462D" w:rsidRPr="00C53B4B" w:rsidRDefault="000F462D" w:rsidP="009941AE">
      <w:pPr>
        <w:spacing w:after="0" w:line="240" w:lineRule="auto"/>
        <w:jc w:val="both"/>
        <w:rPr>
          <w:color w:val="FF0000"/>
          <w:sz w:val="24"/>
          <w:szCs w:val="24"/>
        </w:rPr>
      </w:pPr>
      <w:r w:rsidRPr="00C53B4B">
        <w:rPr>
          <w:b/>
          <w:sz w:val="24"/>
          <w:szCs w:val="24"/>
          <w:highlight w:val="green"/>
        </w:rPr>
        <w:t>POCA</w:t>
      </w:r>
      <w:r w:rsidRPr="00C53B4B">
        <w:rPr>
          <w:sz w:val="24"/>
          <w:szCs w:val="24"/>
        </w:rPr>
        <w:t xml:space="preserve"> susține OT 11 cu o alocarea totală de 514 mil. € FSE prin 2 axe prioritare care vizează optimizarea proceselor și pregătirea resurselor umane, corelarea planificării strategice cu </w:t>
      </w:r>
      <w:r w:rsidRPr="00C53B4B">
        <w:rPr>
          <w:sz w:val="24"/>
          <w:szCs w:val="24"/>
        </w:rPr>
        <w:lastRenderedPageBreak/>
        <w:t>bugetarea pe programe, simplificarea legislației și reducerea sarcinilor administrative, consolidarea capacității autorităților și instituțiilor publice, management performant la nivelul autorităților și instituțiilor publice locale, îmbunătățirea accesului și a calității serviciilor furnizate de sistemul judiciar, inclusiv prin asigurarea unei transparențe și integrități sporite la nivelul acestuia. Până la finalul anului 2018, AM POCA a lansat 30 de apeluri reprezentând peste 150% din alocarea totală a programului. Gradul de contractare este de 43,85% din valoarea totală alocată programului. La finalul anului 2018, se aflau în proces de evaluare și contractare proiecte în valoare de 248,16 mil €. La sfârșitul anului 2018, gradul de îndeplinire a indicatorilor de realizare specifici de program era de 13,95%, iar al celor de rezultat specifici de program era de 11,63</w:t>
      </w:r>
      <w:r w:rsidR="00095F22" w:rsidRPr="00C53B4B">
        <w:rPr>
          <w:sz w:val="24"/>
          <w:szCs w:val="24"/>
        </w:rPr>
        <w:t>%</w:t>
      </w:r>
      <w:r w:rsidRPr="00C53B4B">
        <w:rPr>
          <w:sz w:val="24"/>
          <w:szCs w:val="24"/>
        </w:rPr>
        <w:t xml:space="preserve">. Obiectivele de etapă din cadrul de performanță aferente anului 2018 au fost atinse pentru axa prioritară 1 și nu au fost atinse și pentru axa prioritară 2 (doar unul dintre indicatori, cel aferent sistemului judiciar, a fost atins în proporție de 100%). </w:t>
      </w:r>
    </w:p>
    <w:p w14:paraId="5BFF16B7" w14:textId="77777777" w:rsidR="000F462D" w:rsidRPr="00C53B4B" w:rsidRDefault="000F462D" w:rsidP="009941AE">
      <w:pPr>
        <w:spacing w:after="0" w:line="240" w:lineRule="auto"/>
        <w:jc w:val="both"/>
        <w:rPr>
          <w:sz w:val="24"/>
          <w:szCs w:val="24"/>
        </w:rPr>
      </w:pPr>
      <w:r w:rsidRPr="00C53B4B">
        <w:rPr>
          <w:b/>
          <w:sz w:val="24"/>
          <w:szCs w:val="24"/>
          <w:highlight w:val="green"/>
        </w:rPr>
        <w:t>POR</w:t>
      </w:r>
      <w:r w:rsidRPr="00C53B4B">
        <w:rPr>
          <w:sz w:val="24"/>
          <w:szCs w:val="24"/>
          <w:highlight w:val="green"/>
        </w:rPr>
        <w:t>,</w:t>
      </w:r>
      <w:r w:rsidRPr="00C53B4B">
        <w:rPr>
          <w:sz w:val="24"/>
          <w:szCs w:val="24"/>
        </w:rPr>
        <w:t xml:space="preserve"> prin  AP 11, alocă pentru OT 11 aprox. 253 mil. € FEDR (4% din alocarea POR) în cadrul unui proiect major care vizează înregistrarea sistematică a proprietăților imobiliare în zonele rurale selectate, îmbunătățirea serviciilor de înregistrare a proprietăților, pregătirea unei Strategii de management și a studiilor aferente, organizarea de sesiuni de instruire pentru personalul implicat în proiect. La începutul lunii octombrie 2018 a fost transmisă Comisiei  aplicația de proiect major. Aprobarea tacită a proiectului a avut loc în luna ianuarie 2019.</w:t>
      </w:r>
    </w:p>
    <w:p w14:paraId="6417425F" w14:textId="77777777" w:rsidR="000F462D" w:rsidRPr="00C53B4B" w:rsidRDefault="000F462D" w:rsidP="009941AE">
      <w:pPr>
        <w:spacing w:after="0" w:line="240" w:lineRule="auto"/>
        <w:jc w:val="both"/>
        <w:rPr>
          <w:sz w:val="24"/>
          <w:szCs w:val="24"/>
        </w:rPr>
      </w:pPr>
      <w:r w:rsidRPr="00C53B4B">
        <w:rPr>
          <w:sz w:val="24"/>
          <w:szCs w:val="24"/>
        </w:rPr>
        <w:t>La finalul anului 2018 au fost declarate plăți în valoare de 18,88 mil €. Cadrul de performanță al AP 11 nu a fost îndeplinit, doar unul dintre indicatori fiind atins.</w:t>
      </w:r>
    </w:p>
    <w:p w14:paraId="6B5A12D2" w14:textId="77777777" w:rsidR="00B13207" w:rsidRPr="00C1729E" w:rsidRDefault="00B13207" w:rsidP="009941AE">
      <w:pPr>
        <w:spacing w:after="0" w:line="240" w:lineRule="auto"/>
        <w:jc w:val="both"/>
      </w:pPr>
    </w:p>
    <w:p w14:paraId="7990FA19" w14:textId="77777777" w:rsidR="00E10A61" w:rsidRPr="00C1729E" w:rsidRDefault="00E10A61" w:rsidP="009941AE">
      <w:pPr>
        <w:spacing w:after="60" w:line="240" w:lineRule="auto"/>
        <w:jc w:val="both"/>
        <w:rPr>
          <w:color w:val="548DD4" w:themeColor="text2" w:themeTint="99"/>
          <w:sz w:val="24"/>
          <w:szCs w:val="24"/>
        </w:rPr>
      </w:pPr>
      <w:r w:rsidRPr="00C1729E">
        <w:rPr>
          <w:color w:val="548DD4" w:themeColor="text2" w:themeTint="99"/>
          <w:sz w:val="24"/>
          <w:szCs w:val="24"/>
        </w:rPr>
        <w:t xml:space="preserve">(c) </w:t>
      </w:r>
      <w:r w:rsidR="00372AAD" w:rsidRPr="00C1729E">
        <w:rPr>
          <w:color w:val="548DD4" w:themeColor="text2" w:themeTint="99"/>
        </w:rPr>
        <w:t>Dacă este cazul, o descriere a contribuției fondurilor ESI la noile recomandări relevante specifice fiecărei țări</w:t>
      </w:r>
    </w:p>
    <w:p w14:paraId="49D77C01" w14:textId="77777777" w:rsidR="00372AAD" w:rsidRPr="00C1729E" w:rsidRDefault="00372AAD" w:rsidP="009941AE">
      <w:pPr>
        <w:spacing w:after="60" w:line="240" w:lineRule="auto"/>
        <w:jc w:val="both"/>
        <w:rPr>
          <w:sz w:val="24"/>
          <w:szCs w:val="24"/>
        </w:rPr>
      </w:pPr>
      <w:r w:rsidRPr="00C1729E">
        <w:rPr>
          <w:sz w:val="24"/>
          <w:szCs w:val="24"/>
        </w:rPr>
        <w:t>Două dintre recomandările 2018 vizează elemente noi, respectiv procesul decizional și investițiile în infrastructura mare. Din perspectiva fondurilor ESI, implementarea acestor recomandări este susținută, după cum urmează.</w:t>
      </w:r>
    </w:p>
    <w:p w14:paraId="6ABD13FE" w14:textId="77777777" w:rsidR="005B012F" w:rsidRPr="00C1729E" w:rsidRDefault="00372AAD" w:rsidP="009941AE">
      <w:pPr>
        <w:spacing w:after="60" w:line="240" w:lineRule="auto"/>
        <w:jc w:val="both"/>
        <w:rPr>
          <w:b/>
          <w:i/>
          <w:color w:val="FF0000"/>
          <w:sz w:val="24"/>
          <w:szCs w:val="24"/>
        </w:rPr>
      </w:pPr>
      <w:r w:rsidRPr="00C1729E">
        <w:rPr>
          <w:b/>
          <w:i/>
          <w:color w:val="FF0000"/>
          <w:sz w:val="24"/>
          <w:szCs w:val="24"/>
        </w:rPr>
        <w:t>RSN 2018 - Să asigure un grad mai ridicat de previzibilitate a procesului decizional, recurgând în mod sistematic și eficient la evaluarea impactului normativ și la consultarea și implicarea părților interesate în elaborarea și punerea în aplicare a reformelor.</w:t>
      </w:r>
    </w:p>
    <w:p w14:paraId="72B4EB1C" w14:textId="77777777" w:rsidR="00FF6EDD" w:rsidRPr="00C1729E" w:rsidRDefault="00FF6EDD" w:rsidP="009941AE">
      <w:pPr>
        <w:spacing w:after="60" w:line="240" w:lineRule="auto"/>
        <w:jc w:val="both"/>
        <w:rPr>
          <w:sz w:val="24"/>
          <w:szCs w:val="24"/>
        </w:rPr>
      </w:pPr>
      <w:r w:rsidRPr="00C1729E">
        <w:rPr>
          <w:sz w:val="24"/>
          <w:szCs w:val="24"/>
        </w:rPr>
        <w:t>POCA 2014 – 2020 contribuie la consolidarea capacității administrative a autorităților și instituțiilor publice inclusiv prin măsuri de îmbunătățire a procesului decizional, a calității reglementărilor și politicilor publice și</w:t>
      </w:r>
      <w:r w:rsidRPr="00C1729E">
        <w:t xml:space="preserve"> </w:t>
      </w:r>
      <w:r w:rsidRPr="00C1729E">
        <w:rPr>
          <w:sz w:val="24"/>
          <w:szCs w:val="24"/>
        </w:rPr>
        <w:t>implementarea de mecanisme de coordonare/cooperare/consultare atât între structurile administrației publice cât și între acestea și societatea civilă, partenerii sociali și mediul academic.</w:t>
      </w:r>
    </w:p>
    <w:p w14:paraId="21AC8A55" w14:textId="190B0E52" w:rsidR="00FF6EDD" w:rsidRPr="00C1729E" w:rsidRDefault="00372AAD" w:rsidP="009941AE">
      <w:pPr>
        <w:spacing w:after="60" w:line="240" w:lineRule="auto"/>
        <w:jc w:val="both"/>
        <w:rPr>
          <w:sz w:val="24"/>
          <w:szCs w:val="24"/>
        </w:rPr>
      </w:pPr>
      <w:r w:rsidRPr="00C1729E">
        <w:rPr>
          <w:sz w:val="24"/>
          <w:szCs w:val="24"/>
        </w:rPr>
        <w:t xml:space="preserve">Proiectele depuse de autoritățile publice  vizează printre altele consolidarea implementării standardelor de control intern managerial la nivel central şi local și a culturii transparenței și a guvernării participative (SGG), instrumente de sistematizare a legislației, de monitorizare și de evaluare în administrația publică (MDRAP), </w:t>
      </w:r>
      <w:r w:rsidR="00095F22">
        <w:rPr>
          <w:sz w:val="24"/>
          <w:szCs w:val="24"/>
        </w:rPr>
        <w:t>s</w:t>
      </w:r>
      <w:r w:rsidR="00095F22" w:rsidRPr="00C1729E">
        <w:rPr>
          <w:sz w:val="24"/>
          <w:szCs w:val="24"/>
        </w:rPr>
        <w:t xml:space="preserve">tabilirea </w:t>
      </w:r>
      <w:r w:rsidRPr="00C1729E">
        <w:rPr>
          <w:sz w:val="24"/>
          <w:szCs w:val="24"/>
        </w:rPr>
        <w:t>cadrului de dezvoltare a instrumentelor de e-guvernare (MCSI), aplicarea sistemului de politici bazate pe dovezi în Ministerul Mediului pentru sistematizarea si simplificarea legislației din domeniul deșeurilor si realizarea unor proceduri simplificate pentru reducerea poverii administrative pentru mediul de afaceri în domeniul schimbărilor climatice, optimizarea alocării de resurse financiare și de investiții în infrastructura educațională prin elaborarea unei strategii naționale consultate public, ce asigură decizii informate, bazate pe date concrete rezultate din studii și analize (MEN), asigurarea unei abordări coordonate și fundamentate pe dovezi în elaborarea și implementarea politicilor, programelor, și intervențiilor orientate către persoanele sărace și vulnerabile și către zonele sărace și marginalizate (MMJS), etc.</w:t>
      </w:r>
    </w:p>
    <w:p w14:paraId="7343ADC7" w14:textId="77777777" w:rsidR="00452ECA" w:rsidRPr="00C1729E" w:rsidRDefault="00452ECA" w:rsidP="009941AE">
      <w:pPr>
        <w:spacing w:after="0" w:line="240" w:lineRule="auto"/>
        <w:rPr>
          <w:b/>
          <w:color w:val="FF0000"/>
        </w:rPr>
      </w:pPr>
      <w:r w:rsidRPr="00C1729E">
        <w:rPr>
          <w:b/>
          <w:color w:val="FF0000"/>
        </w:rPr>
        <w:t xml:space="preserve">RSN 2018 - </w:t>
      </w:r>
      <w:r w:rsidRPr="00C1729E">
        <w:rPr>
          <w:b/>
          <w:i/>
          <w:color w:val="FF0000"/>
        </w:rPr>
        <w:t>Să îmbunătățească pregătirea și stabilirea priorităților în cazul proiectelor de infrastructură de mare amploare și să accelereze punerea în aplicare a acestora, în special în sectorul transporturilor, al deșeurilor și al apelor reziduale</w:t>
      </w:r>
      <w:r w:rsidRPr="00C1729E">
        <w:rPr>
          <w:b/>
          <w:color w:val="FF0000"/>
        </w:rPr>
        <w:t>.</w:t>
      </w:r>
    </w:p>
    <w:p w14:paraId="066E8F67" w14:textId="77777777" w:rsidR="00452ECA" w:rsidRPr="00C1729E" w:rsidRDefault="00452ECA" w:rsidP="009941AE">
      <w:pPr>
        <w:spacing w:after="60" w:line="240" w:lineRule="auto"/>
        <w:jc w:val="both"/>
        <w:rPr>
          <w:sz w:val="24"/>
          <w:szCs w:val="24"/>
        </w:rPr>
      </w:pPr>
      <w:r w:rsidRPr="00C1729E">
        <w:rPr>
          <w:sz w:val="24"/>
          <w:szCs w:val="24"/>
        </w:rPr>
        <w:lastRenderedPageBreak/>
        <w:t xml:space="preserve">Asistența tehnică finanțată din POAT sprijină consolidare a capacitații beneficiarilor de proiecte de infrastructură din sectoarele de transport, mediu si prevenirea riscurilor. printr-un contract de asistență tehnică semnat cu BEI care presupune implementarea a două proiecte pentru care s-au plătit aprox. 6 mil. €. Pregătirea perioadei de programare 2021-2027 și implicit a portofoliului de proiecte strategice (inclusiv cele </w:t>
      </w:r>
      <w:proofErr w:type="spellStart"/>
      <w:r w:rsidRPr="00C1729E">
        <w:rPr>
          <w:sz w:val="24"/>
          <w:szCs w:val="24"/>
        </w:rPr>
        <w:t>fazate</w:t>
      </w:r>
      <w:proofErr w:type="spellEnd"/>
      <w:r w:rsidRPr="00C1729E">
        <w:rPr>
          <w:sz w:val="24"/>
          <w:szCs w:val="24"/>
        </w:rPr>
        <w:t>) va fi susținută prin semnarea unui nou acord cu BEI. Sprijinul acordat în faza de pregătire a proiectelor va minimiza potențialele probleme de implementare.</w:t>
      </w:r>
    </w:p>
    <w:p w14:paraId="5A80094E" w14:textId="77777777" w:rsidR="00FF6EDD" w:rsidRPr="00C1729E" w:rsidRDefault="00FF6EDD" w:rsidP="009941AE">
      <w:pPr>
        <w:spacing w:after="60" w:line="240" w:lineRule="auto"/>
        <w:jc w:val="both"/>
        <w:rPr>
          <w:b/>
          <w:sz w:val="24"/>
          <w:szCs w:val="24"/>
          <w:highlight w:val="yellow"/>
        </w:rPr>
      </w:pPr>
    </w:p>
    <w:p w14:paraId="7CF1D996" w14:textId="77777777" w:rsidR="00545F13" w:rsidRPr="00C1729E" w:rsidRDefault="00545F13" w:rsidP="009941AE">
      <w:pPr>
        <w:spacing w:after="60" w:line="240" w:lineRule="auto"/>
        <w:jc w:val="center"/>
        <w:rPr>
          <w:i/>
          <w:iCs/>
          <w:sz w:val="19"/>
          <w:szCs w:val="19"/>
        </w:rPr>
      </w:pPr>
      <w:r w:rsidRPr="00C1729E">
        <w:rPr>
          <w:i/>
          <w:iCs/>
          <w:sz w:val="19"/>
          <w:szCs w:val="19"/>
        </w:rPr>
        <w:t>Tabelul 1</w:t>
      </w:r>
    </w:p>
    <w:p w14:paraId="6535510B" w14:textId="77777777" w:rsidR="00545F13" w:rsidRPr="00C1729E" w:rsidRDefault="00545F13" w:rsidP="009941AE">
      <w:pPr>
        <w:spacing w:after="60" w:line="240" w:lineRule="auto"/>
        <w:jc w:val="center"/>
        <w:rPr>
          <w:b/>
          <w:bCs/>
          <w:sz w:val="19"/>
          <w:szCs w:val="19"/>
        </w:rPr>
      </w:pPr>
      <w:r w:rsidRPr="00C1729E">
        <w:rPr>
          <w:b/>
          <w:bCs/>
          <w:sz w:val="19"/>
          <w:szCs w:val="19"/>
        </w:rPr>
        <w:t>Sprijin utilizat pentru atingerea obiectivelor legate de schimbările climatice</w:t>
      </w:r>
    </w:p>
    <w:p w14:paraId="4972EF15" w14:textId="77777777" w:rsidR="00545F13" w:rsidRPr="00C1729E" w:rsidRDefault="00545F13" w:rsidP="009941AE">
      <w:pPr>
        <w:spacing w:after="60" w:line="240" w:lineRule="auto"/>
        <w:jc w:val="both"/>
        <w:rPr>
          <w:sz w:val="17"/>
          <w:szCs w:val="17"/>
        </w:rPr>
      </w:pPr>
    </w:p>
    <w:tbl>
      <w:tblPr>
        <w:tblStyle w:val="TableGrid"/>
        <w:tblW w:w="0" w:type="auto"/>
        <w:tblLook w:val="04A0" w:firstRow="1" w:lastRow="0" w:firstColumn="1" w:lastColumn="0" w:noHBand="0" w:noVBand="1"/>
      </w:tblPr>
      <w:tblGrid>
        <w:gridCol w:w="2322"/>
        <w:gridCol w:w="2322"/>
        <w:gridCol w:w="2322"/>
        <w:gridCol w:w="2322"/>
      </w:tblGrid>
      <w:tr w:rsidR="00545F13" w:rsidRPr="00C1729E" w14:paraId="0E1E3652" w14:textId="77777777" w:rsidTr="00E07520">
        <w:tc>
          <w:tcPr>
            <w:tcW w:w="2322" w:type="dxa"/>
          </w:tcPr>
          <w:p w14:paraId="594ADB88" w14:textId="77777777" w:rsidR="00545F13" w:rsidRPr="00C1729E" w:rsidRDefault="00545F13" w:rsidP="009941AE">
            <w:pPr>
              <w:spacing w:after="60"/>
              <w:jc w:val="both"/>
              <w:rPr>
                <w:sz w:val="16"/>
                <w:szCs w:val="16"/>
              </w:rPr>
            </w:pPr>
            <w:r w:rsidRPr="00C1729E">
              <w:rPr>
                <w:sz w:val="16"/>
                <w:szCs w:val="16"/>
              </w:rPr>
              <w:t>Fond</w:t>
            </w:r>
          </w:p>
        </w:tc>
        <w:tc>
          <w:tcPr>
            <w:tcW w:w="2322" w:type="dxa"/>
          </w:tcPr>
          <w:p w14:paraId="27D4E79E" w14:textId="77777777" w:rsidR="00545F13" w:rsidRPr="00C1729E" w:rsidRDefault="00545F13" w:rsidP="009941AE">
            <w:pPr>
              <w:spacing w:after="60"/>
              <w:jc w:val="both"/>
              <w:rPr>
                <w:sz w:val="16"/>
                <w:szCs w:val="16"/>
              </w:rPr>
            </w:pPr>
            <w:proofErr w:type="spellStart"/>
            <w:r w:rsidRPr="00C1729E">
              <w:rPr>
                <w:sz w:val="16"/>
                <w:szCs w:val="16"/>
              </w:rPr>
              <w:t>A.Sprijin</w:t>
            </w:r>
            <w:proofErr w:type="spellEnd"/>
            <w:r w:rsidRPr="00C1729E">
              <w:rPr>
                <w:sz w:val="16"/>
                <w:szCs w:val="16"/>
              </w:rPr>
              <w:t xml:space="preserve"> utilizat pentru atingerea obiectivelor legate de schimbările climatice din acordul de parteneriat</w:t>
            </w:r>
          </w:p>
        </w:tc>
        <w:tc>
          <w:tcPr>
            <w:tcW w:w="2322" w:type="dxa"/>
          </w:tcPr>
          <w:p w14:paraId="2DC671DD" w14:textId="77777777" w:rsidR="00545F13" w:rsidRPr="00C1729E" w:rsidRDefault="00545F13" w:rsidP="009941AE">
            <w:pPr>
              <w:spacing w:after="60"/>
              <w:jc w:val="both"/>
              <w:rPr>
                <w:sz w:val="16"/>
                <w:szCs w:val="16"/>
              </w:rPr>
            </w:pPr>
            <w:proofErr w:type="spellStart"/>
            <w:r w:rsidRPr="00C1729E">
              <w:rPr>
                <w:sz w:val="16"/>
                <w:szCs w:val="16"/>
              </w:rPr>
              <w:t>B.Sprijin</w:t>
            </w:r>
            <w:proofErr w:type="spellEnd"/>
            <w:r w:rsidRPr="00C1729E">
              <w:rPr>
                <w:sz w:val="16"/>
                <w:szCs w:val="16"/>
              </w:rPr>
              <w:t xml:space="preserve"> utilizat pentru atingerea obiectivelor legate de schimbările climatice (1)</w:t>
            </w:r>
          </w:p>
        </w:tc>
        <w:tc>
          <w:tcPr>
            <w:tcW w:w="2322" w:type="dxa"/>
          </w:tcPr>
          <w:p w14:paraId="310B007B" w14:textId="77777777" w:rsidR="00545F13" w:rsidRPr="00C1729E" w:rsidRDefault="00545F13" w:rsidP="009941AE">
            <w:pPr>
              <w:spacing w:after="60"/>
              <w:jc w:val="both"/>
              <w:rPr>
                <w:sz w:val="16"/>
                <w:szCs w:val="16"/>
              </w:rPr>
            </w:pPr>
            <w:r w:rsidRPr="00C1729E">
              <w:rPr>
                <w:sz w:val="16"/>
                <w:szCs w:val="16"/>
              </w:rPr>
              <w:t>Procentul sprijinului utilizat în raport cu acordul de parteneriat (% B/A)</w:t>
            </w:r>
          </w:p>
        </w:tc>
      </w:tr>
      <w:tr w:rsidR="00545F13" w:rsidRPr="00C1729E" w14:paraId="44A9FECB" w14:textId="77777777" w:rsidTr="00E07520">
        <w:tc>
          <w:tcPr>
            <w:tcW w:w="2322" w:type="dxa"/>
          </w:tcPr>
          <w:p w14:paraId="38168DC7" w14:textId="77777777" w:rsidR="00545F13" w:rsidRPr="00C1729E" w:rsidRDefault="00545F13" w:rsidP="009941AE">
            <w:pPr>
              <w:spacing w:after="60"/>
              <w:jc w:val="both"/>
              <w:rPr>
                <w:sz w:val="17"/>
                <w:szCs w:val="17"/>
              </w:rPr>
            </w:pPr>
            <w:r w:rsidRPr="00C1729E">
              <w:rPr>
                <w:sz w:val="19"/>
                <w:szCs w:val="19"/>
              </w:rPr>
              <w:t>FEDR</w:t>
            </w:r>
          </w:p>
        </w:tc>
        <w:tc>
          <w:tcPr>
            <w:tcW w:w="2322" w:type="dxa"/>
          </w:tcPr>
          <w:p w14:paraId="5449E8A7" w14:textId="77777777" w:rsidR="00545F13" w:rsidRPr="00C1729E" w:rsidRDefault="00545F13" w:rsidP="009941AE">
            <w:pPr>
              <w:spacing w:after="60"/>
              <w:jc w:val="right"/>
              <w:rPr>
                <w:b/>
                <w:sz w:val="17"/>
                <w:szCs w:val="17"/>
              </w:rPr>
            </w:pPr>
            <w:r w:rsidRPr="00C1729E">
              <w:rPr>
                <w:b/>
                <w:iCs/>
                <w:sz w:val="19"/>
                <w:szCs w:val="19"/>
              </w:rPr>
              <w:t>2.554.048.998,80</w:t>
            </w:r>
          </w:p>
        </w:tc>
        <w:tc>
          <w:tcPr>
            <w:tcW w:w="2322" w:type="dxa"/>
          </w:tcPr>
          <w:p w14:paraId="326F34F2" w14:textId="77777777" w:rsidR="00545F13" w:rsidRPr="00C1729E" w:rsidRDefault="00545F13" w:rsidP="009941AE">
            <w:pPr>
              <w:spacing w:after="60"/>
              <w:jc w:val="both"/>
              <w:rPr>
                <w:sz w:val="17"/>
                <w:szCs w:val="17"/>
              </w:rPr>
            </w:pPr>
            <w:r w:rsidRPr="00C1729E">
              <w:rPr>
                <w:sz w:val="17"/>
                <w:szCs w:val="17"/>
              </w:rPr>
              <w:t>0</w:t>
            </w:r>
          </w:p>
        </w:tc>
        <w:tc>
          <w:tcPr>
            <w:tcW w:w="2322" w:type="dxa"/>
          </w:tcPr>
          <w:p w14:paraId="6F4EFF6E" w14:textId="77777777" w:rsidR="00545F13" w:rsidRPr="00C1729E" w:rsidRDefault="00545F13" w:rsidP="009941AE">
            <w:pPr>
              <w:spacing w:after="60"/>
              <w:jc w:val="both"/>
              <w:rPr>
                <w:sz w:val="17"/>
                <w:szCs w:val="17"/>
              </w:rPr>
            </w:pPr>
          </w:p>
        </w:tc>
      </w:tr>
      <w:tr w:rsidR="00545F13" w:rsidRPr="00C1729E" w14:paraId="105996AD" w14:textId="77777777" w:rsidTr="00E07520">
        <w:tc>
          <w:tcPr>
            <w:tcW w:w="2322" w:type="dxa"/>
          </w:tcPr>
          <w:p w14:paraId="48A097E0" w14:textId="77777777" w:rsidR="00545F13" w:rsidRPr="00C1729E" w:rsidRDefault="00545F13" w:rsidP="009941AE">
            <w:pPr>
              <w:spacing w:after="60"/>
              <w:jc w:val="both"/>
              <w:rPr>
                <w:sz w:val="17"/>
                <w:szCs w:val="17"/>
              </w:rPr>
            </w:pPr>
            <w:r w:rsidRPr="00C1729E">
              <w:rPr>
                <w:sz w:val="19"/>
                <w:szCs w:val="19"/>
              </w:rPr>
              <w:t>Fondul de coeziune</w:t>
            </w:r>
          </w:p>
        </w:tc>
        <w:tc>
          <w:tcPr>
            <w:tcW w:w="2322" w:type="dxa"/>
          </w:tcPr>
          <w:p w14:paraId="53EF35F4" w14:textId="77777777" w:rsidR="00545F13" w:rsidRPr="00C1729E" w:rsidRDefault="00545F13" w:rsidP="009941AE">
            <w:pPr>
              <w:spacing w:after="60"/>
              <w:jc w:val="right"/>
              <w:rPr>
                <w:b/>
                <w:sz w:val="17"/>
                <w:szCs w:val="17"/>
              </w:rPr>
            </w:pPr>
            <w:r w:rsidRPr="00C1729E">
              <w:rPr>
                <w:b/>
                <w:sz w:val="17"/>
                <w:szCs w:val="17"/>
              </w:rPr>
              <w:t>1.817.302.574,60</w:t>
            </w:r>
          </w:p>
        </w:tc>
        <w:tc>
          <w:tcPr>
            <w:tcW w:w="2322" w:type="dxa"/>
          </w:tcPr>
          <w:p w14:paraId="1AF5B9B8" w14:textId="77777777" w:rsidR="00545F13" w:rsidRPr="00C1729E" w:rsidRDefault="00545F13" w:rsidP="009941AE">
            <w:pPr>
              <w:spacing w:after="60"/>
              <w:jc w:val="both"/>
              <w:rPr>
                <w:sz w:val="17"/>
                <w:szCs w:val="17"/>
              </w:rPr>
            </w:pPr>
            <w:r w:rsidRPr="00C1729E">
              <w:rPr>
                <w:sz w:val="17"/>
                <w:szCs w:val="17"/>
              </w:rPr>
              <w:t>0</w:t>
            </w:r>
          </w:p>
        </w:tc>
        <w:tc>
          <w:tcPr>
            <w:tcW w:w="2322" w:type="dxa"/>
          </w:tcPr>
          <w:p w14:paraId="5FE286C8" w14:textId="77777777" w:rsidR="00545F13" w:rsidRPr="00C1729E" w:rsidRDefault="00545F13" w:rsidP="009941AE">
            <w:pPr>
              <w:spacing w:after="60"/>
              <w:jc w:val="both"/>
              <w:rPr>
                <w:sz w:val="17"/>
                <w:szCs w:val="17"/>
              </w:rPr>
            </w:pPr>
          </w:p>
        </w:tc>
      </w:tr>
      <w:tr w:rsidR="00545F13" w:rsidRPr="00C1729E" w14:paraId="06248AE4" w14:textId="77777777" w:rsidTr="00E07520">
        <w:tc>
          <w:tcPr>
            <w:tcW w:w="2322" w:type="dxa"/>
          </w:tcPr>
          <w:p w14:paraId="57F63387" w14:textId="77777777" w:rsidR="00545F13" w:rsidRPr="00C1729E" w:rsidRDefault="00545F13" w:rsidP="009941AE">
            <w:pPr>
              <w:spacing w:after="60"/>
              <w:jc w:val="both"/>
              <w:rPr>
                <w:sz w:val="17"/>
                <w:szCs w:val="17"/>
              </w:rPr>
            </w:pPr>
            <w:r w:rsidRPr="00C1729E">
              <w:rPr>
                <w:sz w:val="19"/>
                <w:szCs w:val="19"/>
              </w:rPr>
              <w:t>FSE(</w:t>
            </w:r>
            <w:r w:rsidRPr="00C1729E">
              <w:rPr>
                <w:sz w:val="11"/>
                <w:szCs w:val="11"/>
              </w:rPr>
              <w:t>2</w:t>
            </w:r>
            <w:r w:rsidRPr="00C1729E">
              <w:rPr>
                <w:sz w:val="19"/>
                <w:szCs w:val="19"/>
              </w:rPr>
              <w:t>)</w:t>
            </w:r>
          </w:p>
        </w:tc>
        <w:tc>
          <w:tcPr>
            <w:tcW w:w="2322" w:type="dxa"/>
          </w:tcPr>
          <w:p w14:paraId="6FECD799" w14:textId="58312F23" w:rsidR="00545F13" w:rsidRDefault="006357D5" w:rsidP="009941AE">
            <w:pPr>
              <w:spacing w:after="60"/>
              <w:jc w:val="right"/>
              <w:rPr>
                <w:b/>
                <w:sz w:val="17"/>
                <w:szCs w:val="17"/>
              </w:rPr>
            </w:pPr>
            <w:r>
              <w:rPr>
                <w:b/>
                <w:sz w:val="17"/>
                <w:szCs w:val="17"/>
              </w:rPr>
              <w:t>54302161,07</w:t>
            </w:r>
          </w:p>
          <w:p w14:paraId="1B23A33A" w14:textId="4223BBEA" w:rsidR="006357D5" w:rsidRPr="00C1729E" w:rsidRDefault="006357D5" w:rsidP="009941AE">
            <w:pPr>
              <w:spacing w:after="60"/>
              <w:jc w:val="right"/>
              <w:rPr>
                <w:b/>
                <w:sz w:val="17"/>
                <w:szCs w:val="17"/>
              </w:rPr>
            </w:pPr>
          </w:p>
        </w:tc>
        <w:tc>
          <w:tcPr>
            <w:tcW w:w="2322" w:type="dxa"/>
          </w:tcPr>
          <w:p w14:paraId="4139B21A" w14:textId="77777777" w:rsidR="00545F13" w:rsidRPr="00C1729E" w:rsidRDefault="00545F13" w:rsidP="009941AE">
            <w:pPr>
              <w:spacing w:after="60"/>
              <w:jc w:val="both"/>
              <w:rPr>
                <w:sz w:val="17"/>
                <w:szCs w:val="17"/>
              </w:rPr>
            </w:pPr>
            <w:r w:rsidRPr="00C1729E">
              <w:rPr>
                <w:sz w:val="17"/>
                <w:szCs w:val="17"/>
              </w:rPr>
              <w:t>0</w:t>
            </w:r>
          </w:p>
        </w:tc>
        <w:tc>
          <w:tcPr>
            <w:tcW w:w="2322" w:type="dxa"/>
          </w:tcPr>
          <w:p w14:paraId="5D72549A" w14:textId="77777777" w:rsidR="00545F13" w:rsidRPr="00C1729E" w:rsidRDefault="00545F13" w:rsidP="009941AE">
            <w:pPr>
              <w:spacing w:after="60"/>
              <w:jc w:val="both"/>
              <w:rPr>
                <w:sz w:val="17"/>
                <w:szCs w:val="17"/>
              </w:rPr>
            </w:pPr>
          </w:p>
        </w:tc>
      </w:tr>
      <w:tr w:rsidR="00545F13" w:rsidRPr="00C1729E" w14:paraId="6E1875E4" w14:textId="77777777" w:rsidTr="00E07520">
        <w:tc>
          <w:tcPr>
            <w:tcW w:w="2322" w:type="dxa"/>
          </w:tcPr>
          <w:p w14:paraId="42F0F25E" w14:textId="6C17EF62" w:rsidR="00545F13" w:rsidRPr="00C1729E" w:rsidRDefault="00545F13" w:rsidP="009941AE">
            <w:pPr>
              <w:spacing w:after="60"/>
              <w:jc w:val="both"/>
              <w:rPr>
                <w:sz w:val="17"/>
                <w:szCs w:val="17"/>
              </w:rPr>
            </w:pPr>
            <w:r w:rsidRPr="00C1729E">
              <w:rPr>
                <w:sz w:val="19"/>
                <w:szCs w:val="19"/>
              </w:rPr>
              <w:t>FEADR</w:t>
            </w:r>
          </w:p>
        </w:tc>
        <w:tc>
          <w:tcPr>
            <w:tcW w:w="2322" w:type="dxa"/>
          </w:tcPr>
          <w:p w14:paraId="308EDA10" w14:textId="71EA3943" w:rsidR="00545F13" w:rsidRPr="00C1729E" w:rsidRDefault="00095F22" w:rsidP="009941AE">
            <w:pPr>
              <w:spacing w:after="60"/>
              <w:jc w:val="right"/>
              <w:rPr>
                <w:b/>
                <w:sz w:val="17"/>
                <w:szCs w:val="17"/>
              </w:rPr>
            </w:pPr>
            <w:r>
              <w:rPr>
                <w:b/>
                <w:sz w:val="17"/>
                <w:szCs w:val="17"/>
              </w:rPr>
              <w:t>3.721.237.217,00</w:t>
            </w:r>
          </w:p>
        </w:tc>
        <w:tc>
          <w:tcPr>
            <w:tcW w:w="2322" w:type="dxa"/>
          </w:tcPr>
          <w:p w14:paraId="73507073" w14:textId="77777777" w:rsidR="00545F13" w:rsidRPr="00C1729E" w:rsidRDefault="00545F13" w:rsidP="009941AE">
            <w:pPr>
              <w:spacing w:after="60"/>
              <w:jc w:val="both"/>
              <w:rPr>
                <w:sz w:val="17"/>
                <w:szCs w:val="17"/>
              </w:rPr>
            </w:pPr>
          </w:p>
        </w:tc>
        <w:tc>
          <w:tcPr>
            <w:tcW w:w="2322" w:type="dxa"/>
          </w:tcPr>
          <w:p w14:paraId="6FF6E768" w14:textId="77777777" w:rsidR="00545F13" w:rsidRPr="00C1729E" w:rsidRDefault="00545F13" w:rsidP="009941AE">
            <w:pPr>
              <w:spacing w:after="60"/>
              <w:jc w:val="both"/>
              <w:rPr>
                <w:sz w:val="17"/>
                <w:szCs w:val="17"/>
              </w:rPr>
            </w:pPr>
          </w:p>
        </w:tc>
      </w:tr>
      <w:tr w:rsidR="00545F13" w:rsidRPr="00C1729E" w14:paraId="1EDAE7B9" w14:textId="77777777" w:rsidTr="00E07520">
        <w:tc>
          <w:tcPr>
            <w:tcW w:w="2322" w:type="dxa"/>
          </w:tcPr>
          <w:p w14:paraId="3B6FA86F" w14:textId="77777777" w:rsidR="00545F13" w:rsidRPr="00C1729E" w:rsidRDefault="00545F13" w:rsidP="009941AE">
            <w:pPr>
              <w:spacing w:after="60"/>
              <w:jc w:val="both"/>
              <w:rPr>
                <w:sz w:val="17"/>
                <w:szCs w:val="17"/>
              </w:rPr>
            </w:pPr>
            <w:r w:rsidRPr="00C1729E">
              <w:rPr>
                <w:sz w:val="19"/>
                <w:szCs w:val="19"/>
              </w:rPr>
              <w:t>FEPAM</w:t>
            </w:r>
          </w:p>
        </w:tc>
        <w:tc>
          <w:tcPr>
            <w:tcW w:w="2322" w:type="dxa"/>
          </w:tcPr>
          <w:p w14:paraId="459D86DC" w14:textId="41A3C097" w:rsidR="006357D5" w:rsidRPr="00C1729E" w:rsidRDefault="006357D5" w:rsidP="009941AE">
            <w:pPr>
              <w:spacing w:after="60"/>
              <w:jc w:val="right"/>
              <w:rPr>
                <w:b/>
                <w:sz w:val="17"/>
                <w:szCs w:val="17"/>
              </w:rPr>
            </w:pPr>
            <w:r>
              <w:rPr>
                <w:b/>
                <w:sz w:val="17"/>
                <w:szCs w:val="17"/>
              </w:rPr>
              <w:t>30.333.764,00</w:t>
            </w:r>
          </w:p>
        </w:tc>
        <w:tc>
          <w:tcPr>
            <w:tcW w:w="2322" w:type="dxa"/>
          </w:tcPr>
          <w:p w14:paraId="474B8C46" w14:textId="77777777" w:rsidR="00545F13" w:rsidRPr="00C1729E" w:rsidRDefault="00545F13" w:rsidP="009941AE">
            <w:pPr>
              <w:spacing w:after="60"/>
              <w:jc w:val="both"/>
              <w:rPr>
                <w:sz w:val="17"/>
                <w:szCs w:val="17"/>
              </w:rPr>
            </w:pPr>
          </w:p>
        </w:tc>
        <w:tc>
          <w:tcPr>
            <w:tcW w:w="2322" w:type="dxa"/>
          </w:tcPr>
          <w:p w14:paraId="385137EA" w14:textId="77777777" w:rsidR="00545F13" w:rsidRPr="00C1729E" w:rsidRDefault="00545F13" w:rsidP="009941AE">
            <w:pPr>
              <w:spacing w:after="60"/>
              <w:jc w:val="both"/>
              <w:rPr>
                <w:sz w:val="17"/>
                <w:szCs w:val="17"/>
              </w:rPr>
            </w:pPr>
          </w:p>
        </w:tc>
      </w:tr>
      <w:tr w:rsidR="00545F13" w:rsidRPr="00C1729E" w14:paraId="1348A390" w14:textId="77777777" w:rsidTr="00E07520">
        <w:tc>
          <w:tcPr>
            <w:tcW w:w="2322" w:type="dxa"/>
          </w:tcPr>
          <w:p w14:paraId="4EF86445" w14:textId="05221ABD" w:rsidR="00545F13" w:rsidRPr="00C1729E" w:rsidRDefault="00545F13" w:rsidP="009941AE">
            <w:pPr>
              <w:spacing w:after="60"/>
              <w:jc w:val="both"/>
              <w:rPr>
                <w:b/>
                <w:sz w:val="17"/>
                <w:szCs w:val="17"/>
              </w:rPr>
            </w:pPr>
            <w:r w:rsidRPr="00C1729E">
              <w:rPr>
                <w:b/>
                <w:sz w:val="19"/>
                <w:szCs w:val="19"/>
              </w:rPr>
              <w:t>TOTAL</w:t>
            </w:r>
          </w:p>
        </w:tc>
        <w:tc>
          <w:tcPr>
            <w:tcW w:w="2322" w:type="dxa"/>
          </w:tcPr>
          <w:p w14:paraId="2A2B9085" w14:textId="4220476F" w:rsidR="00545F13" w:rsidRPr="00C1729E" w:rsidRDefault="006357D5" w:rsidP="009941AE">
            <w:pPr>
              <w:spacing w:after="60"/>
              <w:jc w:val="right"/>
              <w:rPr>
                <w:b/>
                <w:sz w:val="17"/>
                <w:szCs w:val="17"/>
              </w:rPr>
            </w:pPr>
            <w:r>
              <w:rPr>
                <w:b/>
                <w:sz w:val="17"/>
                <w:szCs w:val="17"/>
              </w:rPr>
              <w:t>7.977.080.746,07</w:t>
            </w:r>
          </w:p>
        </w:tc>
        <w:tc>
          <w:tcPr>
            <w:tcW w:w="2322" w:type="dxa"/>
          </w:tcPr>
          <w:p w14:paraId="645415E8" w14:textId="77777777" w:rsidR="00545F13" w:rsidRPr="00C1729E" w:rsidRDefault="00545F13" w:rsidP="009941AE">
            <w:pPr>
              <w:spacing w:after="60"/>
              <w:jc w:val="both"/>
              <w:rPr>
                <w:sz w:val="17"/>
                <w:szCs w:val="17"/>
              </w:rPr>
            </w:pPr>
          </w:p>
        </w:tc>
        <w:tc>
          <w:tcPr>
            <w:tcW w:w="2322" w:type="dxa"/>
          </w:tcPr>
          <w:p w14:paraId="08D94C16" w14:textId="77777777" w:rsidR="00545F13" w:rsidRPr="00C1729E" w:rsidRDefault="00545F13" w:rsidP="009941AE">
            <w:pPr>
              <w:spacing w:after="60"/>
              <w:jc w:val="both"/>
              <w:rPr>
                <w:sz w:val="17"/>
                <w:szCs w:val="17"/>
              </w:rPr>
            </w:pPr>
          </w:p>
        </w:tc>
      </w:tr>
    </w:tbl>
    <w:p w14:paraId="64B78E4C" w14:textId="77777777" w:rsidR="00545F13" w:rsidRPr="00C1729E" w:rsidRDefault="00545F13" w:rsidP="009941AE">
      <w:pPr>
        <w:spacing w:after="60" w:line="240" w:lineRule="auto"/>
        <w:jc w:val="both"/>
        <w:rPr>
          <w:b/>
          <w:color w:val="FF0000"/>
          <w:sz w:val="17"/>
          <w:szCs w:val="17"/>
        </w:rPr>
      </w:pPr>
      <w:r w:rsidRPr="00C1729E">
        <w:rPr>
          <w:b/>
          <w:i/>
          <w:iCs/>
          <w:color w:val="FF0000"/>
          <w:sz w:val="19"/>
          <w:szCs w:val="19"/>
        </w:rPr>
        <w:t xml:space="preserve"> </w:t>
      </w:r>
      <w:r w:rsidRPr="00C1729E">
        <w:rPr>
          <w:b/>
          <w:color w:val="FF0000"/>
          <w:sz w:val="17"/>
          <w:szCs w:val="17"/>
        </w:rPr>
        <w:t>(</w:t>
      </w:r>
      <w:r w:rsidRPr="00C1729E">
        <w:rPr>
          <w:b/>
          <w:color w:val="FF0000"/>
          <w:sz w:val="10"/>
          <w:szCs w:val="10"/>
        </w:rPr>
        <w:t>1</w:t>
      </w:r>
      <w:r w:rsidRPr="00C1729E">
        <w:rPr>
          <w:b/>
          <w:color w:val="FF0000"/>
          <w:sz w:val="17"/>
          <w:szCs w:val="17"/>
        </w:rPr>
        <w:t xml:space="preserve">) Cumulat, în euro, bazat pe cheltuielile eligibile declarate Comisiei cu data-limită de 31 decembrie a anului precedent. </w:t>
      </w:r>
    </w:p>
    <w:p w14:paraId="70DAE248" w14:textId="77777777" w:rsidR="00545F13" w:rsidRPr="00C1729E" w:rsidRDefault="00545F13" w:rsidP="009941AE">
      <w:pPr>
        <w:spacing w:after="60" w:line="240" w:lineRule="auto"/>
        <w:jc w:val="both"/>
        <w:rPr>
          <w:b/>
          <w:color w:val="FF0000"/>
          <w:sz w:val="17"/>
          <w:szCs w:val="17"/>
        </w:rPr>
      </w:pPr>
      <w:r w:rsidRPr="00C1729E">
        <w:rPr>
          <w:b/>
          <w:color w:val="FF0000"/>
          <w:sz w:val="17"/>
          <w:szCs w:val="17"/>
        </w:rPr>
        <w:t>(</w:t>
      </w:r>
      <w:r w:rsidRPr="00C1729E">
        <w:rPr>
          <w:b/>
          <w:color w:val="FF0000"/>
          <w:sz w:val="10"/>
          <w:szCs w:val="10"/>
        </w:rPr>
        <w:t>2</w:t>
      </w:r>
      <w:r w:rsidRPr="00C1729E">
        <w:rPr>
          <w:b/>
          <w:color w:val="FF0000"/>
          <w:sz w:val="17"/>
          <w:szCs w:val="17"/>
        </w:rPr>
        <w:t xml:space="preserve">) Sunt incluse aici și resursele pentru YEI (alocarea specifică pentru YEI și sprijinul corespunzător din FSE). </w:t>
      </w:r>
    </w:p>
    <w:p w14:paraId="1827DAD8" w14:textId="77777777" w:rsidR="00C35643" w:rsidRPr="00C1729E" w:rsidRDefault="00C35643" w:rsidP="009941AE">
      <w:pPr>
        <w:spacing w:after="60" w:line="240" w:lineRule="auto"/>
        <w:jc w:val="both"/>
        <w:rPr>
          <w:i/>
          <w:iCs/>
          <w:sz w:val="19"/>
          <w:szCs w:val="19"/>
        </w:rPr>
      </w:pPr>
    </w:p>
    <w:p w14:paraId="4C035F85" w14:textId="5A53BC9E" w:rsidR="003E6FA5" w:rsidRPr="00C1729E" w:rsidRDefault="003E6FA5" w:rsidP="009941AE">
      <w:pPr>
        <w:spacing w:after="0" w:line="240" w:lineRule="auto"/>
        <w:jc w:val="both"/>
        <w:rPr>
          <w:b/>
          <w:color w:val="548DD4" w:themeColor="text2" w:themeTint="99"/>
        </w:rPr>
      </w:pPr>
      <w:r w:rsidRPr="00C1729E">
        <w:rPr>
          <w:b/>
          <w:color w:val="548DD4" w:themeColor="text2" w:themeTint="99"/>
        </w:rPr>
        <w:t xml:space="preserve">4. Implementarea mecanismelor de asigurare a coordonării între fondurile ESI și alte instrumente de finanțare ale uniunii și naționale și cu </w:t>
      </w:r>
      <w:r w:rsidR="00DC6D79">
        <w:rPr>
          <w:b/>
          <w:color w:val="548DD4" w:themeColor="text2" w:themeTint="99"/>
        </w:rPr>
        <w:t>B</w:t>
      </w:r>
      <w:r w:rsidRPr="00C1729E">
        <w:rPr>
          <w:b/>
          <w:color w:val="548DD4" w:themeColor="text2" w:themeTint="99"/>
        </w:rPr>
        <w:t xml:space="preserve">anca </w:t>
      </w:r>
      <w:r w:rsidR="00DC6D79">
        <w:rPr>
          <w:b/>
          <w:color w:val="548DD4" w:themeColor="text2" w:themeTint="99"/>
        </w:rPr>
        <w:t>E</w:t>
      </w:r>
      <w:r w:rsidRPr="00C1729E">
        <w:rPr>
          <w:b/>
          <w:color w:val="548DD4" w:themeColor="text2" w:themeTint="99"/>
        </w:rPr>
        <w:t xml:space="preserve">uropeană de </w:t>
      </w:r>
      <w:r w:rsidR="00DC6D79">
        <w:rPr>
          <w:b/>
          <w:color w:val="548DD4" w:themeColor="text2" w:themeTint="99"/>
        </w:rPr>
        <w:t>I</w:t>
      </w:r>
      <w:r w:rsidRPr="00C1729E">
        <w:rPr>
          <w:b/>
          <w:color w:val="548DD4" w:themeColor="text2" w:themeTint="99"/>
        </w:rPr>
        <w:t>nvestiții (</w:t>
      </w:r>
      <w:r w:rsidR="00DC6D79">
        <w:rPr>
          <w:b/>
          <w:color w:val="548DD4" w:themeColor="text2" w:themeTint="99"/>
        </w:rPr>
        <w:t>BEI</w:t>
      </w:r>
      <w:r w:rsidRPr="00C1729E">
        <w:rPr>
          <w:b/>
          <w:color w:val="548DD4" w:themeColor="text2" w:themeTint="99"/>
        </w:rPr>
        <w:t>) [articolul 52 alineatul (2) litera (d) din regulamentul (UE) nr. 1303/2013]</w:t>
      </w:r>
    </w:p>
    <w:p w14:paraId="38743CFF" w14:textId="77777777" w:rsidR="003E6FA5" w:rsidRPr="00C1729E" w:rsidRDefault="003E6FA5" w:rsidP="009941AE">
      <w:pPr>
        <w:spacing w:after="0" w:line="240" w:lineRule="auto"/>
        <w:jc w:val="both"/>
        <w:rPr>
          <w:sz w:val="24"/>
          <w:szCs w:val="24"/>
        </w:rPr>
      </w:pPr>
    </w:p>
    <w:p w14:paraId="5E54C7A5" w14:textId="12E536B8" w:rsidR="001D13B1" w:rsidRDefault="00B13207" w:rsidP="009941AE">
      <w:pPr>
        <w:spacing w:after="0" w:line="240" w:lineRule="auto"/>
        <w:jc w:val="both"/>
        <w:rPr>
          <w:sz w:val="24"/>
          <w:szCs w:val="24"/>
          <w:shd w:val="clear" w:color="auto" w:fill="FFFFFF"/>
        </w:rPr>
      </w:pPr>
      <w:r w:rsidRPr="00C1729E">
        <w:rPr>
          <w:sz w:val="24"/>
          <w:szCs w:val="24"/>
        </w:rPr>
        <w:t xml:space="preserve">În procesul de elaborare a programelor subsecvente Acordului s-au avut în vedere potențialele  complementarități/sinergii cu finanțările din alte programe/instrumente ale UE sau cu finanțări din surse publice naționale, în scopul amplificării impactului la nivel sectorial precum și evitării dublei finanțări. </w:t>
      </w:r>
      <w:r w:rsidR="001C54B0">
        <w:rPr>
          <w:sz w:val="24"/>
          <w:szCs w:val="24"/>
        </w:rPr>
        <w:t xml:space="preserve">Totodată, </w:t>
      </w:r>
      <w:r w:rsidRPr="00C1729E">
        <w:rPr>
          <w:sz w:val="24"/>
          <w:szCs w:val="24"/>
          <w:shd w:val="clear" w:color="auto" w:fill="FFFFFF"/>
        </w:rPr>
        <w:t xml:space="preserve">începând cu 2018, la nivelul MFE, prin Direcția Cooperare Europeană </w:t>
      </w:r>
      <w:r w:rsidR="00121349">
        <w:rPr>
          <w:sz w:val="24"/>
          <w:szCs w:val="24"/>
          <w:shd w:val="clear" w:color="auto" w:fill="FFFFFF"/>
        </w:rPr>
        <w:t xml:space="preserve">și Internațională </w:t>
      </w:r>
      <w:r w:rsidR="009F5AB2">
        <w:rPr>
          <w:sz w:val="24"/>
          <w:szCs w:val="24"/>
          <w:shd w:val="clear" w:color="auto" w:fill="FFFFFF"/>
        </w:rPr>
        <w:t>s-au inițiat acțiuni în vederea stabilirii</w:t>
      </w:r>
      <w:r w:rsidRPr="00C1729E">
        <w:rPr>
          <w:sz w:val="24"/>
          <w:szCs w:val="24"/>
          <w:shd w:val="clear" w:color="auto" w:fill="FFFFFF"/>
        </w:rPr>
        <w:t xml:space="preserve"> un</w:t>
      </w:r>
      <w:r w:rsidR="009F5AB2">
        <w:rPr>
          <w:sz w:val="24"/>
          <w:szCs w:val="24"/>
          <w:shd w:val="clear" w:color="auto" w:fill="FFFFFF"/>
        </w:rPr>
        <w:t>ui</w:t>
      </w:r>
      <w:r w:rsidRPr="00C1729E">
        <w:rPr>
          <w:sz w:val="24"/>
          <w:szCs w:val="24"/>
          <w:shd w:val="clear" w:color="auto" w:fill="FFFFFF"/>
        </w:rPr>
        <w:t xml:space="preserve"> mecanism de raportare și monitorizare a </w:t>
      </w:r>
      <w:r w:rsidR="009F5AB2">
        <w:rPr>
          <w:sz w:val="24"/>
          <w:szCs w:val="24"/>
          <w:shd w:val="clear" w:color="auto" w:fill="FFFFFF"/>
        </w:rPr>
        <w:t xml:space="preserve">participării României la </w:t>
      </w:r>
      <w:r w:rsidRPr="00C1729E">
        <w:rPr>
          <w:sz w:val="24"/>
          <w:szCs w:val="24"/>
          <w:shd w:val="clear" w:color="auto" w:fill="FFFFFF"/>
        </w:rPr>
        <w:t>programel</w:t>
      </w:r>
      <w:r w:rsidR="009F5AB2">
        <w:rPr>
          <w:sz w:val="24"/>
          <w:szCs w:val="24"/>
          <w:shd w:val="clear" w:color="auto" w:fill="FFFFFF"/>
        </w:rPr>
        <w:t>e</w:t>
      </w:r>
      <w:r w:rsidRPr="00C1729E">
        <w:rPr>
          <w:sz w:val="24"/>
          <w:szCs w:val="24"/>
          <w:shd w:val="clear" w:color="auto" w:fill="FFFFFF"/>
        </w:rPr>
        <w:t xml:space="preserve"> comunitare </w:t>
      </w:r>
      <w:r w:rsidR="00563B26" w:rsidRPr="00C1729E">
        <w:rPr>
          <w:rFonts w:eastAsia="Times New Roman" w:cs="Times New Roman"/>
          <w:sz w:val="24"/>
          <w:szCs w:val="24"/>
        </w:rPr>
        <w:t xml:space="preserve">şi </w:t>
      </w:r>
      <w:r w:rsidR="00563B26">
        <w:rPr>
          <w:rFonts w:eastAsia="Times New Roman" w:cs="Times New Roman"/>
          <w:sz w:val="24"/>
          <w:szCs w:val="24"/>
        </w:rPr>
        <w:t xml:space="preserve">analizării complementarității și </w:t>
      </w:r>
      <w:proofErr w:type="spellStart"/>
      <w:r w:rsidR="00563B26">
        <w:rPr>
          <w:rFonts w:eastAsia="Times New Roman" w:cs="Times New Roman"/>
          <w:sz w:val="24"/>
          <w:szCs w:val="24"/>
        </w:rPr>
        <w:t>sinergiilor</w:t>
      </w:r>
      <w:proofErr w:type="spellEnd"/>
      <w:r w:rsidR="00563B26" w:rsidRPr="00C1729E">
        <w:rPr>
          <w:rFonts w:eastAsia="Times New Roman" w:cs="Times New Roman"/>
          <w:sz w:val="24"/>
          <w:szCs w:val="24"/>
        </w:rPr>
        <w:t xml:space="preserve"> cu </w:t>
      </w:r>
      <w:r w:rsidR="00563B26" w:rsidRPr="00C1729E">
        <w:rPr>
          <w:rFonts w:cs="Times New Roman"/>
          <w:sz w:val="24"/>
          <w:szCs w:val="24"/>
          <w:shd w:val="clear" w:color="auto" w:fill="FFFFFF"/>
        </w:rPr>
        <w:t>programele</w:t>
      </w:r>
      <w:r w:rsidR="00563B26" w:rsidRPr="00C1729E">
        <w:rPr>
          <w:rFonts w:eastAsia="Times New Roman" w:cs="Times New Roman"/>
          <w:sz w:val="24"/>
          <w:szCs w:val="24"/>
        </w:rPr>
        <w:t xml:space="preserve"> subsecvente AP</w:t>
      </w:r>
      <w:r w:rsidR="00563B26">
        <w:rPr>
          <w:rFonts w:eastAsia="Times New Roman" w:cs="Times New Roman"/>
          <w:sz w:val="24"/>
          <w:szCs w:val="24"/>
        </w:rPr>
        <w:t>,</w:t>
      </w:r>
      <w:r w:rsidR="00563B26" w:rsidRPr="00C1729E">
        <w:rPr>
          <w:sz w:val="24"/>
          <w:szCs w:val="24"/>
          <w:shd w:val="clear" w:color="auto" w:fill="FFFFFF"/>
        </w:rPr>
        <w:t xml:space="preserve"> </w:t>
      </w:r>
      <w:r w:rsidRPr="00C1729E">
        <w:rPr>
          <w:sz w:val="24"/>
          <w:szCs w:val="24"/>
          <w:shd w:val="clear" w:color="auto" w:fill="FFFFFF"/>
        </w:rPr>
        <w:t>prin</w:t>
      </w:r>
      <w:r w:rsidR="006C16F0">
        <w:rPr>
          <w:sz w:val="24"/>
          <w:szCs w:val="24"/>
          <w:shd w:val="clear" w:color="auto" w:fill="FFFFFF"/>
        </w:rPr>
        <w:t>:</w:t>
      </w:r>
      <w:r w:rsidRPr="00C1729E">
        <w:rPr>
          <w:sz w:val="24"/>
          <w:szCs w:val="24"/>
          <w:shd w:val="clear" w:color="auto" w:fill="FFFFFF"/>
        </w:rPr>
        <w:t xml:space="preserve"> </w:t>
      </w:r>
      <w:r w:rsidR="006C16F0">
        <w:rPr>
          <w:sz w:val="24"/>
          <w:szCs w:val="24"/>
          <w:shd w:val="clear" w:color="auto" w:fill="FFFFFF"/>
        </w:rPr>
        <w:t xml:space="preserve">(i) </w:t>
      </w:r>
      <w:r w:rsidRPr="00C1729E">
        <w:rPr>
          <w:sz w:val="24"/>
          <w:szCs w:val="24"/>
          <w:shd w:val="clear" w:color="auto" w:fill="FFFFFF"/>
        </w:rPr>
        <w:t>colaborare permanentă cu Punctele Naționale de Contact din cadrul autorităților publice responsabile</w:t>
      </w:r>
      <w:r w:rsidR="003653CA">
        <w:rPr>
          <w:sz w:val="24"/>
          <w:szCs w:val="24"/>
          <w:shd w:val="clear" w:color="auto" w:fill="FFFFFF"/>
        </w:rPr>
        <w:t xml:space="preserve"> și (ii)</w:t>
      </w:r>
      <w:r w:rsidR="003653CA" w:rsidRPr="003653CA">
        <w:rPr>
          <w:sz w:val="24"/>
          <w:szCs w:val="24"/>
        </w:rPr>
        <w:t xml:space="preserve"> </w:t>
      </w:r>
      <w:r w:rsidR="003653CA">
        <w:rPr>
          <w:sz w:val="24"/>
          <w:szCs w:val="24"/>
        </w:rPr>
        <w:t>elaborarea unui</w:t>
      </w:r>
      <w:r w:rsidR="003653CA" w:rsidRPr="00C1729E">
        <w:rPr>
          <w:sz w:val="24"/>
          <w:szCs w:val="24"/>
        </w:rPr>
        <w:t xml:space="preserve"> </w:t>
      </w:r>
      <w:r w:rsidR="003653CA">
        <w:rPr>
          <w:sz w:val="24"/>
          <w:szCs w:val="24"/>
          <w:shd w:val="clear" w:color="auto" w:fill="FFFFFF"/>
        </w:rPr>
        <w:t xml:space="preserve">proiect de </w:t>
      </w:r>
      <w:r w:rsidR="003653CA" w:rsidRPr="00C1729E">
        <w:rPr>
          <w:sz w:val="24"/>
          <w:szCs w:val="24"/>
          <w:shd w:val="clear" w:color="auto" w:fill="FFFFFF"/>
        </w:rPr>
        <w:t>H</w:t>
      </w:r>
      <w:r w:rsidR="003653CA">
        <w:rPr>
          <w:sz w:val="24"/>
          <w:szCs w:val="24"/>
          <w:shd w:val="clear" w:color="auto" w:fill="FFFFFF"/>
        </w:rPr>
        <w:t>otărâre de Guvern</w:t>
      </w:r>
      <w:r w:rsidR="003653CA" w:rsidRPr="00C1729E">
        <w:rPr>
          <w:sz w:val="24"/>
          <w:szCs w:val="24"/>
          <w:shd w:val="clear" w:color="auto" w:fill="FFFFFF"/>
        </w:rPr>
        <w:t xml:space="preserve"> </w:t>
      </w:r>
      <w:r w:rsidR="003653CA" w:rsidRPr="00C1729E">
        <w:rPr>
          <w:sz w:val="24"/>
          <w:szCs w:val="24"/>
        </w:rPr>
        <w:t xml:space="preserve">pentru înființarea </w:t>
      </w:r>
      <w:r w:rsidR="003653CA" w:rsidRPr="00C1729E">
        <w:rPr>
          <w:i/>
          <w:sz w:val="24"/>
          <w:szCs w:val="24"/>
        </w:rPr>
        <w:t>Comitetului Interinstituțional pentru Coordonarea și Monitorizarea Participării României la Programele Comunitare</w:t>
      </w:r>
      <w:r w:rsidR="003653CA" w:rsidRPr="00C1729E">
        <w:rPr>
          <w:sz w:val="24"/>
          <w:szCs w:val="24"/>
        </w:rPr>
        <w:t xml:space="preserve"> se afl</w:t>
      </w:r>
      <w:r w:rsidR="003653CA">
        <w:rPr>
          <w:sz w:val="24"/>
          <w:szCs w:val="24"/>
        </w:rPr>
        <w:t>ă</w:t>
      </w:r>
      <w:r w:rsidR="003653CA" w:rsidRPr="00C1729E">
        <w:rPr>
          <w:sz w:val="24"/>
          <w:szCs w:val="24"/>
        </w:rPr>
        <w:t xml:space="preserve"> în </w:t>
      </w:r>
      <w:r w:rsidR="003653CA" w:rsidRPr="00C1729E">
        <w:rPr>
          <w:sz w:val="24"/>
          <w:szCs w:val="24"/>
          <w:shd w:val="clear" w:color="auto" w:fill="FFFFFF"/>
        </w:rPr>
        <w:t>avizare interinstituțională.</w:t>
      </w:r>
    </w:p>
    <w:p w14:paraId="2DCABD0F" w14:textId="706902BD" w:rsidR="00B13207" w:rsidRPr="00C1729E" w:rsidRDefault="00B13207" w:rsidP="009941AE">
      <w:pPr>
        <w:spacing w:after="0" w:line="240" w:lineRule="auto"/>
        <w:jc w:val="both"/>
        <w:rPr>
          <w:rFonts w:cstheme="minorHAnsi"/>
          <w:sz w:val="24"/>
          <w:szCs w:val="24"/>
        </w:rPr>
      </w:pPr>
      <w:r w:rsidRPr="00C1729E">
        <w:rPr>
          <w:rFonts w:cstheme="minorHAnsi"/>
          <w:sz w:val="24"/>
          <w:szCs w:val="24"/>
          <w:shd w:val="clear" w:color="auto" w:fill="EEECE1" w:themeFill="background2"/>
        </w:rPr>
        <w:t xml:space="preserve">Sinergia </w:t>
      </w:r>
      <w:r w:rsidRPr="00C1729E">
        <w:rPr>
          <w:rFonts w:cstheme="minorHAnsi"/>
          <w:b/>
          <w:sz w:val="24"/>
          <w:szCs w:val="24"/>
          <w:shd w:val="clear" w:color="auto" w:fill="EEECE1" w:themeFill="background2"/>
        </w:rPr>
        <w:t>între fondurile ESI și Orizont 2020 (H2020</w:t>
      </w:r>
      <w:r w:rsidRPr="00C1729E">
        <w:rPr>
          <w:rFonts w:cstheme="minorHAnsi"/>
          <w:b/>
          <w:sz w:val="24"/>
          <w:szCs w:val="24"/>
        </w:rPr>
        <w:t>)</w:t>
      </w:r>
      <w:r w:rsidRPr="00C1729E">
        <w:rPr>
          <w:rFonts w:cstheme="minorHAnsi"/>
          <w:sz w:val="24"/>
          <w:szCs w:val="24"/>
        </w:rPr>
        <w:t xml:space="preserve"> este asigurată prin </w:t>
      </w:r>
      <w:r w:rsidRPr="00C1729E">
        <w:rPr>
          <w:rFonts w:cstheme="minorHAnsi"/>
          <w:i/>
          <w:sz w:val="24"/>
          <w:szCs w:val="24"/>
        </w:rPr>
        <w:t>Strategia Națională de CDI 2014-2020.</w:t>
      </w:r>
      <w:r w:rsidRPr="00C1729E">
        <w:rPr>
          <w:rFonts w:cstheme="minorHAnsi"/>
          <w:sz w:val="24"/>
          <w:szCs w:val="24"/>
        </w:rPr>
        <w:t xml:space="preserve"> Monitorizarea participării organizațiilor românești la H2020 se face de către Ministerul Cercetării și Inovării care asigură informarea potențialilor participanți din România și asistență pentru implementarea proiectelor prin </w:t>
      </w:r>
      <w:r w:rsidRPr="00C1729E">
        <w:rPr>
          <w:rFonts w:cstheme="minorHAnsi"/>
          <w:b/>
          <w:sz w:val="24"/>
          <w:szCs w:val="24"/>
        </w:rPr>
        <w:t>Punctul Național de Contact</w:t>
      </w:r>
      <w:r w:rsidR="004C30F0">
        <w:rPr>
          <w:rFonts w:cstheme="minorHAnsi"/>
          <w:sz w:val="24"/>
          <w:szCs w:val="24"/>
        </w:rPr>
        <w:t xml:space="preserve"> - o</w:t>
      </w:r>
      <w:r w:rsidRPr="00C1729E">
        <w:rPr>
          <w:rFonts w:cstheme="minorHAnsi"/>
          <w:sz w:val="24"/>
          <w:szCs w:val="24"/>
        </w:rPr>
        <w:t xml:space="preserve"> rețea descentralizată, formată din specialiști pe diverse domenii specifice, care furnizează consultanță  privind alegerea subiectelor și a tipurilor de acțiuni relevante pentru H2020, procedurile administrative și problemele contractuale, instruire și asistență privind scrierea propunerilor, asistență în căutarea de parteneri etc. </w:t>
      </w:r>
    </w:p>
    <w:p w14:paraId="55C3C1B0" w14:textId="079B0C1E" w:rsidR="00B13207" w:rsidRPr="00C1729E" w:rsidRDefault="00B13207" w:rsidP="009941AE">
      <w:pPr>
        <w:autoSpaceDE w:val="0"/>
        <w:autoSpaceDN w:val="0"/>
        <w:adjustRightInd w:val="0"/>
        <w:spacing w:after="0" w:line="240" w:lineRule="auto"/>
        <w:jc w:val="both"/>
        <w:rPr>
          <w:rFonts w:cstheme="minorHAnsi"/>
          <w:color w:val="212121"/>
          <w:sz w:val="24"/>
          <w:szCs w:val="24"/>
        </w:rPr>
      </w:pPr>
      <w:r w:rsidRPr="00C1729E">
        <w:rPr>
          <w:rFonts w:cstheme="minorHAnsi"/>
          <w:color w:val="222222"/>
          <w:sz w:val="24"/>
          <w:szCs w:val="24"/>
        </w:rPr>
        <w:t>Beneficiarii români au depus în exercițiul financiar actual 1.009 proiecte Orizont 2020 în valoare totală de 158,4 mil. €.</w:t>
      </w:r>
      <w:r w:rsidRPr="00C1729E">
        <w:rPr>
          <w:rFonts w:cstheme="minorHAnsi"/>
          <w:b/>
          <w:color w:val="212121"/>
          <w:sz w:val="24"/>
          <w:szCs w:val="24"/>
        </w:rPr>
        <w:t xml:space="preserve">  </w:t>
      </w:r>
      <w:r w:rsidRPr="00C1729E">
        <w:rPr>
          <w:rFonts w:cstheme="minorHAnsi"/>
          <w:color w:val="212121"/>
          <w:sz w:val="24"/>
          <w:szCs w:val="24"/>
        </w:rPr>
        <w:t>Dintre acestea</w:t>
      </w:r>
      <w:r w:rsidR="00F14161">
        <w:rPr>
          <w:rFonts w:cstheme="minorHAnsi"/>
          <w:color w:val="212121"/>
          <w:sz w:val="24"/>
          <w:szCs w:val="24"/>
        </w:rPr>
        <w:t>,</w:t>
      </w:r>
      <w:r w:rsidRPr="00C1729E">
        <w:rPr>
          <w:rFonts w:cstheme="minorHAnsi"/>
          <w:color w:val="212121"/>
          <w:sz w:val="24"/>
          <w:szCs w:val="24"/>
        </w:rPr>
        <w:t xml:space="preserve"> 236 au fost proiecte ale unor instituții publice, totalizând 52,23 mil. € în cadrul priorităților: “O mobilitate ecologică și integrate”, “Combaterea schimbărilor climatice, mediu, utilizarea eficientă a resurselor și materiile prime“ și „Infrastructură de clasă mondială”.</w:t>
      </w:r>
    </w:p>
    <w:p w14:paraId="51EA6397" w14:textId="77777777" w:rsidR="00B13207" w:rsidRPr="00C1729E" w:rsidRDefault="00B13207" w:rsidP="009941AE">
      <w:pPr>
        <w:widowControl w:val="0"/>
        <w:overflowPunct w:val="0"/>
        <w:autoSpaceDE w:val="0"/>
        <w:autoSpaceDN w:val="0"/>
        <w:adjustRightInd w:val="0"/>
        <w:spacing w:after="0" w:line="240" w:lineRule="auto"/>
        <w:jc w:val="both"/>
        <w:rPr>
          <w:rFonts w:cstheme="minorHAnsi"/>
          <w:i/>
          <w:sz w:val="24"/>
          <w:szCs w:val="24"/>
        </w:rPr>
      </w:pPr>
      <w:r w:rsidRPr="00C1729E">
        <w:rPr>
          <w:rFonts w:cstheme="minorHAnsi"/>
          <w:sz w:val="24"/>
          <w:szCs w:val="24"/>
        </w:rPr>
        <w:lastRenderedPageBreak/>
        <w:t>POC sprijină proiecte care contribuie direct la întărirea capacității administrative a instituțiilor CDI din România de a realiza aplicații pentru proiecte și apeluri la nivel european și mondial în cadrul acțiunii ”</w:t>
      </w:r>
      <w:r w:rsidRPr="00C1729E">
        <w:rPr>
          <w:rFonts w:cstheme="minorHAnsi"/>
          <w:i/>
          <w:sz w:val="24"/>
          <w:szCs w:val="24"/>
        </w:rPr>
        <w:t>Crearea de sinergii cu acțiunile de CDI ale programului-cadru ORIZONT 2020 al UE şi alte programe CDI internaționale”.</w:t>
      </w:r>
    </w:p>
    <w:p w14:paraId="27FB6BDA" w14:textId="77777777" w:rsidR="00B13207" w:rsidRPr="00C1729E" w:rsidRDefault="00B13207" w:rsidP="009941AE">
      <w:pPr>
        <w:widowControl w:val="0"/>
        <w:overflowPunct w:val="0"/>
        <w:autoSpaceDE w:val="0"/>
        <w:autoSpaceDN w:val="0"/>
        <w:adjustRightInd w:val="0"/>
        <w:spacing w:after="0" w:line="240" w:lineRule="auto"/>
        <w:jc w:val="both"/>
        <w:rPr>
          <w:rFonts w:cs="Arial"/>
          <w:i/>
          <w:sz w:val="24"/>
          <w:szCs w:val="24"/>
        </w:rPr>
      </w:pPr>
    </w:p>
    <w:p w14:paraId="7365556C" w14:textId="3B3AA0A3" w:rsidR="00B13207" w:rsidRPr="00C1729E" w:rsidRDefault="00B13207" w:rsidP="009941AE">
      <w:pPr>
        <w:widowControl w:val="0"/>
        <w:overflowPunct w:val="0"/>
        <w:autoSpaceDE w:val="0"/>
        <w:autoSpaceDN w:val="0"/>
        <w:adjustRightInd w:val="0"/>
        <w:spacing w:after="0" w:line="240" w:lineRule="auto"/>
        <w:jc w:val="both"/>
        <w:rPr>
          <w:rFonts w:cstheme="minorHAnsi"/>
          <w:sz w:val="24"/>
          <w:szCs w:val="24"/>
        </w:rPr>
      </w:pPr>
      <w:r w:rsidRPr="00C1729E">
        <w:rPr>
          <w:rFonts w:cstheme="minorHAnsi"/>
          <w:b/>
          <w:sz w:val="24"/>
          <w:szCs w:val="24"/>
          <w:shd w:val="clear" w:color="auto" w:fill="DDD9C3" w:themeFill="background2" w:themeFillShade="E6"/>
        </w:rPr>
        <w:t>Mecanismul pentru interconectarea Europei (CEF)</w:t>
      </w:r>
      <w:r w:rsidRPr="00C1729E">
        <w:rPr>
          <w:rFonts w:cstheme="minorHAnsi"/>
          <w:sz w:val="24"/>
          <w:szCs w:val="24"/>
        </w:rPr>
        <w:t xml:space="preserve"> este complementar cu intervențiile FESI în infrastructură în sectoarele </w:t>
      </w:r>
      <w:r w:rsidR="00161C8F">
        <w:rPr>
          <w:rFonts w:cstheme="minorHAnsi"/>
          <w:sz w:val="24"/>
          <w:szCs w:val="24"/>
        </w:rPr>
        <w:t>telecomunicații</w:t>
      </w:r>
      <w:r w:rsidRPr="00C1729E">
        <w:rPr>
          <w:rFonts w:cstheme="minorHAnsi"/>
          <w:sz w:val="24"/>
          <w:szCs w:val="24"/>
        </w:rPr>
        <w:t>, energie și transport. Fondurile CEF se concentrează pe asigurarea conectivității la nivel european. România a avut alocată o sumă de aproximativ 1,234 mld. € pentru investiții în infrastructura de transport (anvelopa Fondului de Coeziune).</w:t>
      </w:r>
    </w:p>
    <w:p w14:paraId="118AF82A" w14:textId="28D29B31" w:rsidR="00B13207" w:rsidRPr="00C1729E" w:rsidRDefault="00B13207" w:rsidP="009941AE">
      <w:pPr>
        <w:widowControl w:val="0"/>
        <w:overflowPunct w:val="0"/>
        <w:autoSpaceDE w:val="0"/>
        <w:autoSpaceDN w:val="0"/>
        <w:adjustRightInd w:val="0"/>
        <w:spacing w:after="0" w:line="240" w:lineRule="auto"/>
        <w:jc w:val="both"/>
        <w:rPr>
          <w:rFonts w:cstheme="minorHAnsi"/>
          <w:sz w:val="24"/>
          <w:szCs w:val="24"/>
        </w:rPr>
      </w:pPr>
      <w:r w:rsidRPr="00C1729E">
        <w:rPr>
          <w:rFonts w:cstheme="minorHAnsi"/>
          <w:sz w:val="24"/>
          <w:szCs w:val="24"/>
        </w:rPr>
        <w:t>MFE asigură coordonarea gestionării proiectelor finanţate prin CEF pentru perioada 2014-2020</w:t>
      </w:r>
      <w:r w:rsidR="00D540C6">
        <w:rPr>
          <w:rFonts w:cstheme="minorHAnsi"/>
          <w:sz w:val="24"/>
          <w:szCs w:val="24"/>
        </w:rPr>
        <w:t>,</w:t>
      </w:r>
      <w:r w:rsidRPr="00C1729E">
        <w:rPr>
          <w:rFonts w:cstheme="minorHAnsi"/>
          <w:sz w:val="24"/>
          <w:szCs w:val="24"/>
        </w:rPr>
        <w:t xml:space="preserve"> în baza unor protocoale încheiate cu Autoritățile naționale sectoriale (Ministerul Energiei pentru CEF Energie, Ministerul Comunicațiilor și Societății Informaționale pentru CEF Telecom și Ministerul Transporturilor pentru CEF Transport</w:t>
      </w:r>
      <w:r w:rsidR="00D540C6">
        <w:rPr>
          <w:rFonts w:cstheme="minorHAnsi"/>
          <w:sz w:val="24"/>
          <w:szCs w:val="24"/>
        </w:rPr>
        <w:t>)</w:t>
      </w:r>
      <w:r w:rsidRPr="00C1729E">
        <w:rPr>
          <w:rFonts w:cstheme="minorHAnsi"/>
          <w:sz w:val="24"/>
          <w:szCs w:val="24"/>
        </w:rPr>
        <w:t>.</w:t>
      </w:r>
    </w:p>
    <w:p w14:paraId="1B5F1457" w14:textId="603894C8" w:rsidR="00B13207" w:rsidRPr="00C1729E" w:rsidRDefault="00B13207" w:rsidP="009941AE">
      <w:pPr>
        <w:widowControl w:val="0"/>
        <w:overflowPunct w:val="0"/>
        <w:autoSpaceDE w:val="0"/>
        <w:autoSpaceDN w:val="0"/>
        <w:adjustRightInd w:val="0"/>
        <w:spacing w:before="120" w:after="0" w:line="240" w:lineRule="auto"/>
        <w:jc w:val="both"/>
        <w:rPr>
          <w:rFonts w:cstheme="minorHAnsi"/>
          <w:sz w:val="24"/>
          <w:szCs w:val="24"/>
        </w:rPr>
      </w:pPr>
      <w:r w:rsidRPr="00C1729E">
        <w:rPr>
          <w:rFonts w:cstheme="minorHAnsi"/>
          <w:sz w:val="24"/>
          <w:szCs w:val="24"/>
        </w:rPr>
        <w:t xml:space="preserve">Pentru sectorul </w:t>
      </w:r>
      <w:r w:rsidR="00355D76" w:rsidRPr="00EF7191">
        <w:rPr>
          <w:rFonts w:cstheme="minorHAnsi"/>
          <w:b/>
          <w:sz w:val="24"/>
          <w:szCs w:val="24"/>
        </w:rPr>
        <w:t>T</w:t>
      </w:r>
      <w:r w:rsidRPr="00EF7191">
        <w:rPr>
          <w:rFonts w:cstheme="minorHAnsi"/>
          <w:b/>
          <w:sz w:val="24"/>
          <w:szCs w:val="24"/>
        </w:rPr>
        <w:t>ransport</w:t>
      </w:r>
      <w:r w:rsidRPr="00C1729E">
        <w:rPr>
          <w:rFonts w:cstheme="minorHAnsi"/>
          <w:sz w:val="24"/>
          <w:szCs w:val="24"/>
        </w:rPr>
        <w:t xml:space="preserve"> au fost lansate de către INEA 5 apeluri de proiecte CEF Transport (2014, 2015, 2016, 2017, 2018), 1 proiect de Sinergie </w:t>
      </w:r>
      <w:proofErr w:type="spellStart"/>
      <w:r w:rsidRPr="00C1729E">
        <w:rPr>
          <w:rFonts w:cstheme="minorHAnsi"/>
          <w:sz w:val="24"/>
          <w:szCs w:val="24"/>
        </w:rPr>
        <w:t>Transport-Energie</w:t>
      </w:r>
      <w:proofErr w:type="spellEnd"/>
      <w:r w:rsidRPr="00C1729E">
        <w:rPr>
          <w:rFonts w:cstheme="minorHAnsi"/>
          <w:sz w:val="24"/>
          <w:szCs w:val="24"/>
        </w:rPr>
        <w:t xml:space="preserve"> (2016) și 2 apeluri pentru instrumentul </w:t>
      </w:r>
      <w:proofErr w:type="spellStart"/>
      <w:r w:rsidRPr="00C1729E">
        <w:rPr>
          <w:rFonts w:cstheme="minorHAnsi"/>
          <w:sz w:val="24"/>
          <w:szCs w:val="24"/>
        </w:rPr>
        <w:t>Blending</w:t>
      </w:r>
      <w:proofErr w:type="spellEnd"/>
      <w:r w:rsidRPr="00C1729E">
        <w:rPr>
          <w:rFonts w:cstheme="minorHAnsi"/>
          <w:sz w:val="24"/>
          <w:szCs w:val="24"/>
        </w:rPr>
        <w:t xml:space="preserve"> (2017,</w:t>
      </w:r>
      <w:r w:rsidR="008D57A0">
        <w:rPr>
          <w:rFonts w:cstheme="minorHAnsi"/>
          <w:sz w:val="24"/>
          <w:szCs w:val="24"/>
        </w:rPr>
        <w:t xml:space="preserve"> </w:t>
      </w:r>
      <w:r w:rsidRPr="00C1729E">
        <w:rPr>
          <w:rFonts w:cstheme="minorHAnsi"/>
          <w:sz w:val="24"/>
          <w:szCs w:val="24"/>
        </w:rPr>
        <w:t>2018)</w:t>
      </w:r>
      <w:r w:rsidR="00D540C6">
        <w:rPr>
          <w:rFonts w:cstheme="minorHAnsi"/>
          <w:sz w:val="24"/>
          <w:szCs w:val="24"/>
        </w:rPr>
        <w:t xml:space="preserve">. </w:t>
      </w:r>
      <w:r w:rsidRPr="00C1729E">
        <w:rPr>
          <w:rFonts w:cstheme="minorHAnsi"/>
          <w:sz w:val="24"/>
          <w:szCs w:val="24"/>
        </w:rPr>
        <w:t>Rom</w:t>
      </w:r>
      <w:r w:rsidR="00614B0E">
        <w:rPr>
          <w:rFonts w:cstheme="minorHAnsi"/>
          <w:sz w:val="24"/>
          <w:szCs w:val="24"/>
        </w:rPr>
        <w:t>â</w:t>
      </w:r>
      <w:r w:rsidRPr="00C1729E">
        <w:rPr>
          <w:rFonts w:cstheme="minorHAnsi"/>
          <w:sz w:val="24"/>
          <w:szCs w:val="24"/>
        </w:rPr>
        <w:t>nia a participat cu 48 de aplicații, 37 de proiecte fiind aprobate la finanțare de către INEA. Fondurile UE totale aprobate la finanțare sunt de aprox. 1,13 m</w:t>
      </w:r>
      <w:r w:rsidR="00614B0E">
        <w:rPr>
          <w:rFonts w:cstheme="minorHAnsi"/>
          <w:sz w:val="24"/>
          <w:szCs w:val="24"/>
        </w:rPr>
        <w:t>l</w:t>
      </w:r>
      <w:r w:rsidRPr="00C1729E">
        <w:rPr>
          <w:rFonts w:cstheme="minorHAnsi"/>
          <w:sz w:val="24"/>
          <w:szCs w:val="24"/>
        </w:rPr>
        <w:t xml:space="preserve">d. € pentru investiții </w:t>
      </w:r>
      <w:r w:rsidR="00614B0E">
        <w:rPr>
          <w:rFonts w:cstheme="minorHAnsi"/>
          <w:sz w:val="24"/>
          <w:szCs w:val="24"/>
        </w:rPr>
        <w:t>î</w:t>
      </w:r>
      <w:r w:rsidRPr="00C1729E">
        <w:rPr>
          <w:rFonts w:cstheme="minorHAnsi"/>
          <w:sz w:val="24"/>
          <w:szCs w:val="24"/>
        </w:rPr>
        <w:t xml:space="preserve">n infrastructura de transport feroviar (beneficiar SN CFR SA), aproximativ 65,21 mil. € pentru investiții în infrastructura navală/maritimă; aproximativ 26,14 mil. € pentru investiții in sectorul rutier; aproximativ 35,722 mil. € pentru sectorul aeronautic. </w:t>
      </w:r>
    </w:p>
    <w:p w14:paraId="299C001C" w14:textId="01291342" w:rsidR="00B13207" w:rsidRPr="00C1729E" w:rsidRDefault="00B13207" w:rsidP="009941AE">
      <w:pPr>
        <w:widowControl w:val="0"/>
        <w:overflowPunct w:val="0"/>
        <w:autoSpaceDE w:val="0"/>
        <w:autoSpaceDN w:val="0"/>
        <w:adjustRightInd w:val="0"/>
        <w:spacing w:before="120" w:after="0" w:line="240" w:lineRule="auto"/>
        <w:jc w:val="both"/>
        <w:rPr>
          <w:rFonts w:cstheme="minorHAnsi"/>
          <w:sz w:val="24"/>
          <w:szCs w:val="24"/>
        </w:rPr>
      </w:pPr>
      <w:r w:rsidRPr="00C1729E">
        <w:rPr>
          <w:rFonts w:cstheme="minorHAnsi"/>
          <w:sz w:val="24"/>
          <w:szCs w:val="24"/>
        </w:rPr>
        <w:t xml:space="preserve">Pentru sectorul </w:t>
      </w:r>
      <w:r w:rsidRPr="00EF7191">
        <w:rPr>
          <w:rFonts w:cstheme="minorHAnsi"/>
          <w:b/>
          <w:sz w:val="24"/>
          <w:szCs w:val="24"/>
        </w:rPr>
        <w:t>Energie</w:t>
      </w:r>
      <w:r w:rsidRPr="00C1729E">
        <w:rPr>
          <w:rFonts w:cstheme="minorHAnsi"/>
          <w:sz w:val="24"/>
          <w:szCs w:val="24"/>
        </w:rPr>
        <w:t>, INEA a alocat un buget de 4,7 mld. € lansând 10 apeluri de proiecte (2014, 2015, 2016, 2017, 2018). Beneficiarii români care au primit finanțare sunt: Societatea Naţională de Transport Gaze Naturale TRANSGAZ S.A. care are în implementare dou</w:t>
      </w:r>
      <w:r w:rsidR="007B3B34">
        <w:rPr>
          <w:rFonts w:cstheme="minorHAnsi"/>
          <w:sz w:val="24"/>
          <w:szCs w:val="24"/>
        </w:rPr>
        <w:t>ă</w:t>
      </w:r>
      <w:r w:rsidRPr="00C1729E">
        <w:rPr>
          <w:rFonts w:cstheme="minorHAnsi"/>
          <w:sz w:val="24"/>
          <w:szCs w:val="24"/>
        </w:rPr>
        <w:t xml:space="preserve"> proiecte cu o valoare total</w:t>
      </w:r>
      <w:r w:rsidR="007B3B34">
        <w:rPr>
          <w:rFonts w:cstheme="minorHAnsi"/>
          <w:sz w:val="24"/>
          <w:szCs w:val="24"/>
        </w:rPr>
        <w:t>ă</w:t>
      </w:r>
      <w:r w:rsidRPr="00C1729E">
        <w:rPr>
          <w:rFonts w:cstheme="minorHAnsi"/>
          <w:sz w:val="24"/>
          <w:szCs w:val="24"/>
        </w:rPr>
        <w:t xml:space="preserve"> de 449,5 mil €., respectiv Transelectrica  SA  care are un proiect în valoare totală de 63,5 mil. €.</w:t>
      </w:r>
    </w:p>
    <w:p w14:paraId="60BCF5FB" w14:textId="1FD46B33" w:rsidR="00B13207" w:rsidRPr="00C1729E" w:rsidRDefault="00B13207" w:rsidP="009941AE">
      <w:pPr>
        <w:widowControl w:val="0"/>
        <w:overflowPunct w:val="0"/>
        <w:autoSpaceDE w:val="0"/>
        <w:autoSpaceDN w:val="0"/>
        <w:adjustRightInd w:val="0"/>
        <w:spacing w:before="120" w:after="0" w:line="240" w:lineRule="auto"/>
        <w:jc w:val="both"/>
        <w:rPr>
          <w:rFonts w:cstheme="minorHAnsi"/>
          <w:sz w:val="24"/>
          <w:szCs w:val="24"/>
        </w:rPr>
      </w:pPr>
      <w:r w:rsidRPr="00C1729E">
        <w:rPr>
          <w:rFonts w:cstheme="minorHAnsi"/>
          <w:sz w:val="24"/>
          <w:szCs w:val="24"/>
        </w:rPr>
        <w:t xml:space="preserve">Pentru sectorul </w:t>
      </w:r>
      <w:r w:rsidRPr="00EF7191">
        <w:rPr>
          <w:rFonts w:cstheme="minorHAnsi"/>
          <w:b/>
          <w:sz w:val="24"/>
          <w:szCs w:val="24"/>
        </w:rPr>
        <w:t>Telecom</w:t>
      </w:r>
      <w:r w:rsidRPr="00C1729E">
        <w:rPr>
          <w:rFonts w:cstheme="minorHAnsi"/>
          <w:sz w:val="24"/>
          <w:szCs w:val="24"/>
        </w:rPr>
        <w:t xml:space="preserve">, INEA a asigurat un buget de 1,04 </w:t>
      </w:r>
      <w:proofErr w:type="spellStart"/>
      <w:r w:rsidRPr="00C1729E">
        <w:rPr>
          <w:rFonts w:cstheme="minorHAnsi"/>
          <w:sz w:val="24"/>
          <w:szCs w:val="24"/>
        </w:rPr>
        <w:t>mld.€</w:t>
      </w:r>
      <w:proofErr w:type="spellEnd"/>
      <w:r w:rsidRPr="00C1729E">
        <w:rPr>
          <w:rFonts w:cstheme="minorHAnsi"/>
          <w:sz w:val="24"/>
          <w:szCs w:val="24"/>
        </w:rPr>
        <w:t xml:space="preserve">.  Pentru apelurile de proiecte 2014-2018 România are selectate 18 proiecte (finanțarea UE solicitată – aprox. 5,2  </w:t>
      </w:r>
      <w:proofErr w:type="spellStart"/>
      <w:r w:rsidRPr="00C1729E">
        <w:rPr>
          <w:rFonts w:cstheme="minorHAnsi"/>
          <w:sz w:val="24"/>
          <w:szCs w:val="24"/>
        </w:rPr>
        <w:t>mil.€</w:t>
      </w:r>
      <w:proofErr w:type="spellEnd"/>
      <w:r w:rsidRPr="00C1729E">
        <w:rPr>
          <w:rFonts w:cstheme="minorHAnsi"/>
          <w:sz w:val="24"/>
          <w:szCs w:val="24"/>
        </w:rPr>
        <w:t>).</w:t>
      </w:r>
    </w:p>
    <w:p w14:paraId="4C3586C8"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highlight w:val="yellow"/>
        </w:rPr>
      </w:pPr>
    </w:p>
    <w:p w14:paraId="3C809660" w14:textId="33213B0D" w:rsidR="005808B4"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România </w:t>
      </w:r>
      <w:r w:rsidRPr="00C1729E">
        <w:rPr>
          <w:rFonts w:cs="Arial"/>
          <w:b/>
          <w:sz w:val="24"/>
          <w:szCs w:val="24"/>
        </w:rPr>
        <w:t xml:space="preserve">utilizează </w:t>
      </w:r>
      <w:r w:rsidRPr="00C1729E">
        <w:rPr>
          <w:rFonts w:cs="Arial"/>
          <w:b/>
          <w:sz w:val="24"/>
          <w:szCs w:val="24"/>
          <w:shd w:val="clear" w:color="auto" w:fill="DDD9C3" w:themeFill="background2" w:themeFillShade="E6"/>
        </w:rPr>
        <w:t>instrumentele financiare</w:t>
      </w:r>
      <w:r w:rsidRPr="00C1729E">
        <w:rPr>
          <w:rFonts w:cs="Arial"/>
          <w:b/>
          <w:sz w:val="24"/>
          <w:szCs w:val="24"/>
        </w:rPr>
        <w:t xml:space="preserve"> în 3 programe operaționale (POC, POR, PNDR) și participă la ”Inițiativa pentru IMM-uri”</w:t>
      </w:r>
      <w:r w:rsidRPr="00C1729E">
        <w:rPr>
          <w:rFonts w:cs="Arial"/>
          <w:sz w:val="24"/>
          <w:szCs w:val="24"/>
        </w:rPr>
        <w:t>, inițiativă comună (</w:t>
      </w:r>
      <w:proofErr w:type="spellStart"/>
      <w:r w:rsidRPr="00C1729E">
        <w:rPr>
          <w:rFonts w:cs="Arial"/>
          <w:sz w:val="24"/>
          <w:szCs w:val="24"/>
        </w:rPr>
        <w:t>joint</w:t>
      </w:r>
      <w:proofErr w:type="spellEnd"/>
      <w:r w:rsidRPr="00C1729E">
        <w:rPr>
          <w:rFonts w:cs="Arial"/>
          <w:sz w:val="24"/>
          <w:szCs w:val="24"/>
        </w:rPr>
        <w:t xml:space="preserve"> instrument) care combină alocările naționale din fonduri ESI cu resursele bugetare ale UE gestionate la nivel central în cadrul programelor Orizont 2020 și COSME și cu resursele proprii ale FEI și BEI. În acest sens, prin POR - axa dedicată </w:t>
      </w:r>
      <w:r w:rsidRPr="00C1729E">
        <w:rPr>
          <w:rFonts w:cs="Arial"/>
          <w:b/>
          <w:sz w:val="24"/>
          <w:szCs w:val="24"/>
        </w:rPr>
        <w:t>Inițiativei pentru IMM-u</w:t>
      </w:r>
      <w:r w:rsidRPr="00891BFF">
        <w:rPr>
          <w:rFonts w:cs="Arial"/>
          <w:b/>
          <w:sz w:val="24"/>
          <w:szCs w:val="24"/>
        </w:rPr>
        <w:t>r</w:t>
      </w:r>
      <w:r w:rsidRPr="00EF7191">
        <w:rPr>
          <w:rFonts w:cs="Arial"/>
          <w:b/>
          <w:sz w:val="24"/>
          <w:szCs w:val="24"/>
        </w:rPr>
        <w:t>i</w:t>
      </w:r>
      <w:r w:rsidRPr="00C1729E">
        <w:rPr>
          <w:rFonts w:cs="Arial"/>
          <w:sz w:val="24"/>
          <w:szCs w:val="24"/>
        </w:rPr>
        <w:t xml:space="preserve">, este implementat instrumentul de garantare neplafonată care facilitează accesul IMM-urilor la finanţare prin furnizarea de garanţii, utilizând resurse HORIZON 2020, FEI, BEI şi FEDR, în scopul de a genera împrumuturi adiţionale IMM-urilor. </w:t>
      </w:r>
    </w:p>
    <w:p w14:paraId="2C15B40C" w14:textId="7A306D15"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In 2018, pentru a analiza utilizarea instrumentelor financiare din FSE în cadrul POCU, a fost </w:t>
      </w:r>
      <w:r w:rsidR="00A876E5">
        <w:rPr>
          <w:rFonts w:cs="Arial"/>
          <w:sz w:val="24"/>
          <w:szCs w:val="24"/>
        </w:rPr>
        <w:t>actualizată</w:t>
      </w:r>
      <w:r w:rsidRPr="00C1729E">
        <w:rPr>
          <w:rFonts w:cs="Arial"/>
          <w:sz w:val="24"/>
          <w:szCs w:val="24"/>
        </w:rPr>
        <w:t xml:space="preserve"> evaluare</w:t>
      </w:r>
      <w:r w:rsidR="00A876E5">
        <w:rPr>
          <w:rFonts w:cs="Arial"/>
          <w:sz w:val="24"/>
          <w:szCs w:val="24"/>
        </w:rPr>
        <w:t>a</w:t>
      </w:r>
      <w:r w:rsidRPr="00C1729E">
        <w:rPr>
          <w:rFonts w:cs="Arial"/>
          <w:sz w:val="24"/>
          <w:szCs w:val="24"/>
        </w:rPr>
        <w:t xml:space="preserve"> ex-ante</w:t>
      </w:r>
      <w:r w:rsidR="00A876E5">
        <w:rPr>
          <w:rFonts w:cs="Arial"/>
          <w:sz w:val="24"/>
          <w:szCs w:val="24"/>
        </w:rPr>
        <w:t xml:space="preserve"> și</w:t>
      </w:r>
      <w:r w:rsidRPr="00C1729E">
        <w:rPr>
          <w:rFonts w:cs="Arial"/>
          <w:sz w:val="24"/>
          <w:szCs w:val="24"/>
        </w:rPr>
        <w:t xml:space="preserve"> </w:t>
      </w:r>
      <w:r w:rsidR="000B0CCE">
        <w:rPr>
          <w:rFonts w:cs="Arial"/>
          <w:sz w:val="24"/>
          <w:szCs w:val="24"/>
        </w:rPr>
        <w:t>a</w:t>
      </w:r>
      <w:r w:rsidRPr="00C1729E">
        <w:rPr>
          <w:rFonts w:cs="Arial"/>
          <w:sz w:val="24"/>
          <w:szCs w:val="24"/>
        </w:rPr>
        <w:t xml:space="preserve">probată prin Memorandum de guvern </w:t>
      </w:r>
      <w:r w:rsidR="000B0CCE">
        <w:rPr>
          <w:rFonts w:cs="Arial"/>
          <w:sz w:val="24"/>
          <w:szCs w:val="24"/>
        </w:rPr>
        <w:t>î</w:t>
      </w:r>
      <w:r w:rsidRPr="00C1729E">
        <w:rPr>
          <w:rFonts w:cs="Arial"/>
          <w:sz w:val="24"/>
          <w:szCs w:val="24"/>
        </w:rPr>
        <w:t>n noiembrie 2018.</w:t>
      </w:r>
    </w:p>
    <w:p w14:paraId="57A8FBA9"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   </w:t>
      </w:r>
    </w:p>
    <w:p w14:paraId="08CB714B" w14:textId="3CE430E4"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Intervențiile finanțate din fonduri ESI adresate IMM-urilor creează sinergii și complementarități </w:t>
      </w:r>
      <w:r w:rsidRPr="00C1729E">
        <w:rPr>
          <w:rFonts w:cs="Arial"/>
          <w:sz w:val="24"/>
          <w:szCs w:val="24"/>
          <w:shd w:val="clear" w:color="auto" w:fill="EEECE1" w:themeFill="background2"/>
        </w:rPr>
        <w:t xml:space="preserve">cu </w:t>
      </w:r>
      <w:r w:rsidRPr="00C1729E">
        <w:rPr>
          <w:rFonts w:cs="Arial"/>
          <w:b/>
          <w:sz w:val="24"/>
          <w:szCs w:val="24"/>
          <w:shd w:val="clear" w:color="auto" w:fill="EEECE1" w:themeFill="background2"/>
        </w:rPr>
        <w:t>COSME</w:t>
      </w:r>
      <w:r w:rsidRPr="00C1729E">
        <w:rPr>
          <w:rFonts w:cs="Arial"/>
          <w:sz w:val="24"/>
          <w:szCs w:val="24"/>
        </w:rPr>
        <w:t xml:space="preserve">, atât în ceea ce privește facilitarea accesului la finanțare, cât și pentru crearea unui mediu favorabil competitivității și promovarea culturii antreprenoriale. COSME facilitează accesul la finanțare prin oferirea de garanții și contragaranții instituțiilor financiare, astfel încât acestea să poată pune la dispoziția IMM-urilor mai multe împrumuturi și servicii de leasing financiar. </w:t>
      </w:r>
      <w:proofErr w:type="spellStart"/>
      <w:r w:rsidRPr="00C1729E">
        <w:rPr>
          <w:rFonts w:cs="Arial"/>
          <w:sz w:val="24"/>
          <w:szCs w:val="24"/>
        </w:rPr>
        <w:t>Libra</w:t>
      </w:r>
      <w:proofErr w:type="spellEnd"/>
      <w:r w:rsidRPr="00C1729E">
        <w:rPr>
          <w:rFonts w:cs="Arial"/>
          <w:sz w:val="24"/>
          <w:szCs w:val="24"/>
        </w:rPr>
        <w:t xml:space="preserve"> Internet Bank a semnat acordul de garantare COSME cu Fondul European de Investiții, prin care companiile beneficiază de 50% garanții oferite de COSME cu comision zero de garantare. Instrumentele COSME acționează complementar cu instrumentele financiare impl</w:t>
      </w:r>
      <w:r w:rsidR="006E6EED">
        <w:rPr>
          <w:rFonts w:cs="Arial"/>
          <w:sz w:val="24"/>
          <w:szCs w:val="24"/>
        </w:rPr>
        <w:t>e</w:t>
      </w:r>
      <w:r w:rsidRPr="00C1729E">
        <w:rPr>
          <w:rFonts w:cs="Arial"/>
          <w:sz w:val="24"/>
          <w:szCs w:val="24"/>
        </w:rPr>
        <w:t>mentate prin POC (</w:t>
      </w:r>
      <w:r w:rsidR="005E0AFA">
        <w:rPr>
          <w:rFonts w:cs="Arial"/>
          <w:sz w:val="24"/>
          <w:szCs w:val="24"/>
        </w:rPr>
        <w:t>f</w:t>
      </w:r>
      <w:r w:rsidRPr="00C1729E">
        <w:rPr>
          <w:rFonts w:cs="Arial"/>
          <w:sz w:val="24"/>
          <w:szCs w:val="24"/>
        </w:rPr>
        <w:t xml:space="preserve">onduri de accelerare și </w:t>
      </w:r>
      <w:proofErr w:type="spellStart"/>
      <w:r w:rsidRPr="00C1729E">
        <w:rPr>
          <w:rFonts w:cs="Arial"/>
          <w:sz w:val="24"/>
          <w:szCs w:val="24"/>
        </w:rPr>
        <w:t>seed</w:t>
      </w:r>
      <w:proofErr w:type="spellEnd"/>
      <w:r w:rsidRPr="00C1729E">
        <w:rPr>
          <w:rFonts w:cs="Arial"/>
          <w:sz w:val="24"/>
          <w:szCs w:val="24"/>
        </w:rPr>
        <w:t xml:space="preserve"> și credite cu partajarea riscurilor), POCU (credite cu partajarea riscurilor și garanții), POR (fond de </w:t>
      </w:r>
      <w:proofErr w:type="spellStart"/>
      <w:r w:rsidRPr="00C1729E">
        <w:rPr>
          <w:rFonts w:cs="Arial"/>
          <w:sz w:val="24"/>
          <w:szCs w:val="24"/>
        </w:rPr>
        <w:t>equity</w:t>
      </w:r>
      <w:proofErr w:type="spellEnd"/>
      <w:r w:rsidRPr="00C1729E">
        <w:rPr>
          <w:rFonts w:cs="Arial"/>
          <w:sz w:val="24"/>
          <w:szCs w:val="24"/>
        </w:rPr>
        <w:t xml:space="preserve"> </w:t>
      </w:r>
      <w:r w:rsidR="005E0AFA">
        <w:rPr>
          <w:rFonts w:cs="Arial"/>
          <w:sz w:val="24"/>
          <w:szCs w:val="24"/>
        </w:rPr>
        <w:t>ș</w:t>
      </w:r>
      <w:r w:rsidR="005E0AFA" w:rsidRPr="00C1729E">
        <w:rPr>
          <w:rFonts w:cs="Arial"/>
          <w:sz w:val="24"/>
          <w:szCs w:val="24"/>
        </w:rPr>
        <w:t xml:space="preserve">i </w:t>
      </w:r>
      <w:r w:rsidRPr="00C1729E">
        <w:rPr>
          <w:rFonts w:cs="Arial"/>
          <w:sz w:val="24"/>
          <w:szCs w:val="24"/>
        </w:rPr>
        <w:t xml:space="preserve">credite cu partajarea riscurilor) și PNDR (credite cu partajarea riscurilor). </w:t>
      </w:r>
    </w:p>
    <w:p w14:paraId="7FC5F720" w14:textId="77777777" w:rsidR="00B13207" w:rsidRPr="00C1729E" w:rsidRDefault="00B13207" w:rsidP="009941AE">
      <w:pPr>
        <w:spacing w:after="0" w:line="240" w:lineRule="auto"/>
        <w:jc w:val="both"/>
        <w:rPr>
          <w:rFonts w:cs="Arial"/>
          <w:sz w:val="24"/>
          <w:szCs w:val="24"/>
        </w:rPr>
      </w:pPr>
      <w:r w:rsidRPr="00C1729E">
        <w:rPr>
          <w:rFonts w:cs="Arial"/>
          <w:sz w:val="24"/>
          <w:szCs w:val="24"/>
        </w:rPr>
        <w:lastRenderedPageBreak/>
        <w:t xml:space="preserve">În exercițiul financiar actual 51 de participanți români au depus proiecte în valoare totală 7,4 mil. € (Agenții de </w:t>
      </w:r>
      <w:r w:rsidR="00E936DC" w:rsidRPr="00C1729E">
        <w:rPr>
          <w:rFonts w:cs="Arial"/>
          <w:sz w:val="24"/>
          <w:szCs w:val="24"/>
        </w:rPr>
        <w:t>Dezvoltare Regională</w:t>
      </w:r>
      <w:r w:rsidRPr="00C1729E">
        <w:rPr>
          <w:rFonts w:cs="Arial"/>
          <w:sz w:val="24"/>
          <w:szCs w:val="24"/>
        </w:rPr>
        <w:t xml:space="preserve">, Ministerul Turismului și Universități). </w:t>
      </w:r>
    </w:p>
    <w:p w14:paraId="68A67F42"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b/>
          <w:sz w:val="24"/>
          <w:szCs w:val="24"/>
        </w:rPr>
        <w:t>BEI</w:t>
      </w:r>
      <w:r w:rsidRPr="00C1729E">
        <w:rPr>
          <w:rFonts w:cs="Arial"/>
          <w:sz w:val="24"/>
          <w:szCs w:val="24"/>
        </w:rPr>
        <w:t xml:space="preserve"> participă la coordonarea implementării programelor alături de autoritățile române și a acordat în 2016 României două împrumuturi (tip Împrumut de Program </w:t>
      </w:r>
      <w:proofErr w:type="spellStart"/>
      <w:r w:rsidRPr="00C1729E">
        <w:rPr>
          <w:rFonts w:cs="Arial"/>
          <w:sz w:val="24"/>
          <w:szCs w:val="24"/>
        </w:rPr>
        <w:t>Structural-IPL</w:t>
      </w:r>
      <w:proofErr w:type="spellEnd"/>
      <w:r w:rsidRPr="00C1729E">
        <w:rPr>
          <w:rFonts w:cs="Arial"/>
          <w:sz w:val="24"/>
          <w:szCs w:val="24"/>
        </w:rPr>
        <w:t>): unul în valoare de 300 mil</w:t>
      </w:r>
      <w:r w:rsidR="003B62C9">
        <w:rPr>
          <w:rFonts w:cs="Arial"/>
          <w:sz w:val="24"/>
          <w:szCs w:val="24"/>
        </w:rPr>
        <w:t>.</w:t>
      </w:r>
      <w:r w:rsidRPr="00C1729E">
        <w:rPr>
          <w:rFonts w:cs="Arial"/>
          <w:sz w:val="24"/>
          <w:szCs w:val="24"/>
        </w:rPr>
        <w:t xml:space="preserve"> EUR (cofinanțare pentru mediu) pentru axele 3, 4, și 5 din POIM și unul  de 360 mil</w:t>
      </w:r>
      <w:r w:rsidR="003B62C9">
        <w:rPr>
          <w:rFonts w:cs="Arial"/>
          <w:sz w:val="24"/>
          <w:szCs w:val="24"/>
        </w:rPr>
        <w:t>.</w:t>
      </w:r>
      <w:r w:rsidRPr="00C1729E">
        <w:rPr>
          <w:rFonts w:cs="Arial"/>
          <w:sz w:val="24"/>
          <w:szCs w:val="24"/>
        </w:rPr>
        <w:t xml:space="preserve"> EUR (cofinanțare pentru creștere) pentru axele 6, 7 și 8 din POIM, precum și POC și POCU.  </w:t>
      </w:r>
    </w:p>
    <w:p w14:paraId="566CF1E6"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p>
    <w:p w14:paraId="2C88E61D" w14:textId="2B5F2759" w:rsidR="00B64338"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b/>
          <w:sz w:val="24"/>
          <w:szCs w:val="24"/>
          <w:shd w:val="clear" w:color="auto" w:fill="EEECE1" w:themeFill="background2"/>
        </w:rPr>
        <w:t>Programul Erasmus</w:t>
      </w:r>
      <w:r w:rsidRPr="00C1729E">
        <w:rPr>
          <w:rFonts w:cs="Arial"/>
          <w:sz w:val="24"/>
          <w:szCs w:val="24"/>
        </w:rPr>
        <w:t xml:space="preserve"> finanțează proiecte adresate instituțiilor și organizațiilor din domeniile educației (toate nivelurile), formării profesionale și tineretului. Programul Erasmus+ este menționat  ca sursă de finanțare  în cadrul celor  4 strategii  aflate</w:t>
      </w:r>
      <w:r w:rsidR="00426347">
        <w:rPr>
          <w:rFonts w:cs="Arial"/>
          <w:sz w:val="24"/>
          <w:szCs w:val="24"/>
        </w:rPr>
        <w:t xml:space="preserve"> î</w:t>
      </w:r>
      <w:r w:rsidRPr="00C1729E">
        <w:rPr>
          <w:rFonts w:cs="Arial"/>
          <w:sz w:val="24"/>
          <w:szCs w:val="24"/>
        </w:rPr>
        <w:t>n  responsabilitatea MEN (Strategia Națională pentru prevenirea părăsirii timpurii a școlii, Strategia Națională pentru învățarea pe tot parcursul vieții, Strategia Națională pentru învățământul terțiar și Strategia națională pentru învățământul profesional și tehnic) și în cadrul Strategiei Naționale pentru tineret, complementar cu intervențiile finanțate din fondurile ESI aferente domeniilor educație și formare profesional</w:t>
      </w:r>
      <w:r w:rsidR="00B64338">
        <w:rPr>
          <w:rFonts w:cs="Arial"/>
          <w:sz w:val="24"/>
          <w:szCs w:val="24"/>
        </w:rPr>
        <w:t>ă</w:t>
      </w:r>
      <w:r w:rsidRPr="00C1729E">
        <w:rPr>
          <w:rFonts w:cs="Arial"/>
          <w:sz w:val="24"/>
          <w:szCs w:val="24"/>
        </w:rPr>
        <w:t xml:space="preserve">. </w:t>
      </w:r>
    </w:p>
    <w:p w14:paraId="1AF0AD0C" w14:textId="6023E33D"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Coordonarea la nivel național este asigurată de Agenția Națională pentru Programe Comunitare în Domeniul Educației și Formării Profesionale (ANPCDEFP) care patronează în acest scop un comitet consultativ pentru programul Erasmus+, din care fac parte reprezentanți ai autorităților publice relevante, Consiliul Național al Rectorilor, Consiliul Național al Tineretului, reprezentanți ai ONG-urilor studențești sau de tineret </w:t>
      </w:r>
      <w:r w:rsidR="00CD16D6">
        <w:rPr>
          <w:rFonts w:cs="Arial"/>
          <w:sz w:val="24"/>
          <w:szCs w:val="24"/>
        </w:rPr>
        <w:t>ș</w:t>
      </w:r>
      <w:r w:rsidRPr="00C1729E">
        <w:rPr>
          <w:rFonts w:cs="Arial"/>
          <w:sz w:val="24"/>
          <w:szCs w:val="24"/>
        </w:rPr>
        <w:t xml:space="preserve">i voluntariat. ANPCDEFP oferă periodic Comisiei </w:t>
      </w:r>
      <w:r w:rsidR="006E6EED">
        <w:rPr>
          <w:rFonts w:cs="Arial"/>
          <w:sz w:val="24"/>
          <w:szCs w:val="24"/>
        </w:rPr>
        <w:t xml:space="preserve">Europene </w:t>
      </w:r>
      <w:r w:rsidRPr="00C1729E">
        <w:rPr>
          <w:rFonts w:cs="Arial"/>
          <w:sz w:val="24"/>
          <w:szCs w:val="24"/>
        </w:rPr>
        <w:t>date actualizate privind implementarea Erasmus+, inclusiv în ceea ce privește complementaritatea/</w:t>
      </w:r>
      <w:r w:rsidR="003B62C9">
        <w:rPr>
          <w:rFonts w:cs="Arial"/>
          <w:sz w:val="24"/>
          <w:szCs w:val="24"/>
        </w:rPr>
        <w:t xml:space="preserve"> </w:t>
      </w:r>
      <w:r w:rsidRPr="00C1729E">
        <w:rPr>
          <w:rFonts w:cs="Arial"/>
          <w:sz w:val="24"/>
          <w:szCs w:val="24"/>
        </w:rPr>
        <w:t xml:space="preserve">sinergia cu alte surse de finanțare </w:t>
      </w:r>
      <w:r w:rsidR="006E6EED">
        <w:rPr>
          <w:rFonts w:cs="Arial"/>
          <w:sz w:val="24"/>
          <w:szCs w:val="24"/>
        </w:rPr>
        <w:t xml:space="preserve">europene </w:t>
      </w:r>
      <w:r w:rsidRPr="00C1729E">
        <w:rPr>
          <w:rFonts w:cs="Arial"/>
          <w:sz w:val="24"/>
          <w:szCs w:val="24"/>
        </w:rPr>
        <w:t xml:space="preserve"> sau naționale.</w:t>
      </w:r>
    </w:p>
    <w:p w14:paraId="1E2B55EA"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În perioada 2014-2018, datele postate pe site-ul Ministerului Educației Naționale pentru Erasmus sunt: 3</w:t>
      </w:r>
      <w:r w:rsidR="008174B2">
        <w:rPr>
          <w:rFonts w:cs="Arial"/>
          <w:sz w:val="24"/>
          <w:szCs w:val="24"/>
        </w:rPr>
        <w:t>.</w:t>
      </w:r>
      <w:r w:rsidRPr="00C1729E">
        <w:rPr>
          <w:rFonts w:cs="Arial"/>
          <w:sz w:val="24"/>
          <w:szCs w:val="24"/>
        </w:rPr>
        <w:t>235 proiecte finanțate, în valoare totală de 314.708.520 €.</w:t>
      </w:r>
    </w:p>
    <w:p w14:paraId="7F8BC074"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p>
    <w:p w14:paraId="2F63292A" w14:textId="5BD19764" w:rsidR="00831236"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Ministerul Mediului are calitatea de Punct Na</w:t>
      </w:r>
      <w:r w:rsidR="00CD16D6">
        <w:rPr>
          <w:rFonts w:cs="Arial"/>
          <w:sz w:val="24"/>
          <w:szCs w:val="24"/>
        </w:rPr>
        <w:t>ț</w:t>
      </w:r>
      <w:r w:rsidRPr="00C1729E">
        <w:rPr>
          <w:rFonts w:cs="Arial"/>
          <w:sz w:val="24"/>
          <w:szCs w:val="24"/>
        </w:rPr>
        <w:t xml:space="preserve">ional de Contact pentru </w:t>
      </w:r>
      <w:r w:rsidRPr="00EF7191">
        <w:rPr>
          <w:rFonts w:cs="Arial"/>
          <w:b/>
          <w:sz w:val="24"/>
          <w:szCs w:val="24"/>
          <w:shd w:val="clear" w:color="auto" w:fill="EEECE1" w:themeFill="background2"/>
        </w:rPr>
        <w:t>Programul LIFE</w:t>
      </w:r>
      <w:r w:rsidRPr="00C1729E">
        <w:rPr>
          <w:rFonts w:cs="Arial"/>
          <w:b/>
          <w:sz w:val="24"/>
          <w:szCs w:val="24"/>
        </w:rPr>
        <w:t xml:space="preserve"> </w:t>
      </w:r>
      <w:r w:rsidRPr="00C1729E">
        <w:rPr>
          <w:rFonts w:cs="Arial"/>
          <w:sz w:val="24"/>
          <w:szCs w:val="24"/>
        </w:rPr>
        <w:t xml:space="preserve">și derulează începând cu 2016, un Proiect de Creștere a Capacității Instituționale (LIFE 14 CAP - CAPACITY BUILDING) menit să contribuie la o informare mai bună și coerentă asupra beneficiilor Programului LIFE, în vederea creșterii eficienței utilizării fondurilor atrase din cadrul acestui Program.  </w:t>
      </w:r>
    </w:p>
    <w:p w14:paraId="0A2EF007"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Proiectele LIFE au caracter demonstrativ și vizează întărirea capacității instituționale, conștientizarea și educația în vederea consolidării managementului resurselor naturale în domeniile finanțabile prin LIFE, în timp ce finanțările realizate prin FESI sunt orientate în special spre măsuri concrete de investiții în conservarea mediului și atenuarea și adaptarea la schimbările climatice.</w:t>
      </w:r>
    </w:p>
    <w:p w14:paraId="45BADFC2"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Investițiile complementare LIFE asigurate din FESI se realizează în principal în cadrul OT6 și OT5, fiind realizate prin POIM, POR, PNDR și POPAM. LIFE este complementar Fondului pentru Mediu, instrument de finanțare național.</w:t>
      </w:r>
    </w:p>
    <w:p w14:paraId="2D26FD8E" w14:textId="12A9B750"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În aplicarea principiului complementarității cu alte surse de finanțare </w:t>
      </w:r>
      <w:r w:rsidR="006E6EED">
        <w:rPr>
          <w:rFonts w:cs="Arial"/>
          <w:sz w:val="24"/>
          <w:szCs w:val="24"/>
        </w:rPr>
        <w:t>euro</w:t>
      </w:r>
      <w:r w:rsidRPr="00C1729E">
        <w:rPr>
          <w:rFonts w:cs="Arial"/>
          <w:sz w:val="24"/>
          <w:szCs w:val="24"/>
        </w:rPr>
        <w:t>pene, programul LIFE asigură coerența cu alte Programe ale UE, căutând să evite suprapunerea cu alte politici și instrumente financiare ale Uniunii (în special cu programul Orizont 2020). Acest lucru se realizează, în principal, prin criteriile de eligibilitate pentru diferitele tipuri de proiecte și prin îndrumările prevăzute în orientările de aplicare care însoțesc cererile de propuneri.  Dubla finanțare este evitată prin verificarea încrucișată în cadrul etapei de selecție și prin verificări ex post. În special, proiectele axate pe cercetare pură sau construirea de infrastructură de anvergură sunt excluse de la finanțare prin intermediul programului LIFE.</w:t>
      </w:r>
    </w:p>
    <w:p w14:paraId="4BD9EF86"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În perioada 2014-2016 domeniile pentru care România a solicitat finanțare din LIFE sunt: schimbări climatice - 3  proiecte; natură și biodiversitate -  11 proiecte;  informare – comunicare - 2 proiecte. Prin crearea Centrului de Informare, de la nivelul Ministerului Mediului s-a reușit o mai atentă și permanentă activitate de interacțiune între proiectele implementate, în vederea evitării suprapunerilor cu alte surse de finanțare (de ex. POIM sau Granturile Norvegiene).      </w:t>
      </w:r>
    </w:p>
    <w:p w14:paraId="02C6D7B4" w14:textId="1A54D21D" w:rsidR="00B13207" w:rsidRPr="00C1729E" w:rsidRDefault="00B13207" w:rsidP="009941AE">
      <w:pPr>
        <w:spacing w:after="0" w:line="240" w:lineRule="auto"/>
        <w:jc w:val="both"/>
        <w:rPr>
          <w:rFonts w:cstheme="minorHAnsi"/>
          <w:sz w:val="24"/>
          <w:szCs w:val="24"/>
          <w:shd w:val="clear" w:color="auto" w:fill="FFFFFF"/>
        </w:rPr>
      </w:pPr>
      <w:r w:rsidRPr="00C1729E">
        <w:rPr>
          <w:rFonts w:cstheme="minorHAnsi"/>
          <w:bCs/>
          <w:sz w:val="24"/>
          <w:szCs w:val="24"/>
          <w:shd w:val="clear" w:color="auto" w:fill="FFFFFF"/>
        </w:rPr>
        <w:lastRenderedPageBreak/>
        <w:t>Programul LIFE este complementar cu alte programe de finanțare ale Uniunii</w:t>
      </w:r>
      <w:r w:rsidRPr="00C1729E">
        <w:rPr>
          <w:rFonts w:cstheme="minorHAnsi"/>
          <w:b/>
          <w:bCs/>
          <w:sz w:val="24"/>
          <w:szCs w:val="24"/>
          <w:shd w:val="clear" w:color="auto" w:fill="FFFFFF"/>
        </w:rPr>
        <w:t>,</w:t>
      </w:r>
      <w:r w:rsidRPr="00C1729E">
        <w:rPr>
          <w:rFonts w:cstheme="minorHAnsi"/>
          <w:bCs/>
          <w:sz w:val="24"/>
          <w:szCs w:val="24"/>
          <w:shd w:val="clear" w:color="auto" w:fill="FFFFFF"/>
        </w:rPr>
        <w:t xml:space="preserve"> inclusiv Fondul </w:t>
      </w:r>
      <w:r w:rsidR="006E6EED">
        <w:rPr>
          <w:rFonts w:cstheme="minorHAnsi"/>
          <w:bCs/>
          <w:sz w:val="24"/>
          <w:szCs w:val="24"/>
          <w:shd w:val="clear" w:color="auto" w:fill="FFFFFF"/>
        </w:rPr>
        <w:t>Euro</w:t>
      </w:r>
      <w:r w:rsidRPr="00C1729E">
        <w:rPr>
          <w:rFonts w:cstheme="minorHAnsi"/>
          <w:bCs/>
          <w:sz w:val="24"/>
          <w:szCs w:val="24"/>
          <w:shd w:val="clear" w:color="auto" w:fill="FFFFFF"/>
        </w:rPr>
        <w:t xml:space="preserve">pean de </w:t>
      </w:r>
      <w:r w:rsidR="003B62C9" w:rsidRPr="00C1729E">
        <w:rPr>
          <w:rFonts w:cstheme="minorHAnsi"/>
          <w:bCs/>
          <w:sz w:val="24"/>
          <w:szCs w:val="24"/>
          <w:shd w:val="clear" w:color="auto" w:fill="FFFFFF"/>
        </w:rPr>
        <w:t>Dezvoltare Regională</w:t>
      </w:r>
      <w:r w:rsidRPr="00C1729E">
        <w:rPr>
          <w:rFonts w:cstheme="minorHAnsi"/>
          <w:bCs/>
          <w:sz w:val="24"/>
          <w:szCs w:val="24"/>
          <w:shd w:val="clear" w:color="auto" w:fill="FFFFFF"/>
        </w:rPr>
        <w:t xml:space="preserve">, Fondul </w:t>
      </w:r>
      <w:r w:rsidR="003B62C9" w:rsidRPr="00C1729E">
        <w:rPr>
          <w:rFonts w:cstheme="minorHAnsi"/>
          <w:bCs/>
          <w:sz w:val="24"/>
          <w:szCs w:val="24"/>
          <w:shd w:val="clear" w:color="auto" w:fill="FFFFFF"/>
        </w:rPr>
        <w:t xml:space="preserve">Social </w:t>
      </w:r>
      <w:r w:rsidR="006E6EED">
        <w:rPr>
          <w:rFonts w:cstheme="minorHAnsi"/>
          <w:bCs/>
          <w:sz w:val="24"/>
          <w:szCs w:val="24"/>
          <w:shd w:val="clear" w:color="auto" w:fill="FFFFFF"/>
        </w:rPr>
        <w:t>Euro</w:t>
      </w:r>
      <w:r w:rsidRPr="00C1729E">
        <w:rPr>
          <w:rFonts w:cstheme="minorHAnsi"/>
          <w:bCs/>
          <w:sz w:val="24"/>
          <w:szCs w:val="24"/>
          <w:shd w:val="clear" w:color="auto" w:fill="FFFFFF"/>
        </w:rPr>
        <w:t xml:space="preserve">pean, Fondul de </w:t>
      </w:r>
      <w:r w:rsidR="003B62C9" w:rsidRPr="00C1729E">
        <w:rPr>
          <w:rFonts w:cstheme="minorHAnsi"/>
          <w:bCs/>
          <w:sz w:val="24"/>
          <w:szCs w:val="24"/>
          <w:shd w:val="clear" w:color="auto" w:fill="FFFFFF"/>
        </w:rPr>
        <w:t>Coeziune</w:t>
      </w:r>
      <w:hyperlink r:id="rId9" w:history="1">
        <w:r w:rsidR="003B62C9" w:rsidRPr="00C1729E">
          <w:rPr>
            <w:rStyle w:val="Hyperlink"/>
            <w:rFonts w:cstheme="minorHAnsi"/>
            <w:bCs/>
            <w:sz w:val="24"/>
            <w:szCs w:val="24"/>
            <w:shd w:val="clear" w:color="auto" w:fill="FFFFFF"/>
          </w:rPr>
          <w:t> </w:t>
        </w:r>
      </w:hyperlink>
      <w:r w:rsidRPr="00C1729E">
        <w:rPr>
          <w:rFonts w:cstheme="minorHAnsi"/>
          <w:bCs/>
          <w:sz w:val="24"/>
          <w:szCs w:val="24"/>
          <w:shd w:val="clear" w:color="auto" w:fill="FFFFFF"/>
        </w:rPr>
        <w:t xml:space="preserve">, Fondul </w:t>
      </w:r>
      <w:r w:rsidR="006E6EED">
        <w:rPr>
          <w:rFonts w:cstheme="minorHAnsi"/>
          <w:bCs/>
          <w:sz w:val="24"/>
          <w:szCs w:val="24"/>
          <w:shd w:val="clear" w:color="auto" w:fill="FFFFFF"/>
        </w:rPr>
        <w:t>Euro</w:t>
      </w:r>
      <w:r w:rsidRPr="00C1729E">
        <w:rPr>
          <w:rFonts w:cstheme="minorHAnsi"/>
          <w:bCs/>
          <w:sz w:val="24"/>
          <w:szCs w:val="24"/>
          <w:shd w:val="clear" w:color="auto" w:fill="FFFFFF"/>
        </w:rPr>
        <w:t xml:space="preserve">pean de </w:t>
      </w:r>
      <w:r w:rsidR="003B62C9" w:rsidRPr="00C1729E">
        <w:rPr>
          <w:rFonts w:cstheme="minorHAnsi"/>
          <w:bCs/>
          <w:sz w:val="24"/>
          <w:szCs w:val="24"/>
          <w:shd w:val="clear" w:color="auto" w:fill="FFFFFF"/>
        </w:rPr>
        <w:t>Garantare Agricolă</w:t>
      </w:r>
      <w:r w:rsidRPr="00C1729E">
        <w:rPr>
          <w:rFonts w:cstheme="minorHAnsi"/>
          <w:bCs/>
          <w:sz w:val="24"/>
          <w:szCs w:val="24"/>
          <w:shd w:val="clear" w:color="auto" w:fill="FFFFFF"/>
        </w:rPr>
        <w:t xml:space="preserve">, Fondul </w:t>
      </w:r>
      <w:r w:rsidR="006E6EED">
        <w:rPr>
          <w:rFonts w:cstheme="minorHAnsi"/>
          <w:bCs/>
          <w:sz w:val="24"/>
          <w:szCs w:val="24"/>
          <w:shd w:val="clear" w:color="auto" w:fill="FFFFFF"/>
        </w:rPr>
        <w:t>Euro</w:t>
      </w:r>
      <w:r w:rsidRPr="00C1729E">
        <w:rPr>
          <w:rFonts w:cstheme="minorHAnsi"/>
          <w:bCs/>
          <w:sz w:val="24"/>
          <w:szCs w:val="24"/>
          <w:shd w:val="clear" w:color="auto" w:fill="FFFFFF"/>
        </w:rPr>
        <w:t xml:space="preserve">pean </w:t>
      </w:r>
      <w:r w:rsidR="003B62C9" w:rsidRPr="00C1729E">
        <w:rPr>
          <w:rFonts w:cstheme="minorHAnsi"/>
          <w:bCs/>
          <w:sz w:val="24"/>
          <w:szCs w:val="24"/>
          <w:shd w:val="clear" w:color="auto" w:fill="FFFFFF"/>
        </w:rPr>
        <w:t xml:space="preserve">Agricol </w:t>
      </w:r>
      <w:r w:rsidRPr="00C1729E">
        <w:rPr>
          <w:rFonts w:cstheme="minorHAnsi"/>
          <w:bCs/>
          <w:sz w:val="24"/>
          <w:szCs w:val="24"/>
          <w:shd w:val="clear" w:color="auto" w:fill="FFFFFF"/>
        </w:rPr>
        <w:t xml:space="preserve">pentru </w:t>
      </w:r>
      <w:r w:rsidR="003B62C9" w:rsidRPr="00C1729E">
        <w:rPr>
          <w:rFonts w:cstheme="minorHAnsi"/>
          <w:bCs/>
          <w:sz w:val="24"/>
          <w:szCs w:val="24"/>
          <w:shd w:val="clear" w:color="auto" w:fill="FFFFFF"/>
        </w:rPr>
        <w:t>Dezvoltare Rurală</w:t>
      </w:r>
      <w:r w:rsidRPr="00C1729E">
        <w:rPr>
          <w:rFonts w:cstheme="minorHAnsi"/>
          <w:bCs/>
          <w:sz w:val="24"/>
          <w:szCs w:val="24"/>
          <w:shd w:val="clear" w:color="auto" w:fill="FFFFFF"/>
        </w:rPr>
        <w:t xml:space="preserve">, Fondul </w:t>
      </w:r>
      <w:r w:rsidR="006E6EED">
        <w:rPr>
          <w:rFonts w:cstheme="minorHAnsi"/>
          <w:bCs/>
          <w:sz w:val="24"/>
          <w:szCs w:val="24"/>
          <w:shd w:val="clear" w:color="auto" w:fill="FFFFFF"/>
        </w:rPr>
        <w:t>Euro</w:t>
      </w:r>
      <w:r w:rsidRPr="00C1729E">
        <w:rPr>
          <w:rFonts w:cstheme="minorHAnsi"/>
          <w:bCs/>
          <w:sz w:val="24"/>
          <w:szCs w:val="24"/>
          <w:shd w:val="clear" w:color="auto" w:fill="FFFFFF"/>
        </w:rPr>
        <w:t xml:space="preserve">pean pentru </w:t>
      </w:r>
      <w:r w:rsidR="003B62C9" w:rsidRPr="00C1729E">
        <w:rPr>
          <w:rFonts w:cstheme="minorHAnsi"/>
          <w:bCs/>
          <w:sz w:val="24"/>
          <w:szCs w:val="24"/>
          <w:shd w:val="clear" w:color="auto" w:fill="FFFFFF"/>
        </w:rPr>
        <w:t xml:space="preserve">Afaceri Maritime </w:t>
      </w:r>
      <w:r w:rsidRPr="00C1729E">
        <w:rPr>
          <w:rFonts w:cstheme="minorHAnsi"/>
          <w:bCs/>
          <w:sz w:val="24"/>
          <w:szCs w:val="24"/>
          <w:shd w:val="clear" w:color="auto" w:fill="FFFFFF"/>
        </w:rPr>
        <w:t xml:space="preserve">și </w:t>
      </w:r>
      <w:r w:rsidR="003B62C9" w:rsidRPr="00C1729E">
        <w:rPr>
          <w:rFonts w:cstheme="minorHAnsi"/>
          <w:bCs/>
          <w:sz w:val="24"/>
          <w:szCs w:val="24"/>
          <w:shd w:val="clear" w:color="auto" w:fill="FFFFFF"/>
        </w:rPr>
        <w:t xml:space="preserve">Pescuit </w:t>
      </w:r>
      <w:r w:rsidRPr="00C1729E">
        <w:rPr>
          <w:rFonts w:cstheme="minorHAnsi"/>
          <w:bCs/>
          <w:sz w:val="24"/>
          <w:szCs w:val="24"/>
          <w:shd w:val="clear" w:color="auto" w:fill="FFFFFF"/>
        </w:rPr>
        <w:t>și Programul Orizont 2020.</w:t>
      </w:r>
      <w:r w:rsidRPr="00C1729E">
        <w:rPr>
          <w:rFonts w:cstheme="minorHAnsi"/>
          <w:sz w:val="24"/>
          <w:szCs w:val="24"/>
          <w:shd w:val="clear" w:color="auto" w:fill="FFFFFF"/>
        </w:rPr>
        <w:t xml:space="preserve"> </w:t>
      </w:r>
      <w:r w:rsidRPr="00C1729E">
        <w:rPr>
          <w:rFonts w:cstheme="minorHAnsi"/>
          <w:bCs/>
          <w:sz w:val="24"/>
          <w:szCs w:val="24"/>
          <w:shd w:val="clear" w:color="auto" w:fill="FFFFFF"/>
        </w:rPr>
        <w:t xml:space="preserve">Programul LIFE încurajează valorificarea rezultatelor cercetării și inovării în domeniul mediului și al climei, obținute în cadrul programului Orizont 2020. </w:t>
      </w:r>
    </w:p>
    <w:p w14:paraId="214DB6B6" w14:textId="72F413E3" w:rsidR="00B13207" w:rsidRPr="00C1729E" w:rsidRDefault="00B13207" w:rsidP="009941AE">
      <w:pPr>
        <w:widowControl w:val="0"/>
        <w:overflowPunct w:val="0"/>
        <w:autoSpaceDE w:val="0"/>
        <w:autoSpaceDN w:val="0"/>
        <w:adjustRightInd w:val="0"/>
        <w:spacing w:after="0" w:line="240" w:lineRule="auto"/>
        <w:jc w:val="both"/>
        <w:rPr>
          <w:rFonts w:eastAsia="Times New Roman" w:cs="Calibri"/>
          <w:color w:val="000000"/>
          <w:sz w:val="24"/>
          <w:szCs w:val="24"/>
          <w:lang w:eastAsia="ro-RO"/>
        </w:rPr>
      </w:pPr>
      <w:r w:rsidRPr="00C1729E">
        <w:rPr>
          <w:rFonts w:cs="Arial"/>
          <w:sz w:val="24"/>
          <w:szCs w:val="24"/>
        </w:rPr>
        <w:t>În actualul exercițiu financiar 54 participanți romani au depus proiecte LIFE, în valoare de 10</w:t>
      </w:r>
      <w:r w:rsidR="00A2042E">
        <w:rPr>
          <w:rFonts w:cs="Arial"/>
          <w:sz w:val="24"/>
          <w:szCs w:val="24"/>
        </w:rPr>
        <w:t>,</w:t>
      </w:r>
      <w:r w:rsidRPr="00C1729E">
        <w:rPr>
          <w:rFonts w:cs="Arial"/>
          <w:sz w:val="24"/>
          <w:szCs w:val="24"/>
        </w:rPr>
        <w:t>79 mil</w:t>
      </w:r>
      <w:r w:rsidR="00A2042E">
        <w:rPr>
          <w:rFonts w:cs="Arial"/>
          <w:sz w:val="24"/>
          <w:szCs w:val="24"/>
        </w:rPr>
        <w:t>.</w:t>
      </w:r>
      <w:r w:rsidRPr="00C1729E">
        <w:rPr>
          <w:rFonts w:cs="Arial"/>
          <w:sz w:val="24"/>
          <w:szCs w:val="24"/>
        </w:rPr>
        <w:t xml:space="preserve"> €. La Programul LIFE se observă un mai mare interes din partea entităților private, însă și instituții publice din România au implementat sau au încă în implementare proiecte LIFE</w:t>
      </w:r>
      <w:r w:rsidRPr="00C1729E">
        <w:rPr>
          <w:rFonts w:eastAsia="Times New Roman" w:cs="Calibri"/>
          <w:color w:val="000000"/>
          <w:sz w:val="24"/>
          <w:szCs w:val="24"/>
          <w:lang w:eastAsia="ro-RO"/>
        </w:rPr>
        <w:t xml:space="preserve">. </w:t>
      </w:r>
      <w:r w:rsidRPr="00C1729E">
        <w:rPr>
          <w:rFonts w:cs="Arial"/>
          <w:sz w:val="24"/>
          <w:szCs w:val="24"/>
        </w:rPr>
        <w:t xml:space="preserve">Dintre instituțiile publice care au accesat LIFE menționăm:  </w:t>
      </w:r>
      <w:r w:rsidRPr="00C1729E">
        <w:rPr>
          <w:rFonts w:cstheme="minorHAnsi"/>
          <w:color w:val="212121"/>
          <w:sz w:val="24"/>
          <w:szCs w:val="24"/>
        </w:rPr>
        <w:t xml:space="preserve">Ministerul Mediului (proiect în valoare de </w:t>
      </w:r>
      <w:r w:rsidRPr="00C1729E">
        <w:rPr>
          <w:rFonts w:eastAsia="Times New Roman" w:cs="Calibri"/>
          <w:color w:val="000000"/>
          <w:sz w:val="24"/>
          <w:szCs w:val="24"/>
          <w:lang w:eastAsia="ro-RO"/>
        </w:rPr>
        <w:t xml:space="preserve">2.603.117 </w:t>
      </w:r>
      <w:r w:rsidRPr="00C1729E">
        <w:rPr>
          <w:rFonts w:cstheme="minorHAnsi"/>
          <w:color w:val="212121"/>
          <w:sz w:val="24"/>
          <w:szCs w:val="24"/>
        </w:rPr>
        <w:t xml:space="preserve">€), Rezervația Biosfera Deltei Dunării (proiect în valoare de </w:t>
      </w:r>
      <w:r w:rsidRPr="00C1729E">
        <w:rPr>
          <w:rFonts w:eastAsia="Times New Roman" w:cs="Calibri"/>
          <w:color w:val="000000"/>
          <w:sz w:val="24"/>
          <w:szCs w:val="24"/>
          <w:lang w:eastAsia="ro-RO"/>
        </w:rPr>
        <w:t xml:space="preserve">1.851.678 </w:t>
      </w:r>
      <w:r w:rsidRPr="00C1729E">
        <w:rPr>
          <w:rFonts w:cstheme="minorHAnsi"/>
          <w:color w:val="212121"/>
          <w:sz w:val="24"/>
          <w:szCs w:val="24"/>
        </w:rPr>
        <w:t xml:space="preserve">€), </w:t>
      </w:r>
      <w:r w:rsidRPr="00C1729E">
        <w:rPr>
          <w:rFonts w:eastAsia="Times New Roman" w:cs="Calibri"/>
          <w:color w:val="000000"/>
          <w:sz w:val="24"/>
          <w:szCs w:val="24"/>
          <w:lang w:eastAsia="ro-RO"/>
        </w:rPr>
        <w:t xml:space="preserve">Agenția pentru Protecția Mediului Gorj </w:t>
      </w:r>
      <w:r w:rsidRPr="00C1729E">
        <w:rPr>
          <w:rFonts w:cstheme="minorHAnsi"/>
          <w:color w:val="212121"/>
          <w:sz w:val="24"/>
          <w:szCs w:val="24"/>
        </w:rPr>
        <w:t xml:space="preserve">(proiect în valoare de </w:t>
      </w:r>
      <w:r w:rsidRPr="00C1729E">
        <w:rPr>
          <w:rFonts w:eastAsia="Times New Roman" w:cs="Calibri"/>
          <w:color w:val="000000"/>
          <w:sz w:val="24"/>
          <w:szCs w:val="24"/>
          <w:lang w:eastAsia="ro-RO"/>
        </w:rPr>
        <w:t xml:space="preserve">1.497.642 </w:t>
      </w:r>
      <w:r w:rsidRPr="00C1729E">
        <w:rPr>
          <w:rFonts w:cstheme="minorHAnsi"/>
          <w:color w:val="212121"/>
          <w:sz w:val="24"/>
          <w:szCs w:val="24"/>
        </w:rPr>
        <w:t>€)</w:t>
      </w:r>
      <w:r w:rsidR="001153F4">
        <w:rPr>
          <w:rFonts w:cstheme="minorHAnsi"/>
          <w:color w:val="212121"/>
          <w:sz w:val="24"/>
          <w:szCs w:val="24"/>
        </w:rPr>
        <w:t>.</w:t>
      </w:r>
    </w:p>
    <w:p w14:paraId="3D671EF0" w14:textId="77777777" w:rsidR="00B13207" w:rsidRPr="00C1729E" w:rsidRDefault="00B13207" w:rsidP="009941AE">
      <w:pPr>
        <w:widowControl w:val="0"/>
        <w:overflowPunct w:val="0"/>
        <w:autoSpaceDE w:val="0"/>
        <w:autoSpaceDN w:val="0"/>
        <w:adjustRightInd w:val="0"/>
        <w:spacing w:after="0" w:line="240" w:lineRule="auto"/>
        <w:jc w:val="both"/>
        <w:rPr>
          <w:rFonts w:cs="Arial"/>
          <w:b/>
          <w:sz w:val="24"/>
          <w:szCs w:val="24"/>
        </w:rPr>
      </w:pPr>
    </w:p>
    <w:p w14:paraId="381ABE38"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b/>
          <w:sz w:val="24"/>
          <w:szCs w:val="24"/>
        </w:rPr>
        <w:t>Fondul pentru Mediu</w:t>
      </w:r>
      <w:r w:rsidRPr="00C1729E">
        <w:rPr>
          <w:rFonts w:cs="Arial"/>
          <w:sz w:val="24"/>
          <w:szCs w:val="24"/>
        </w:rPr>
        <w:t xml:space="preserve"> este un instrument economico-financiar național destinat susţinerii şi realizării proiectelor pentru protecţia mediului. </w:t>
      </w:r>
    </w:p>
    <w:p w14:paraId="75004CCC"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Categoriile de proiecte eligibile pentru finanţare din Fondul pentru Mediu vizează îmbunătăţirea performanţei de mediu privind: prevenirea poluării; reducerea impactului asupra atmosferei, apei şi solului; reducerea nivelurilor de zgomot; utilizarea de tehnologii curate; gestionarea deşeurilor, inclusiv a deşeurilor periculoase; protecţia resurselor de apă, staţiile de tratare, staţiile de epurare pentru comunităţi locale; gospodărirea integrată a zonei costiere; conservarea biodiversităţii; administrarea ariilor naturale protejate; educaţia şi conştientizarea publicului privind protecţia mediului; creşterea producţiei de energie din surse regenerabile; reducerea emisiilor de gaze cu efect de seră; reconstrucţia ecologică şi gospodărirea durabilă a pădurilor; împădurirea terenurilor degradate situate în zonele deficitare în păduri, stabilite în condiţiile legii; închiderea iazurilor de decantare din sectorul minier; lucrări destinate prevenirii, înlăturării şi/sau diminuării efectelor produse de fenomenele meteorologice periculoase la lucrările de gospodărire a apelor aferente obiectivelor din domeniul public al statului.</w:t>
      </w:r>
    </w:p>
    <w:p w14:paraId="278F21E0"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 xml:space="preserve">Investițiile complementare Fondului pentru Mediu asigurate din FESI se realizează în principal în cadrul OT6,  OT5 și OT 4, fiind realizate prin POIM, POR, PNDR și POPAM.  </w:t>
      </w:r>
    </w:p>
    <w:p w14:paraId="39135A47" w14:textId="77777777" w:rsidR="00B13207" w:rsidRPr="00C1729E" w:rsidRDefault="00B13207" w:rsidP="009941AE">
      <w:pPr>
        <w:spacing w:after="0" w:line="240" w:lineRule="auto"/>
        <w:rPr>
          <w:b/>
          <w:sz w:val="20"/>
          <w:szCs w:val="20"/>
          <w:u w:val="single"/>
        </w:rPr>
      </w:pPr>
    </w:p>
    <w:p w14:paraId="367B2FB5"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Corelarea surselor de finanțare se face la momentul propunerii de noi programe finanţabile prin Fondul pentru Mediu</w:t>
      </w:r>
      <w:r w:rsidR="00166997">
        <w:rPr>
          <w:rFonts w:cs="Arial"/>
          <w:sz w:val="24"/>
          <w:szCs w:val="24"/>
        </w:rPr>
        <w:t>,</w:t>
      </w:r>
      <w:r w:rsidRPr="00C1729E">
        <w:rPr>
          <w:rFonts w:cs="Arial"/>
          <w:sz w:val="24"/>
          <w:szCs w:val="24"/>
        </w:rPr>
        <w:t xml:space="preserve"> prin ghidurile de finanțare aferente fiecărui sector sprijinit de acest instrument.</w:t>
      </w:r>
      <w:r w:rsidRPr="00C1729E">
        <w:rPr>
          <w:sz w:val="24"/>
          <w:szCs w:val="24"/>
        </w:rPr>
        <w:t xml:space="preserve"> </w:t>
      </w:r>
      <w:r w:rsidRPr="00C1729E">
        <w:rPr>
          <w:rFonts w:cs="Arial"/>
          <w:sz w:val="24"/>
          <w:szCs w:val="24"/>
        </w:rPr>
        <w:t>Administrația Fondului pentru Mediu (AFM), al cărei principal obiect de activitate îl constituie colectarea de surse financiare în vederea realizării efective a remedierilor de mediu, nu co-finanțează proiecte care se pot suprapune ca și tematică cu cele ale Programului LIFE.</w:t>
      </w:r>
    </w:p>
    <w:p w14:paraId="2EE20B65" w14:textId="77777777" w:rsidR="00B13207" w:rsidRPr="00C1729E" w:rsidRDefault="00B13207" w:rsidP="009941AE">
      <w:pPr>
        <w:widowControl w:val="0"/>
        <w:overflowPunct w:val="0"/>
        <w:autoSpaceDE w:val="0"/>
        <w:autoSpaceDN w:val="0"/>
        <w:adjustRightInd w:val="0"/>
        <w:spacing w:after="0" w:line="240" w:lineRule="auto"/>
        <w:jc w:val="both"/>
        <w:rPr>
          <w:rFonts w:cs="Arial"/>
          <w:sz w:val="24"/>
          <w:szCs w:val="24"/>
        </w:rPr>
      </w:pPr>
      <w:r w:rsidRPr="00C1729E">
        <w:rPr>
          <w:rFonts w:cs="Arial"/>
          <w:sz w:val="24"/>
          <w:szCs w:val="24"/>
        </w:rPr>
        <w:t>În perioada 2014-2016</w:t>
      </w:r>
      <w:r w:rsidR="007E097F">
        <w:rPr>
          <w:rFonts w:cs="Arial"/>
          <w:sz w:val="24"/>
          <w:szCs w:val="24"/>
        </w:rPr>
        <w:t>,</w:t>
      </w:r>
      <w:r w:rsidRPr="00C1729E">
        <w:rPr>
          <w:rFonts w:cs="Arial"/>
          <w:sz w:val="24"/>
          <w:szCs w:val="24"/>
        </w:rPr>
        <w:t xml:space="preserve"> din Fondul pentru Mediu au fost finanțate următoarele domenii complementare investițiilor din FESI: sisteme integrate de managementul apei (441.742 mii lei); împăduriri (29.750 mii lei); situri contaminate (18.646 mii lei); energie regenerabilă (79.141 mii lei); biodiversitate (230 mii lei); reducerea emisiilor de gaze cu efect de seră în transporturi (12 mii lei); spații verzi în zona urbană (48.117 mii lei); conștientizarea publicului privind protecția mediului (406 mii lei); riscuri (1.053 mii lei); monitorizarea calității aerului (22.279 mii lei).</w:t>
      </w:r>
    </w:p>
    <w:p w14:paraId="30DBF6F6" w14:textId="77777777" w:rsidR="00B13207" w:rsidRPr="00C1729E" w:rsidRDefault="00B13207" w:rsidP="009941AE">
      <w:pPr>
        <w:autoSpaceDE w:val="0"/>
        <w:autoSpaceDN w:val="0"/>
        <w:adjustRightInd w:val="0"/>
        <w:spacing w:after="0" w:line="240" w:lineRule="auto"/>
        <w:jc w:val="both"/>
        <w:rPr>
          <w:rFonts w:eastAsia="Times New Roman" w:cs="Calibri"/>
          <w:b/>
          <w:bCs/>
          <w:sz w:val="24"/>
          <w:szCs w:val="24"/>
          <w:highlight w:val="yellow"/>
        </w:rPr>
      </w:pPr>
    </w:p>
    <w:p w14:paraId="019E09F9" w14:textId="77777777" w:rsidR="00B13207" w:rsidRPr="00C1729E" w:rsidRDefault="00B13207" w:rsidP="009941AE">
      <w:pPr>
        <w:autoSpaceDE w:val="0"/>
        <w:autoSpaceDN w:val="0"/>
        <w:adjustRightInd w:val="0"/>
        <w:spacing w:after="0" w:line="240" w:lineRule="auto"/>
        <w:jc w:val="both"/>
        <w:rPr>
          <w:rFonts w:eastAsia="Times New Roman" w:cs="Calibri"/>
          <w:bCs/>
          <w:sz w:val="24"/>
          <w:szCs w:val="24"/>
        </w:rPr>
      </w:pPr>
      <w:r w:rsidRPr="00C1729E">
        <w:rPr>
          <w:rFonts w:eastAsia="Times New Roman" w:cs="Calibri"/>
          <w:b/>
          <w:bCs/>
          <w:sz w:val="24"/>
          <w:szCs w:val="24"/>
          <w:shd w:val="clear" w:color="auto" w:fill="EEECE1" w:themeFill="background2"/>
        </w:rPr>
        <w:t>Fondul de Solidaritate al Uniunii Europene (FSUE)</w:t>
      </w:r>
      <w:r w:rsidRPr="00C1729E">
        <w:rPr>
          <w:rFonts w:eastAsia="Times New Roman" w:cs="Calibri"/>
          <w:bCs/>
          <w:sz w:val="24"/>
          <w:szCs w:val="24"/>
          <w:shd w:val="clear" w:color="auto" w:fill="EEECE1" w:themeFill="background2"/>
        </w:rPr>
        <w:t>,</w:t>
      </w:r>
      <w:r w:rsidRPr="00C1729E">
        <w:rPr>
          <w:rFonts w:eastAsia="Times New Roman" w:cs="Calibri"/>
          <w:bCs/>
          <w:sz w:val="24"/>
          <w:szCs w:val="24"/>
        </w:rPr>
        <w:t xml:space="preserve"> instituit pentru a sprijini statele membre prin furnizarea de sprijin financiar pentru înlăturarea efectelor dezastrelor naturale, este complementar cu finanțările FESI din cadrul OT 5, realizate prin POIM și PNDR.</w:t>
      </w:r>
      <w:r w:rsidRPr="00C1729E">
        <w:rPr>
          <w:sz w:val="24"/>
          <w:szCs w:val="24"/>
        </w:rPr>
        <w:t xml:space="preserve"> FSUE </w:t>
      </w:r>
      <w:r w:rsidRPr="00C1729E">
        <w:rPr>
          <w:rFonts w:eastAsia="Times New Roman" w:cs="Calibri"/>
          <w:bCs/>
          <w:sz w:val="24"/>
          <w:szCs w:val="24"/>
        </w:rPr>
        <w:t>acoperă numai o parte din cheltuiala publică efectuată de statul beneficiar pentru înlăturarea efectelor dezastrelor naturale.</w:t>
      </w:r>
      <w:r w:rsidRPr="00C1729E">
        <w:rPr>
          <w:sz w:val="24"/>
          <w:szCs w:val="24"/>
        </w:rPr>
        <w:t xml:space="preserve"> Coordonarea națională a FSUE este asigurată la nivelul Secretariatului General al Guvernului prin Autoritatea Coordonatoare şi de Management a FSUE (ACMFSUE).</w:t>
      </w:r>
    </w:p>
    <w:p w14:paraId="26F13754" w14:textId="77777777" w:rsidR="00B13207" w:rsidRPr="00C1729E" w:rsidRDefault="00B13207" w:rsidP="009941AE">
      <w:pPr>
        <w:autoSpaceDE w:val="0"/>
        <w:autoSpaceDN w:val="0"/>
        <w:adjustRightInd w:val="0"/>
        <w:spacing w:after="0" w:line="240" w:lineRule="auto"/>
        <w:jc w:val="both"/>
        <w:rPr>
          <w:color w:val="000000"/>
          <w:sz w:val="24"/>
          <w:szCs w:val="24"/>
        </w:rPr>
      </w:pPr>
      <w:r w:rsidRPr="00C1729E">
        <w:rPr>
          <w:rFonts w:eastAsia="Times New Roman" w:cs="Calibri"/>
          <w:bCs/>
          <w:sz w:val="24"/>
          <w:szCs w:val="24"/>
        </w:rPr>
        <w:t>În perioada 2014-2016, România a primit sprijin FSUE pentru inundațiile din aprilie și iulie 2014, în valoare de 8,5 mil.</w:t>
      </w:r>
      <w:r w:rsidR="00D21FA8">
        <w:rPr>
          <w:rFonts w:eastAsia="Times New Roman" w:cs="Calibri"/>
          <w:bCs/>
          <w:sz w:val="24"/>
          <w:szCs w:val="24"/>
        </w:rPr>
        <w:t xml:space="preserve"> </w:t>
      </w:r>
      <w:r w:rsidRPr="00C1729E">
        <w:rPr>
          <w:rFonts w:eastAsia="Times New Roman" w:cs="Calibri"/>
          <w:bCs/>
          <w:sz w:val="24"/>
          <w:szCs w:val="24"/>
        </w:rPr>
        <w:t xml:space="preserve">€ în baza Deciziilor CE nr. C(2015) 5624/05.08.2015 şi C(2015) 5656/06.08.2015 A fost finanțată repunerea în funcţiune a infrastructurilor şi a instalaţiilor în domeniile energiei, </w:t>
      </w:r>
      <w:r w:rsidRPr="00C1729E">
        <w:rPr>
          <w:rFonts w:eastAsia="Times New Roman" w:cs="Calibri"/>
          <w:bCs/>
          <w:sz w:val="24"/>
          <w:szCs w:val="24"/>
        </w:rPr>
        <w:lastRenderedPageBreak/>
        <w:t xml:space="preserve">apelor şi apelor uzate, telecomunicaţiilor, transporturilor, sănătăţii şi învăţământului, </w:t>
      </w:r>
      <w:r w:rsidRPr="00C1729E">
        <w:rPr>
          <w:color w:val="000000"/>
          <w:sz w:val="24"/>
          <w:szCs w:val="24"/>
        </w:rPr>
        <w:t>cazare temporară şi finanţarea serviciilor de salvare, securizarea infrastructurilor de prevenţie şi protejare a patrimoniului cultural, precum și curăţarea zonelor sinistrate şi refacerea imediată a zonelor naturale afectate. Rapoartele finale de implementare au fost elaborate şi transmise către CE la începutul anului 2018.</w:t>
      </w:r>
    </w:p>
    <w:p w14:paraId="0EE448E4" w14:textId="77777777" w:rsidR="00D40BEC" w:rsidRPr="00C1729E" w:rsidRDefault="00B13207" w:rsidP="009941AE">
      <w:pPr>
        <w:autoSpaceDE w:val="0"/>
        <w:autoSpaceDN w:val="0"/>
        <w:adjustRightInd w:val="0"/>
        <w:spacing w:after="60" w:line="240" w:lineRule="auto"/>
        <w:jc w:val="both"/>
        <w:rPr>
          <w:rFonts w:eastAsia="Times New Roman" w:cs="Calibri"/>
          <w:bCs/>
          <w:sz w:val="24"/>
          <w:szCs w:val="24"/>
        </w:rPr>
      </w:pPr>
      <w:r w:rsidRPr="00C1729E">
        <w:rPr>
          <w:sz w:val="24"/>
          <w:szCs w:val="24"/>
        </w:rPr>
        <w:t xml:space="preserve">Urmare a inundaţiilor din vara anului 2018 din regiunea </w:t>
      </w:r>
      <w:proofErr w:type="spellStart"/>
      <w:r w:rsidRPr="00C1729E">
        <w:rPr>
          <w:sz w:val="24"/>
          <w:szCs w:val="24"/>
        </w:rPr>
        <w:t>Nord-Est</w:t>
      </w:r>
      <w:proofErr w:type="spellEnd"/>
      <w:r w:rsidRPr="00C1729E">
        <w:rPr>
          <w:sz w:val="24"/>
          <w:szCs w:val="24"/>
        </w:rPr>
        <w:t>,</w:t>
      </w:r>
      <w:r w:rsidRPr="00C1729E">
        <w:t xml:space="preserve"> </w:t>
      </w:r>
      <w:r w:rsidRPr="00C1729E">
        <w:rPr>
          <w:sz w:val="24"/>
          <w:szCs w:val="24"/>
        </w:rPr>
        <w:t xml:space="preserve">ACMFSUE a elaborat şi a transmis CE o aplicaţie pentru mobilizarea Fondului. CE, în urma analizării datelor şi informaţiilor incluse în aplicaţie a decis că sunt îndeplinite condiţiile de eligibilitate şi a propus mobilizarea sumei de 8,192 </w:t>
      </w:r>
      <w:proofErr w:type="spellStart"/>
      <w:r w:rsidRPr="00C1729E">
        <w:rPr>
          <w:sz w:val="24"/>
          <w:szCs w:val="24"/>
        </w:rPr>
        <w:t>mil.€</w:t>
      </w:r>
      <w:proofErr w:type="spellEnd"/>
      <w:r w:rsidRPr="00C1729E">
        <w:rPr>
          <w:sz w:val="24"/>
          <w:szCs w:val="24"/>
        </w:rPr>
        <w:t>. Grantul nu a fost încă virat României.</w:t>
      </w:r>
    </w:p>
    <w:p w14:paraId="07E9A492" w14:textId="77777777" w:rsidR="00995263" w:rsidRPr="00C53B4B" w:rsidRDefault="00995263" w:rsidP="009941AE">
      <w:pPr>
        <w:spacing w:after="60" w:line="240" w:lineRule="auto"/>
        <w:jc w:val="both"/>
        <w:rPr>
          <w:sz w:val="24"/>
          <w:szCs w:val="24"/>
        </w:rPr>
      </w:pPr>
      <w:r w:rsidRPr="006075BB">
        <w:rPr>
          <w:sz w:val="24"/>
          <w:szCs w:val="24"/>
          <w:shd w:val="clear" w:color="auto" w:fill="DDD9C3" w:themeFill="background2" w:themeFillShade="E6"/>
        </w:rPr>
        <w:t>Colaborarea cu BEI</w:t>
      </w:r>
      <w:r w:rsidRPr="00C53B4B">
        <w:rPr>
          <w:sz w:val="24"/>
          <w:szCs w:val="24"/>
        </w:rPr>
        <w:t xml:space="preserve"> privește sprijinul pentru implementarea fondurilor ESI, dar și implementarea în România a celorlalte instrumente finanțate de UE, în termeni financiari și de asistență tehnică.</w:t>
      </w:r>
    </w:p>
    <w:p w14:paraId="295B260B" w14:textId="0824C9E7" w:rsidR="00995263" w:rsidRPr="00C53B4B" w:rsidRDefault="00995263" w:rsidP="009941AE">
      <w:pPr>
        <w:spacing w:after="60" w:line="240" w:lineRule="auto"/>
        <w:jc w:val="both"/>
        <w:rPr>
          <w:sz w:val="24"/>
          <w:szCs w:val="24"/>
        </w:rPr>
      </w:pPr>
      <w:r w:rsidRPr="00C53B4B">
        <w:rPr>
          <w:sz w:val="24"/>
          <w:szCs w:val="24"/>
        </w:rPr>
        <w:t xml:space="preserve">În ceea ce privește co-finanțarea fondurilor ESI, BEI sprijină implementarea programelor de către autoritățile române și a acordat României împrumuturi de tip Împrumut de Program </w:t>
      </w:r>
      <w:proofErr w:type="spellStart"/>
      <w:r w:rsidRPr="00C53B4B">
        <w:rPr>
          <w:sz w:val="24"/>
          <w:szCs w:val="24"/>
        </w:rPr>
        <w:t>Structural-SPL</w:t>
      </w:r>
      <w:proofErr w:type="spellEnd"/>
      <w:r w:rsidRPr="00C53B4B">
        <w:rPr>
          <w:sz w:val="24"/>
          <w:szCs w:val="24"/>
        </w:rPr>
        <w:t xml:space="preserve">. Astfel,  România a contractat în perioada 2016-2017 trei </w:t>
      </w:r>
      <w:proofErr w:type="spellStart"/>
      <w:r w:rsidRPr="00C53B4B">
        <w:rPr>
          <w:sz w:val="24"/>
          <w:szCs w:val="24"/>
        </w:rPr>
        <w:t>SPLs</w:t>
      </w:r>
      <w:proofErr w:type="spellEnd"/>
      <w:r w:rsidRPr="00C53B4B">
        <w:rPr>
          <w:sz w:val="24"/>
          <w:szCs w:val="24"/>
        </w:rPr>
        <w:t xml:space="preserve"> destinate acoperirii parţiale a contribuţiei bugetului de stat la POIM (Mediu - 300 mil EUR), la POC, POIM și POCU (Creștere - 360 mil EUR), la </w:t>
      </w:r>
      <w:proofErr w:type="spellStart"/>
      <w:r w:rsidRPr="00C53B4B">
        <w:rPr>
          <w:sz w:val="24"/>
          <w:szCs w:val="24"/>
        </w:rPr>
        <w:t>POIM-Transport</w:t>
      </w:r>
      <w:proofErr w:type="spellEnd"/>
      <w:r w:rsidRPr="00C53B4B">
        <w:rPr>
          <w:sz w:val="24"/>
          <w:szCs w:val="24"/>
        </w:rPr>
        <w:t xml:space="preserve">, 1 mld EUR. La acestea se adaugă un împrumut destinat acoperirii parţiale a contribuţiei bugetului de stat la PNDR 2014-2020, în valoare de 450 mil EUR,  semnat în septembrie 2018.  </w:t>
      </w:r>
    </w:p>
    <w:p w14:paraId="28CF45E5" w14:textId="77777777" w:rsidR="00995263" w:rsidRPr="00C53B4B" w:rsidRDefault="00995263" w:rsidP="009941AE">
      <w:pPr>
        <w:spacing w:after="60" w:line="240" w:lineRule="auto"/>
        <w:jc w:val="both"/>
        <w:rPr>
          <w:sz w:val="24"/>
          <w:szCs w:val="24"/>
        </w:rPr>
      </w:pPr>
      <w:r w:rsidRPr="00C53B4B">
        <w:rPr>
          <w:sz w:val="24"/>
          <w:szCs w:val="24"/>
        </w:rPr>
        <w:t>Colaborarea cu BEI pentru implementarea programelor UE gestionate de către CE s-a derulat direct de către BEI în relația cu sectorul privat (în cadrul FEIS) sau prin intermediari financiari, în relație cu FEI (</w:t>
      </w:r>
      <w:proofErr w:type="spellStart"/>
      <w:r w:rsidRPr="00C53B4B">
        <w:rPr>
          <w:sz w:val="24"/>
          <w:szCs w:val="24"/>
        </w:rPr>
        <w:t>InnovFin</w:t>
      </w:r>
      <w:proofErr w:type="spellEnd"/>
      <w:r w:rsidRPr="00C53B4B">
        <w:rPr>
          <w:sz w:val="24"/>
          <w:szCs w:val="24"/>
        </w:rPr>
        <w:t xml:space="preserve">, COSME, Europa Creativă, </w:t>
      </w:r>
      <w:proofErr w:type="spellStart"/>
      <w:r w:rsidRPr="00C53B4B">
        <w:rPr>
          <w:sz w:val="24"/>
          <w:szCs w:val="24"/>
        </w:rPr>
        <w:t>etc</w:t>
      </w:r>
      <w:proofErr w:type="spellEnd"/>
      <w:r w:rsidRPr="00C53B4B">
        <w:rPr>
          <w:sz w:val="24"/>
          <w:szCs w:val="24"/>
        </w:rPr>
        <w:t>), menționate mai sus. Totodată, prin intermediul FEI sunt implementate instrumentele financiare finanțate în cadrul programelor operaționale finanțate din FESI. România utilizează instrumentele financiare în 3 programe operaționale (POC, POR, PNDR) și implementează o  inițiativă comună (</w:t>
      </w:r>
      <w:proofErr w:type="spellStart"/>
      <w:r w:rsidRPr="00C53B4B">
        <w:rPr>
          <w:sz w:val="24"/>
          <w:szCs w:val="24"/>
        </w:rPr>
        <w:t>joint</w:t>
      </w:r>
      <w:proofErr w:type="spellEnd"/>
      <w:r w:rsidRPr="00C53B4B">
        <w:rPr>
          <w:sz w:val="24"/>
          <w:szCs w:val="24"/>
        </w:rPr>
        <w:t xml:space="preserve"> instrument) care combină alocările naționale din fonduri ESI cu resursele bugetare ale UE gestionate la nivel central în cadrul programelor Orizont 2020 și COSME și cu resursele proprii ale FEI și BEI. În contextul acestei inițiative, prin POR - axa dedicată Inițiativei pentru IMM-uri, este implementat instrumentul de garantare neplafonată care facilitează accesul IMM-urilor la finanţare prin furnizarea de garanţii, în scopul de a genera împrumuturi adiţionale IMM-urilor. In 2018, pentru a analiza utilizarea instrumentelor financiare din FSE în cadrul POCU, a fost elaborată și o evaluare ex-ante aprobată prin Memorandum de guvern în noiembrie 2018.</w:t>
      </w:r>
    </w:p>
    <w:p w14:paraId="66CD1AB8" w14:textId="65B0BC66" w:rsidR="006C1B0F" w:rsidRPr="00C53B4B" w:rsidRDefault="00995263" w:rsidP="009941AE">
      <w:pPr>
        <w:spacing w:after="60" w:line="240" w:lineRule="auto"/>
        <w:jc w:val="both"/>
        <w:rPr>
          <w:sz w:val="24"/>
          <w:szCs w:val="24"/>
        </w:rPr>
      </w:pPr>
      <w:r w:rsidRPr="00C53B4B">
        <w:rPr>
          <w:sz w:val="24"/>
          <w:szCs w:val="24"/>
        </w:rPr>
        <w:t>În ceea ce privește asistența tehnică, potrivit HG 168/2016, Guvernul României a încheiat un Memorandum de înțelegere cu BEI pentru sprijinul pentru implementarea proiectelor, în cadrul căruia au fost semnate două contracte de asistență tehnică, cu MFE, respectiv ANAP în iul</w:t>
      </w:r>
      <w:r w:rsidR="006075BB">
        <w:rPr>
          <w:sz w:val="24"/>
          <w:szCs w:val="24"/>
        </w:rPr>
        <w:t>ie 2016. Trebuie menționat că s</w:t>
      </w:r>
      <w:r w:rsidRPr="00C53B4B">
        <w:rPr>
          <w:sz w:val="24"/>
          <w:szCs w:val="24"/>
        </w:rPr>
        <w:t>ervicii de asistență tehnică pentru implementarea fondurilor europene au fost contractate și de la alte instituții financiare internaționale:</w:t>
      </w:r>
      <w:r w:rsidR="006075BB">
        <w:rPr>
          <w:sz w:val="24"/>
          <w:szCs w:val="24"/>
        </w:rPr>
        <w:t xml:space="preserve"> </w:t>
      </w:r>
      <w:r w:rsidRPr="00C53B4B">
        <w:rPr>
          <w:sz w:val="24"/>
          <w:szCs w:val="24"/>
        </w:rPr>
        <w:t>Banca Mondială (HG 167/2016), respectiv Banca Europeană pentru Reconstrucție și Dezvoltare (HG 166/2016). În plus față de cadrul menționat mai sus, BEI a acordat asistență tehnică Ministerului Sănătății, prin EIAH – în contextul Planului de investiții pentru Europa, pentru implementarea</w:t>
      </w:r>
      <w:r w:rsidR="006075BB">
        <w:rPr>
          <w:sz w:val="24"/>
          <w:szCs w:val="24"/>
        </w:rPr>
        <w:t xml:space="preserve"> masurilor privind </w:t>
      </w:r>
      <w:r w:rsidRPr="00C53B4B">
        <w:rPr>
          <w:sz w:val="24"/>
          <w:szCs w:val="24"/>
        </w:rPr>
        <w:t>spitalele regionale prevăzute în POR.</w:t>
      </w:r>
    </w:p>
    <w:p w14:paraId="68D1BB49" w14:textId="1FF75861" w:rsidR="00995263" w:rsidRPr="00EF7191" w:rsidRDefault="00995263" w:rsidP="009941AE">
      <w:pPr>
        <w:spacing w:after="60" w:line="240" w:lineRule="auto"/>
        <w:jc w:val="both"/>
      </w:pPr>
      <w:r w:rsidRPr="00C53B4B">
        <w:rPr>
          <w:sz w:val="24"/>
          <w:szCs w:val="24"/>
        </w:rPr>
        <w:t>Acordarea de asistență tehnică BEI beneficiarilor din sectoarele transport, mediu și prevenirea riscurilor</w:t>
      </w:r>
      <w:r w:rsidR="00D1045C">
        <w:rPr>
          <w:sz w:val="24"/>
          <w:szCs w:val="24"/>
        </w:rPr>
        <w:t xml:space="preserve"> vizează</w:t>
      </w:r>
      <w:r w:rsidRPr="00C53B4B">
        <w:rPr>
          <w:sz w:val="24"/>
          <w:szCs w:val="24"/>
        </w:rPr>
        <w:t xml:space="preserve"> pregătir</w:t>
      </w:r>
      <w:r w:rsidR="00D1045C">
        <w:rPr>
          <w:sz w:val="24"/>
          <w:szCs w:val="24"/>
        </w:rPr>
        <w:t>ea</w:t>
      </w:r>
      <w:r w:rsidRPr="00C53B4B">
        <w:rPr>
          <w:sz w:val="24"/>
          <w:szCs w:val="24"/>
        </w:rPr>
        <w:t xml:space="preserve"> proiectelor noi și sprijin</w:t>
      </w:r>
      <w:r w:rsidR="00D1045C">
        <w:rPr>
          <w:sz w:val="24"/>
          <w:szCs w:val="24"/>
        </w:rPr>
        <w:t xml:space="preserve"> în</w:t>
      </w:r>
      <w:r w:rsidRPr="00C53B4B">
        <w:rPr>
          <w:sz w:val="24"/>
          <w:szCs w:val="24"/>
        </w:rPr>
        <w:t xml:space="preserve"> procesul de implementare a proiectelor CNAIR, CFR, </w:t>
      </w:r>
      <w:proofErr w:type="spellStart"/>
      <w:r w:rsidRPr="00C53B4B">
        <w:rPr>
          <w:sz w:val="24"/>
          <w:szCs w:val="24"/>
        </w:rPr>
        <w:t>Metrorex</w:t>
      </w:r>
      <w:proofErr w:type="spellEnd"/>
      <w:r w:rsidRPr="00C53B4B">
        <w:rPr>
          <w:sz w:val="24"/>
          <w:szCs w:val="24"/>
        </w:rPr>
        <w:t xml:space="preserve"> și ARF, consolidarea capacității instituționale a beneficiarilor POIM prin organizarea de sesiuni de instruire pe teme orizontale și specifice, managementul contractelor de lucrări, evaluarea impactului asupra mediului, proiectul tehnic și monitorizarea execuției acestuia, studiul de trafic și analiza cost beneficiu (proiect POAT – PASSA BEI: „Asigurarea de servicii de asistenţă tehnică din partea experţilor BEI pentru gestionarea POIM 2014-2020 la nivelul AM POIM </w:t>
      </w:r>
      <w:r w:rsidRPr="00D1045C">
        <w:rPr>
          <w:sz w:val="24"/>
          <w:szCs w:val="24"/>
        </w:rPr>
        <w:t>şi a OI Transport şi pentru închiderea POS Mediu şi POS Transport 2007-2013 la nivelul AM POS Transport şi AM POS Mediu</w:t>
      </w:r>
      <w:r w:rsidRPr="00EF7191">
        <w:t>)</w:t>
      </w:r>
      <w:r w:rsidR="00D1045C">
        <w:t>.</w:t>
      </w:r>
    </w:p>
    <w:p w14:paraId="596E0AF8" w14:textId="77777777" w:rsidR="00995263" w:rsidRPr="00C1729E" w:rsidRDefault="00995263" w:rsidP="009941AE">
      <w:pPr>
        <w:spacing w:after="60" w:line="240" w:lineRule="auto"/>
        <w:jc w:val="both"/>
        <w:rPr>
          <w:b/>
          <w:color w:val="548DD4" w:themeColor="text2" w:themeTint="99"/>
        </w:rPr>
      </w:pPr>
    </w:p>
    <w:p w14:paraId="6586FCC4" w14:textId="77777777" w:rsidR="00BB7483" w:rsidRPr="00C1729E" w:rsidRDefault="004A049F" w:rsidP="009941AE">
      <w:pPr>
        <w:spacing w:after="60" w:line="240" w:lineRule="auto"/>
        <w:jc w:val="both"/>
        <w:rPr>
          <w:b/>
          <w:color w:val="548DD4" w:themeColor="text2" w:themeTint="99"/>
        </w:rPr>
      </w:pPr>
      <w:r w:rsidRPr="00C1729E">
        <w:rPr>
          <w:b/>
          <w:color w:val="548DD4" w:themeColor="text2" w:themeTint="99"/>
        </w:rPr>
        <w:lastRenderedPageBreak/>
        <w:t>5. Implementarea abordării integrate a dezvoltării teritoriale sau un rezumat al implementării abordărilor integrate pe baza programelor, inclusiv progresele înregistrate în vederea realizării domeniilor prioritare stabilite pentru cooperare [articolul 52 alineatul (2) litera (e) din Regulamentul (UE) nr. 1303/2013]</w:t>
      </w:r>
    </w:p>
    <w:p w14:paraId="069BCD5D" w14:textId="77777777" w:rsidR="002A01CC" w:rsidRPr="00C1729E" w:rsidRDefault="002A01CC" w:rsidP="009941AE">
      <w:pPr>
        <w:pStyle w:val="ListParagraph"/>
        <w:numPr>
          <w:ilvl w:val="0"/>
          <w:numId w:val="10"/>
        </w:numPr>
        <w:spacing w:after="60" w:line="240" w:lineRule="auto"/>
        <w:jc w:val="both"/>
        <w:rPr>
          <w:color w:val="548DD4" w:themeColor="text2" w:themeTint="99"/>
        </w:rPr>
      </w:pPr>
      <w:r w:rsidRPr="00C1729E">
        <w:rPr>
          <w:color w:val="548DD4" w:themeColor="text2" w:themeTint="99"/>
        </w:rPr>
        <w:t xml:space="preserve">Observații generale și evaluare </w:t>
      </w:r>
    </w:p>
    <w:p w14:paraId="22221A51" w14:textId="5CEA5919" w:rsidR="002A01CC" w:rsidRPr="00C1729E" w:rsidRDefault="002A01CC" w:rsidP="009941AE">
      <w:pPr>
        <w:spacing w:after="60" w:line="240" w:lineRule="auto"/>
        <w:jc w:val="both"/>
        <w:rPr>
          <w:sz w:val="24"/>
          <w:szCs w:val="24"/>
        </w:rPr>
      </w:pPr>
      <w:r w:rsidRPr="00C1729E">
        <w:rPr>
          <w:sz w:val="24"/>
          <w:szCs w:val="24"/>
        </w:rPr>
        <w:t>Abordarea integrată a dezvoltării teritorial</w:t>
      </w:r>
      <w:r w:rsidR="00D1045C">
        <w:rPr>
          <w:sz w:val="24"/>
          <w:szCs w:val="24"/>
        </w:rPr>
        <w:t>e</w:t>
      </w:r>
      <w:r w:rsidRPr="00C1729E">
        <w:rPr>
          <w:sz w:val="24"/>
          <w:szCs w:val="24"/>
        </w:rPr>
        <w:t xml:space="preserve"> vizează:</w:t>
      </w:r>
    </w:p>
    <w:p w14:paraId="11584B61" w14:textId="77777777" w:rsidR="002A01CC" w:rsidRPr="00C1729E" w:rsidRDefault="002A01CC" w:rsidP="009941AE">
      <w:pPr>
        <w:pStyle w:val="ListParagraph"/>
        <w:numPr>
          <w:ilvl w:val="0"/>
          <w:numId w:val="24"/>
        </w:numPr>
        <w:spacing w:after="60" w:line="240" w:lineRule="auto"/>
        <w:jc w:val="both"/>
        <w:rPr>
          <w:sz w:val="24"/>
          <w:szCs w:val="24"/>
        </w:rPr>
      </w:pPr>
      <w:r w:rsidRPr="00C1729E">
        <w:rPr>
          <w:sz w:val="24"/>
          <w:szCs w:val="24"/>
        </w:rPr>
        <w:t xml:space="preserve">implementarea instrumentului Dezvoltare Locală Plasată sub Responsabilitatea Comunității (DLRC) pentru zonele urbane (finanțare </w:t>
      </w:r>
      <w:proofErr w:type="spellStart"/>
      <w:r w:rsidRPr="00C1729E">
        <w:rPr>
          <w:sz w:val="24"/>
          <w:szCs w:val="24"/>
        </w:rPr>
        <w:t>multi-fond</w:t>
      </w:r>
      <w:proofErr w:type="spellEnd"/>
      <w:r w:rsidRPr="00C1729E">
        <w:rPr>
          <w:sz w:val="24"/>
          <w:szCs w:val="24"/>
        </w:rPr>
        <w:t xml:space="preserve"> FEDR, FSE),  DLRC în zonele piscicole și LEADER,</w:t>
      </w:r>
    </w:p>
    <w:p w14:paraId="03507353" w14:textId="77777777" w:rsidR="002A01CC" w:rsidRPr="00C1729E" w:rsidRDefault="002A01CC" w:rsidP="009941AE">
      <w:pPr>
        <w:pStyle w:val="ListParagraph"/>
        <w:numPr>
          <w:ilvl w:val="0"/>
          <w:numId w:val="24"/>
        </w:numPr>
        <w:spacing w:after="60" w:line="240" w:lineRule="auto"/>
        <w:jc w:val="both"/>
        <w:rPr>
          <w:sz w:val="24"/>
          <w:szCs w:val="24"/>
        </w:rPr>
      </w:pPr>
      <w:r w:rsidRPr="00C1729E">
        <w:rPr>
          <w:sz w:val="24"/>
          <w:szCs w:val="24"/>
        </w:rPr>
        <w:t xml:space="preserve">implementarea instrumentului Investiții Teritoriale Integrate (ITI) în Rezervația Biosferei Delta Dunării (finanțare </w:t>
      </w:r>
      <w:proofErr w:type="spellStart"/>
      <w:r w:rsidRPr="00C1729E">
        <w:rPr>
          <w:sz w:val="24"/>
          <w:szCs w:val="24"/>
        </w:rPr>
        <w:t>multi-fond</w:t>
      </w:r>
      <w:proofErr w:type="spellEnd"/>
      <w:r w:rsidRPr="00C1729E">
        <w:rPr>
          <w:sz w:val="24"/>
          <w:szCs w:val="24"/>
        </w:rPr>
        <w:t xml:space="preserve"> FEDR, FC, FSE, FEADR și FEPAM prin alocări dedicate în cadrul programelor subsecvente Acordului de Parteneriat),</w:t>
      </w:r>
    </w:p>
    <w:p w14:paraId="4064FBA3" w14:textId="77777777" w:rsidR="002A01CC" w:rsidRPr="00C1729E" w:rsidRDefault="002A01CC" w:rsidP="009941AE">
      <w:pPr>
        <w:pStyle w:val="ListParagraph"/>
        <w:numPr>
          <w:ilvl w:val="0"/>
          <w:numId w:val="24"/>
        </w:numPr>
        <w:spacing w:after="60" w:line="240" w:lineRule="auto"/>
        <w:jc w:val="both"/>
        <w:rPr>
          <w:sz w:val="24"/>
          <w:szCs w:val="24"/>
        </w:rPr>
      </w:pPr>
      <w:r w:rsidRPr="00C1729E">
        <w:rPr>
          <w:sz w:val="24"/>
          <w:szCs w:val="24"/>
        </w:rPr>
        <w:t>dezvoltare urbană durabilă (finanțare FEDR în cadrul POR, axă prioritară dedicată – AP 4).</w:t>
      </w:r>
    </w:p>
    <w:p w14:paraId="7D1676CD" w14:textId="77777777" w:rsidR="002A01CC" w:rsidRPr="00C1729E" w:rsidRDefault="002A01CC" w:rsidP="009941AE">
      <w:pPr>
        <w:spacing w:after="60" w:line="240" w:lineRule="auto"/>
        <w:jc w:val="both"/>
        <w:rPr>
          <w:sz w:val="24"/>
          <w:szCs w:val="24"/>
        </w:rPr>
      </w:pPr>
      <w:r w:rsidRPr="00C1729E">
        <w:rPr>
          <w:sz w:val="24"/>
          <w:szCs w:val="24"/>
        </w:rPr>
        <w:t xml:space="preserve">Conform regulamentelor europene, implementarea acestor instrumente se realizează în baza unor strategii dedicate elaborate de Grupuri de acțiune locală (GAL)/autorități locale sau a unor strategii naționale dedicate care propun abordarea problemelor specifice teritoriului/comunității într-o manieră integrată. </w:t>
      </w:r>
    </w:p>
    <w:p w14:paraId="61D89E77" w14:textId="77777777" w:rsidR="002A01CC" w:rsidRPr="00C1729E" w:rsidRDefault="002A01CC" w:rsidP="009941AE">
      <w:pPr>
        <w:spacing w:after="60" w:line="240" w:lineRule="auto"/>
        <w:jc w:val="both"/>
        <w:rPr>
          <w:sz w:val="24"/>
          <w:szCs w:val="24"/>
        </w:rPr>
      </w:pPr>
      <w:r w:rsidRPr="00C1729E">
        <w:rPr>
          <w:sz w:val="24"/>
          <w:szCs w:val="24"/>
        </w:rPr>
        <w:t xml:space="preserve">Pentru implementarea instrumentului ITI a fost ales teritoriul Rezervației Biosferei Delta Dunării caracterizat prin populație rară și izolată, vulnerabilitate economică, acces nesatisfăcător la servicii etc. Strategia Integrată de Dezvoltare Durabilă a Deltei Dunării 2030 (SIDDDD) și planul de acțiune au fost elaborate cu sprijinul Băncii Mondiale. Funcţionarea instituţională şi administrativă a mecanismului ITI Delta Dunării este asigurată de Asociația de Dezvoltare Intercomunitară ITI Delta Dunării (ADI-ITI DD), persoană juridică de drept privat cu statut de utilitate publică, care  include 38 de Unități Administrativ Teritoriale (dintre care 5 </w:t>
      </w:r>
      <w:proofErr w:type="spellStart"/>
      <w:r w:rsidRPr="00C1729E">
        <w:rPr>
          <w:sz w:val="24"/>
          <w:szCs w:val="24"/>
        </w:rPr>
        <w:t>UAT-uri</w:t>
      </w:r>
      <w:proofErr w:type="spellEnd"/>
      <w:r w:rsidRPr="00C1729E">
        <w:rPr>
          <w:sz w:val="24"/>
          <w:szCs w:val="24"/>
        </w:rPr>
        <w:t xml:space="preserve"> urbane: Tulcea, Măcin, Isaccea, Sulina, Babadag), Consiliul Judeţean Tulcea și Consiliul Judeţean Constanța. La nivel executiv ADI-ITI DD are un aparat tehnic propriu condus de președintele Consiliului Director și beneficiază de susținere financiară prin intermediul PO Asistență tehnică. </w:t>
      </w:r>
    </w:p>
    <w:p w14:paraId="4E442F25" w14:textId="77777777" w:rsidR="002A01CC" w:rsidRPr="00C1729E" w:rsidRDefault="002A01CC" w:rsidP="009941AE">
      <w:pPr>
        <w:spacing w:after="60" w:line="240" w:lineRule="auto"/>
        <w:jc w:val="both"/>
        <w:rPr>
          <w:sz w:val="24"/>
          <w:szCs w:val="24"/>
        </w:rPr>
      </w:pPr>
      <w:r w:rsidRPr="00C1729E">
        <w:rPr>
          <w:sz w:val="24"/>
          <w:szCs w:val="24"/>
        </w:rPr>
        <w:t>În scopul promovării principiului parteneriatului în implementarea mecanismului ITI a fost constituit un Comitet Consultativ ca organism partenerial cu caracter deschis pe bază de voluntariat, constituit de Adunarea Generală a ADI prin implicarea activă a tuturor factorilor interesați.</w:t>
      </w:r>
    </w:p>
    <w:p w14:paraId="28D17835" w14:textId="77777777" w:rsidR="002A01CC" w:rsidRPr="00C1729E" w:rsidRDefault="002A01CC" w:rsidP="009941AE">
      <w:pPr>
        <w:spacing w:after="60" w:line="240" w:lineRule="auto"/>
        <w:jc w:val="both"/>
        <w:rPr>
          <w:sz w:val="24"/>
          <w:szCs w:val="24"/>
        </w:rPr>
      </w:pPr>
      <w:r w:rsidRPr="00C1729E">
        <w:rPr>
          <w:sz w:val="24"/>
          <w:szCs w:val="24"/>
        </w:rPr>
        <w:t>România se află între cele 5 state membre (alături de Franța, Italia, Polonia și Republica Cehă) care au beneficiat de o alocare mai mare de 1 miliard de euro pentru acest instrument. Intervențiile realizate prin mecanismul ITI Delta Dunării reprezintă un element important și pentru realizarea obiectivelor SUERD.</w:t>
      </w:r>
    </w:p>
    <w:p w14:paraId="06FD53F6" w14:textId="2DE96C48" w:rsidR="002A01CC" w:rsidRPr="00C1729E" w:rsidRDefault="002A01CC" w:rsidP="009941AE">
      <w:pPr>
        <w:spacing w:after="60" w:line="240" w:lineRule="auto"/>
        <w:jc w:val="both"/>
        <w:rPr>
          <w:sz w:val="24"/>
          <w:szCs w:val="24"/>
        </w:rPr>
      </w:pPr>
      <w:r w:rsidRPr="00C1729E">
        <w:rPr>
          <w:sz w:val="24"/>
          <w:szCs w:val="24"/>
        </w:rPr>
        <w:t>Activitatea ADI-ITI Delta Dunării este susținută prin POAT (alocare 5 mil. Euro) atât pentru asigurarea condițiilo</w:t>
      </w:r>
      <w:r w:rsidR="00D1045C">
        <w:rPr>
          <w:sz w:val="24"/>
          <w:szCs w:val="24"/>
        </w:rPr>
        <w:t>r tehnice și logistice necesare</w:t>
      </w:r>
      <w:r w:rsidRPr="00C1729E">
        <w:rPr>
          <w:sz w:val="24"/>
          <w:szCs w:val="24"/>
        </w:rPr>
        <w:t xml:space="preserve">, cât și pentru susținerea expertizei necesare pentru coordonarea la nivel teritorial a implementării mecanismului ITI. Pentru proiectul implementat în perioada 2015-2018 au fost transmise cereri de rambursare in valoare de  aproximativ 1,6 mil. euro. </w:t>
      </w:r>
    </w:p>
    <w:p w14:paraId="3F8ABB84" w14:textId="503F9A67" w:rsidR="002A01CC" w:rsidRPr="00C1729E" w:rsidRDefault="002A01CC" w:rsidP="009941AE">
      <w:pPr>
        <w:spacing w:after="60" w:line="240" w:lineRule="auto"/>
        <w:jc w:val="both"/>
        <w:rPr>
          <w:sz w:val="24"/>
          <w:szCs w:val="24"/>
        </w:rPr>
      </w:pPr>
      <w:r w:rsidRPr="00C1729E">
        <w:rPr>
          <w:sz w:val="24"/>
          <w:szCs w:val="24"/>
        </w:rPr>
        <w:t>Analizele realizate (inclusiv cu implicarea COM) privind implementare</w:t>
      </w:r>
      <w:r w:rsidR="00D1045C">
        <w:rPr>
          <w:sz w:val="24"/>
          <w:szCs w:val="24"/>
        </w:rPr>
        <w:t>a</w:t>
      </w:r>
      <w:r w:rsidRPr="00C1729E">
        <w:rPr>
          <w:sz w:val="24"/>
          <w:szCs w:val="24"/>
        </w:rPr>
        <w:t xml:space="preserve"> au indicat necesitatea îmbunătățirii capacității administrative a ADI ITI DD și, începând cu 2019</w:t>
      </w:r>
      <w:r w:rsidR="00D1045C">
        <w:rPr>
          <w:sz w:val="24"/>
          <w:szCs w:val="24"/>
        </w:rPr>
        <w:t>,</w:t>
      </w:r>
      <w:r w:rsidRPr="00C1729E">
        <w:rPr>
          <w:sz w:val="24"/>
          <w:szCs w:val="24"/>
        </w:rPr>
        <w:t xml:space="preserve"> este implementat un nou acord de asistență tehnică (aprox. 4,</w:t>
      </w:r>
      <w:proofErr w:type="spellStart"/>
      <w:r w:rsidRPr="00C1729E">
        <w:rPr>
          <w:sz w:val="24"/>
          <w:szCs w:val="24"/>
        </w:rPr>
        <w:t>4</w:t>
      </w:r>
      <w:proofErr w:type="spellEnd"/>
      <w:r w:rsidRPr="00C1729E">
        <w:rPr>
          <w:sz w:val="24"/>
          <w:szCs w:val="24"/>
        </w:rPr>
        <w:t xml:space="preserve"> mil euro) în cadrul căruia au fost incluși noi indicatori de performan</w:t>
      </w:r>
      <w:r w:rsidR="00D1045C">
        <w:rPr>
          <w:sz w:val="24"/>
          <w:szCs w:val="24"/>
        </w:rPr>
        <w:t xml:space="preserve">ță </w:t>
      </w:r>
      <w:r w:rsidRPr="00C1729E">
        <w:rPr>
          <w:sz w:val="24"/>
          <w:szCs w:val="24"/>
        </w:rPr>
        <w:t xml:space="preserve">(rată de contractare a proiectelor sprijinite de către ADI ITI DD, rată de absorbție proiecte finalizate). Implementarea proiectului presupune și asigurarea de </w:t>
      </w:r>
      <w:proofErr w:type="spellStart"/>
      <w:r w:rsidRPr="00C1729E">
        <w:rPr>
          <w:sz w:val="24"/>
          <w:szCs w:val="24"/>
        </w:rPr>
        <w:t>helpdesk</w:t>
      </w:r>
      <w:proofErr w:type="spellEnd"/>
      <w:r w:rsidRPr="00C1729E">
        <w:rPr>
          <w:sz w:val="24"/>
          <w:szCs w:val="24"/>
        </w:rPr>
        <w:t xml:space="preserve"> în procesul de pregătire a proiectelor. Dificultățile semnalate în implementare vizează inclusiv obținerea dificilă a avizelor necesare la depunerea cererilor de finanțare, obținerea avizelor cadastrale pentru terenurile vizate de lucrările de investiții, identificarea obiectivului de investiție în inventarul bunurilor care alcătuiesc domeniul public.</w:t>
      </w:r>
    </w:p>
    <w:p w14:paraId="484884CE" w14:textId="2158E353" w:rsidR="002A01CC" w:rsidRPr="00C1729E" w:rsidRDefault="002A01CC" w:rsidP="009941AE">
      <w:pPr>
        <w:spacing w:after="60" w:line="240" w:lineRule="auto"/>
        <w:jc w:val="both"/>
        <w:rPr>
          <w:sz w:val="24"/>
          <w:szCs w:val="24"/>
        </w:rPr>
      </w:pPr>
      <w:r w:rsidRPr="00C1729E">
        <w:rPr>
          <w:sz w:val="24"/>
          <w:szCs w:val="24"/>
        </w:rPr>
        <w:lastRenderedPageBreak/>
        <w:t>Strategia Uniunii Europene pentru Regiunea Dunării (SUERD) este a doua macro-strategie a Uniunii Europene, reprezentând o iniţiativă politică a R</w:t>
      </w:r>
      <w:r w:rsidR="00D1045C">
        <w:rPr>
          <w:sz w:val="24"/>
          <w:szCs w:val="24"/>
        </w:rPr>
        <w:t xml:space="preserve">omâniei şi Austriei. </w:t>
      </w:r>
      <w:r w:rsidRPr="00C1729E">
        <w:rPr>
          <w:sz w:val="24"/>
          <w:szCs w:val="24"/>
        </w:rPr>
        <w:t xml:space="preserve">Aceasta preia modelul de cooperare dezvoltat prin Strategia UE pentru Marea Baltică (adoptată în 2009) cu adaptare la specificul regiunii dunărene. Strategia este structurată pe patru mari piloni. Fiecărui pilon îi corespund domenii specifice de acţiune, grupate pe 11 arii prioritare, fiecare arie prioritară fiind coordonată de câte 2 state/landuri din regiune. La Strategia Dunării participă paisprezece state: nouă state membre UE (Austria, România, Bulgaria, Cehia, Croaţia, Germania – ca stat federal şi prin landurile Baden-Württemberg şi Bavaria, Slovacia, Slovenia, Ungaria) şi cinci state ne-membre UE (Bosnia-Herţegovina, Muntenegru, Serbia, Republica Moldova şi Ucraina). la nivelul României SUERD este coordonată de Ministerul </w:t>
      </w:r>
      <w:r w:rsidR="00E810FC">
        <w:rPr>
          <w:sz w:val="24"/>
          <w:szCs w:val="24"/>
        </w:rPr>
        <w:t>Afacerilor</w:t>
      </w:r>
      <w:r w:rsidR="00E810FC" w:rsidRPr="00C1729E">
        <w:rPr>
          <w:sz w:val="24"/>
          <w:szCs w:val="24"/>
        </w:rPr>
        <w:t xml:space="preserve"> </w:t>
      </w:r>
      <w:r w:rsidRPr="00C1729E">
        <w:rPr>
          <w:sz w:val="24"/>
          <w:szCs w:val="24"/>
        </w:rPr>
        <w:t>Externe.</w:t>
      </w:r>
    </w:p>
    <w:p w14:paraId="211BA21D" w14:textId="77777777" w:rsidR="00E95006" w:rsidRPr="00C1729E" w:rsidRDefault="00E95006" w:rsidP="009941AE">
      <w:pPr>
        <w:spacing w:after="60" w:line="240" w:lineRule="auto"/>
        <w:jc w:val="both"/>
        <w:rPr>
          <w:b/>
          <w:sz w:val="24"/>
          <w:szCs w:val="24"/>
        </w:rPr>
      </w:pPr>
    </w:p>
    <w:p w14:paraId="3C26ECC1" w14:textId="77777777" w:rsidR="00BB7483" w:rsidRPr="00C1729E" w:rsidRDefault="002A01CC" w:rsidP="009941AE">
      <w:pPr>
        <w:pStyle w:val="ListParagraph"/>
        <w:numPr>
          <w:ilvl w:val="0"/>
          <w:numId w:val="10"/>
        </w:numPr>
        <w:spacing w:after="60" w:line="240" w:lineRule="auto"/>
        <w:jc w:val="both"/>
      </w:pPr>
      <w:r w:rsidRPr="00C1729E">
        <w:rPr>
          <w:color w:val="548DD4" w:themeColor="text2" w:themeTint="99"/>
        </w:rPr>
        <w:t>În legătură cu articolul 15 alineatul (2) litera (a) punctul (i) din Regulamentul (UE) nr. 1303/2013 — Prezentare generală a implementării dezvoltării locale plasate sub responsabilitatea comunității.</w:t>
      </w:r>
    </w:p>
    <w:p w14:paraId="3C55871F" w14:textId="77777777" w:rsidR="00C83BA8" w:rsidRPr="00C53B4B" w:rsidRDefault="00C83BA8" w:rsidP="009941AE">
      <w:pPr>
        <w:spacing w:after="60" w:line="240" w:lineRule="auto"/>
        <w:jc w:val="both"/>
        <w:rPr>
          <w:rFonts w:eastAsia="Trebuchet MS" w:cs="Trebuchet MS"/>
          <w:sz w:val="24"/>
          <w:szCs w:val="24"/>
        </w:rPr>
      </w:pPr>
      <w:r w:rsidRPr="00C53B4B">
        <w:rPr>
          <w:rFonts w:eastAsia="Trebuchet MS" w:cs="Trebuchet MS"/>
          <w:sz w:val="24"/>
          <w:szCs w:val="24"/>
        </w:rPr>
        <w:t xml:space="preserve">La nivelul comunităților marginalizate din </w:t>
      </w:r>
      <w:r w:rsidRPr="00C53B4B">
        <w:rPr>
          <w:rFonts w:eastAsia="Trebuchet MS" w:cs="Trebuchet MS"/>
          <w:b/>
          <w:sz w:val="24"/>
          <w:szCs w:val="24"/>
        </w:rPr>
        <w:t>orașele cu peste 20.000 de locuitori</w:t>
      </w:r>
      <w:r w:rsidRPr="00C53B4B">
        <w:rPr>
          <w:rFonts w:eastAsia="Trebuchet MS" w:cs="Trebuchet MS"/>
          <w:sz w:val="24"/>
          <w:szCs w:val="24"/>
        </w:rPr>
        <w:t>, mecanismul DLRC (Dezvoltare Locală Plasată în Responsabilitatea Comunității) este finanțat prin intermediul a 2 programe, respectiv POCU (AP 5) și POR (AP 9).</w:t>
      </w:r>
    </w:p>
    <w:p w14:paraId="382D9664" w14:textId="77777777" w:rsidR="00C83BA8" w:rsidRPr="00C53B4B" w:rsidRDefault="00C83BA8" w:rsidP="009941AE">
      <w:pPr>
        <w:spacing w:after="60" w:line="240" w:lineRule="auto"/>
        <w:jc w:val="both"/>
        <w:rPr>
          <w:rFonts w:eastAsia="Trebuchet MS" w:cs="Trebuchet MS"/>
          <w:sz w:val="24"/>
          <w:szCs w:val="24"/>
        </w:rPr>
      </w:pPr>
      <w:r w:rsidRPr="00C53B4B">
        <w:rPr>
          <w:rFonts w:eastAsia="Trebuchet MS" w:cs="Trebuchet MS"/>
          <w:sz w:val="24"/>
          <w:szCs w:val="24"/>
        </w:rPr>
        <w:t>În vederea implementării DLRC, a fost stabilit un Comitet Comun de Selecție (CCS), comitet care a funcționat în baza unui Regulament de Organizare și Funcționare (ROF). Din CCS au făcut parte reprezentanți ai: AMPOCU, AMPOR, UPECS (Unitatea pentru Politici Europene de Coeziune Socială) și DGDRI (Direcția Generală Dezvoltare Regională și Infrastructură). Secretariatul CCS a fost asigurat de către DAP (Direcția Analiză și Programare din cadrul Direcției Generală Programare și Coordonare Sistem).</w:t>
      </w:r>
    </w:p>
    <w:p w14:paraId="47EF43E8" w14:textId="77777777" w:rsidR="00C83BA8" w:rsidRPr="00C53B4B" w:rsidRDefault="00C83BA8" w:rsidP="009941AE">
      <w:pPr>
        <w:spacing w:after="60" w:line="240" w:lineRule="auto"/>
        <w:jc w:val="both"/>
        <w:rPr>
          <w:rFonts w:eastAsia="Trebuchet MS" w:cs="Trebuchet MS"/>
          <w:sz w:val="24"/>
          <w:szCs w:val="24"/>
        </w:rPr>
      </w:pPr>
      <w:r w:rsidRPr="00C53B4B">
        <w:rPr>
          <w:rFonts w:eastAsia="Trebuchet MS" w:cs="Trebuchet MS"/>
          <w:sz w:val="24"/>
          <w:szCs w:val="24"/>
        </w:rPr>
        <w:t xml:space="preserve">Pentru asigurarea unei abordări unitare la nivelul tuturor SDL (Strategii de Dezvoltare Locală) și a GAL (Grupuri de Acțiune Locală), odată cu publicarea pe site-ul oficial al MDRAPFE  a </w:t>
      </w:r>
      <w:r w:rsidRPr="00C53B4B">
        <w:rPr>
          <w:rFonts w:eastAsia="Trebuchet MS" w:cs="Trebuchet MS"/>
          <w:i/>
          <w:sz w:val="24"/>
          <w:szCs w:val="24"/>
        </w:rPr>
        <w:t xml:space="preserve">Ghidului Specific privind depunerea și selecția Strategiilor de Dezvoltare Locală - Etapa a II-a mecanismului DLRC, </w:t>
      </w:r>
      <w:r w:rsidRPr="00C53B4B">
        <w:rPr>
          <w:rFonts w:eastAsia="Trebuchet MS" w:cs="Trebuchet MS"/>
          <w:sz w:val="24"/>
          <w:szCs w:val="24"/>
        </w:rPr>
        <w:t>au mai fost publicate și o serie de anexe, precum: Modelul cadru SDL împreună cu documentele suport pentru elaborarea SDL, Definițiile indicatorilor POCU aferenți O.S. 5.1, Lista indicatorilor POCU O.S. 5.1 și Lista Zonelor Urbane Marginalizate (ZUM) din orașele cu peste 20.000 de locuitori.</w:t>
      </w:r>
    </w:p>
    <w:p w14:paraId="410D035B" w14:textId="77777777" w:rsidR="00C83BA8" w:rsidRPr="00C53B4B" w:rsidRDefault="00C83BA8" w:rsidP="009941AE">
      <w:pPr>
        <w:spacing w:after="60" w:line="240" w:lineRule="auto"/>
        <w:jc w:val="both"/>
        <w:rPr>
          <w:rFonts w:eastAsia="Trebuchet MS" w:cs="Trebuchet MS"/>
          <w:sz w:val="24"/>
          <w:szCs w:val="24"/>
        </w:rPr>
      </w:pPr>
      <w:r w:rsidRPr="00C53B4B">
        <w:rPr>
          <w:rFonts w:eastAsia="Trebuchet MS" w:cs="Trebuchet MS"/>
          <w:sz w:val="24"/>
          <w:szCs w:val="24"/>
        </w:rPr>
        <w:t xml:space="preserve">Au fost elaborate o serie de documente pentru asigurarea cadrului legal și unitar al procesului de evaluare și selecției a SDL: metodologia de evaluare a SDL, criteriile de evaluare (verificarea administrativă, evaluarea eligibilității, a parteneriatului și a studiului de referință, evaluarea strategică și operațională), declarațiile de confidențialitate și de interese, lista persoanelor desemnate ca evaluatori, modelul de fișa solicitare clarificări. </w:t>
      </w:r>
    </w:p>
    <w:p w14:paraId="2B469F5D" w14:textId="77777777" w:rsidR="00C83BA8" w:rsidRPr="00D1045C" w:rsidRDefault="00C83BA8" w:rsidP="009941AE">
      <w:pPr>
        <w:spacing w:after="60" w:line="240" w:lineRule="auto"/>
        <w:jc w:val="both"/>
        <w:rPr>
          <w:rFonts w:eastAsia="Trebuchet MS" w:cs="Trebuchet MS"/>
          <w:sz w:val="24"/>
          <w:szCs w:val="24"/>
        </w:rPr>
      </w:pPr>
      <w:r w:rsidRPr="00D1045C">
        <w:rPr>
          <w:rFonts w:eastAsia="Trebuchet MS" w:cs="Trebuchet MS"/>
          <w:sz w:val="24"/>
          <w:szCs w:val="24"/>
        </w:rPr>
        <w:t>Pentru asigurarea transparenței procesului și pentru a oferi sprijin potențialilor beneficiari, la începutul lunii octombrie 2017, MDRAP a organizat 2 dezbateri publice la care au fost invitate să participe toate autoritățile publice locale din orașele vizate. Au fost prezentate: etapele procesului de evaluare și selecție, calendarul fiecărei etape, entitățile implicate (responsabilități, rol), criteriile de evaluare care vor sta la baza evaluării SDL, obligațiile GAL/ MDRAPFE. Urmare a consultării, documentele au fost revizuite și, ulterior, aprobate prin Ordin de ministru.</w:t>
      </w:r>
    </w:p>
    <w:p w14:paraId="4F5C7C70" w14:textId="77777777" w:rsidR="00C83BA8" w:rsidRPr="00D1045C" w:rsidRDefault="00C83BA8" w:rsidP="009941AE">
      <w:pPr>
        <w:spacing w:after="60" w:line="240" w:lineRule="auto"/>
        <w:jc w:val="both"/>
        <w:rPr>
          <w:rFonts w:eastAsia="Trebuchet MS" w:cs="Trebuchet MS"/>
          <w:sz w:val="24"/>
          <w:szCs w:val="24"/>
        </w:rPr>
      </w:pPr>
      <w:r w:rsidRPr="00D1045C">
        <w:rPr>
          <w:rFonts w:eastAsia="Trebuchet MS" w:cs="Trebuchet MS"/>
          <w:sz w:val="24"/>
          <w:szCs w:val="24"/>
        </w:rPr>
        <w:t xml:space="preserve">În 4 decembrie 2017, au fost depuse spre evaluare și selecție 49 de SDL. Evaluarea SDL a fost un proces amplu și complex care a constat în parcurgerea a 2 etape majore. Prima etapă (eliminatorie) a presupus următoarele: verificarea administrativă (făcută de către DAP), evaluarea criteriilor de eligibilitate (AM POCU și AM POR), evaluarea studiului de referință (evaluatori externi independenți) și evaluarea parteneriatului (evaluatori externi independenți). SDL care au fost declarate ca fiind admise după această etapă, au fost evaluate din punct de vedere operațional și strategic, evaluare care a implicat participarea a 4 entități: AM POR, AM POCU, UPECS, DGDRI. </w:t>
      </w:r>
    </w:p>
    <w:p w14:paraId="2A1EC3BC" w14:textId="62F97312" w:rsidR="00C83BA8" w:rsidRPr="00D1045C" w:rsidRDefault="00C83BA8" w:rsidP="009941AE">
      <w:pPr>
        <w:spacing w:after="60" w:line="240" w:lineRule="auto"/>
        <w:jc w:val="both"/>
        <w:rPr>
          <w:rFonts w:eastAsia="Trebuchet MS" w:cs="Trebuchet MS"/>
          <w:sz w:val="24"/>
          <w:szCs w:val="24"/>
          <w:shd w:val="clear" w:color="auto" w:fill="FFFF00"/>
        </w:rPr>
      </w:pPr>
      <w:r w:rsidRPr="00D1045C">
        <w:rPr>
          <w:rFonts w:eastAsia="Trebuchet MS" w:cs="Trebuchet MS"/>
          <w:sz w:val="24"/>
          <w:szCs w:val="24"/>
        </w:rPr>
        <w:lastRenderedPageBreak/>
        <w:t xml:space="preserve">Din cele 49 de SDL depuse, au fost aprobate spre a fi finanțate 37, dintre care 35 vizează regiunile mai puțin dezvoltate și 2 regiunea București-Ilfov. Bugetul total estimat aprobat este de 234,5 </w:t>
      </w:r>
      <w:proofErr w:type="spellStart"/>
      <w:r w:rsidRPr="00D1045C">
        <w:rPr>
          <w:rFonts w:eastAsia="Trebuchet MS" w:cs="Trebuchet MS"/>
          <w:sz w:val="24"/>
          <w:szCs w:val="24"/>
        </w:rPr>
        <w:t>mil.€</w:t>
      </w:r>
      <w:proofErr w:type="spellEnd"/>
      <w:r w:rsidRPr="00D1045C">
        <w:rPr>
          <w:rFonts w:eastAsia="Trebuchet MS" w:cs="Trebuchet MS"/>
          <w:sz w:val="24"/>
          <w:szCs w:val="24"/>
        </w:rPr>
        <w:t>, dintre care aprox. 226 mil. euro sunt destinate regiunilor mai puțin dezvoltate.</w:t>
      </w:r>
    </w:p>
    <w:p w14:paraId="7947BE1D" w14:textId="77777777" w:rsidR="00C83BA8" w:rsidRPr="00D1045C" w:rsidRDefault="00C83BA8" w:rsidP="009941AE">
      <w:pPr>
        <w:spacing w:after="60" w:line="240" w:lineRule="auto"/>
        <w:jc w:val="both"/>
        <w:rPr>
          <w:rFonts w:eastAsia="Trebuchet MS" w:cs="Trebuchet MS"/>
          <w:sz w:val="24"/>
          <w:szCs w:val="24"/>
        </w:rPr>
      </w:pPr>
      <w:r w:rsidRPr="00D1045C">
        <w:rPr>
          <w:rFonts w:eastAsia="Trebuchet MS" w:cs="Trebuchet MS"/>
          <w:sz w:val="24"/>
          <w:szCs w:val="24"/>
        </w:rPr>
        <w:t>După publicarea rezultatului final al procesului de evaluare și selecție, GAL ale căror SDL au fost aprobate, au depus în cadrul unor apeluri de proiecte</w:t>
      </w:r>
      <w:r w:rsidRPr="00C53B4B">
        <w:rPr>
          <w:rFonts w:eastAsia="Trebuchet MS" w:cs="Trebuchet MS"/>
          <w:sz w:val="24"/>
          <w:szCs w:val="24"/>
        </w:rPr>
        <w:t xml:space="preserve"> de tip competitiv restrâns, proiecte în vederea susținerii cheltuielilor de funcționare (în cuantum de maximum 15% din bugetul POCU aprobat al SDL), pe toată perioada de implementare a SDL. Au fost lansate 4 apeluri, două destinate regiunilor mai puțin dezvoltate şi două regiunii București-Ilfov, în scopul  susținerii cheltuielilor de funcționare a </w:t>
      </w:r>
      <w:proofErr w:type="spellStart"/>
      <w:r w:rsidRPr="00C53B4B">
        <w:rPr>
          <w:rFonts w:eastAsia="Trebuchet MS" w:cs="Trebuchet MS"/>
          <w:sz w:val="24"/>
          <w:szCs w:val="24"/>
        </w:rPr>
        <w:t>GAL-urilor</w:t>
      </w:r>
      <w:proofErr w:type="spellEnd"/>
      <w:r w:rsidRPr="00C53B4B">
        <w:rPr>
          <w:rFonts w:eastAsia="Trebuchet MS" w:cs="Trebuchet MS"/>
          <w:sz w:val="24"/>
          <w:szCs w:val="24"/>
        </w:rPr>
        <w:t xml:space="preserve">. În cadrul celor 4 apeluri au fost aprobate pentru finanțare şi contractate 37 de proiecte din care 2 proiecte  la nivelul regiunii </w:t>
      </w:r>
      <w:proofErr w:type="spellStart"/>
      <w:r w:rsidRPr="00C53B4B">
        <w:rPr>
          <w:rFonts w:eastAsia="Trebuchet MS" w:cs="Trebuchet MS"/>
          <w:sz w:val="24"/>
          <w:szCs w:val="24"/>
        </w:rPr>
        <w:t>Bucuresti-Ilfov</w:t>
      </w:r>
      <w:proofErr w:type="spellEnd"/>
      <w:r w:rsidRPr="00C53B4B">
        <w:rPr>
          <w:rFonts w:eastAsia="Trebuchet MS" w:cs="Trebuchet MS"/>
          <w:sz w:val="24"/>
          <w:szCs w:val="24"/>
        </w:rPr>
        <w:t xml:space="preserve">, în valoare de 0,419 </w:t>
      </w:r>
      <w:proofErr w:type="spellStart"/>
      <w:r w:rsidRPr="00C53B4B">
        <w:rPr>
          <w:rFonts w:eastAsia="Trebuchet MS" w:cs="Trebuchet MS"/>
          <w:sz w:val="24"/>
          <w:szCs w:val="24"/>
        </w:rPr>
        <w:t>mil</w:t>
      </w:r>
      <w:r w:rsidRPr="00D1045C">
        <w:rPr>
          <w:rFonts w:eastAsia="Trebuchet MS" w:cs="Trebuchet MS"/>
          <w:sz w:val="24"/>
          <w:szCs w:val="24"/>
        </w:rPr>
        <w:t>.€</w:t>
      </w:r>
      <w:proofErr w:type="spellEnd"/>
      <w:r w:rsidRPr="00D1045C">
        <w:rPr>
          <w:rFonts w:eastAsia="Trebuchet MS" w:cs="Trebuchet MS"/>
          <w:sz w:val="24"/>
          <w:szCs w:val="24"/>
        </w:rPr>
        <w:t xml:space="preserve"> şi 35 de proiecte la nivelul regiunilor mai puțin dezvoltate, in valoare de peste 12 </w:t>
      </w:r>
      <w:proofErr w:type="spellStart"/>
      <w:r w:rsidRPr="00D1045C">
        <w:rPr>
          <w:rFonts w:eastAsia="Trebuchet MS" w:cs="Trebuchet MS"/>
          <w:sz w:val="24"/>
          <w:szCs w:val="24"/>
        </w:rPr>
        <w:t>mil.€</w:t>
      </w:r>
      <w:proofErr w:type="spellEnd"/>
      <w:r w:rsidRPr="00D1045C">
        <w:rPr>
          <w:rFonts w:eastAsia="Trebuchet MS" w:cs="Trebuchet MS"/>
          <w:sz w:val="24"/>
          <w:szCs w:val="24"/>
        </w:rPr>
        <w:t>.</w:t>
      </w:r>
    </w:p>
    <w:p w14:paraId="50554EED" w14:textId="77777777" w:rsidR="00C83BA8" w:rsidRPr="00C53B4B" w:rsidRDefault="00C83BA8" w:rsidP="009941AE">
      <w:pPr>
        <w:spacing w:after="60" w:line="240" w:lineRule="auto"/>
        <w:jc w:val="both"/>
        <w:rPr>
          <w:rFonts w:eastAsia="Trebuchet MS" w:cs="Trebuchet MS"/>
          <w:sz w:val="24"/>
          <w:szCs w:val="24"/>
        </w:rPr>
      </w:pPr>
      <w:r w:rsidRPr="00D1045C">
        <w:rPr>
          <w:rFonts w:eastAsia="Trebuchet MS" w:cs="Trebuchet MS"/>
          <w:sz w:val="24"/>
          <w:szCs w:val="24"/>
        </w:rPr>
        <w:t xml:space="preserve">În vederea organizării etapei a III-a a mecanismului de DLRC, AM POCU, AM POR și DAP au elaborat un set de orientări destinate GAL în vederea organizării de către acestea a apelurilor de proiecte la nivel GAL. Organizarea apelurilor de proiecte de la nivelul GAL are la bază Procedura de evaluare și selecție a fișelor de proiecte, avizată de către cele 2 </w:t>
      </w:r>
      <w:proofErr w:type="spellStart"/>
      <w:r w:rsidRPr="00D1045C">
        <w:rPr>
          <w:rFonts w:eastAsia="Trebuchet MS" w:cs="Trebuchet MS"/>
          <w:sz w:val="24"/>
          <w:szCs w:val="24"/>
        </w:rPr>
        <w:t>AM-uri</w:t>
      </w:r>
      <w:proofErr w:type="spellEnd"/>
      <w:r w:rsidRPr="00D1045C">
        <w:rPr>
          <w:rFonts w:eastAsia="Trebuchet MS" w:cs="Trebuchet MS"/>
          <w:sz w:val="24"/>
          <w:szCs w:val="24"/>
        </w:rPr>
        <w:t>, conform căreia GAL lansează apeluri de proiecte în conformitate cu matricea de intervenții a SDL. După selecția fișelor de proiecte de către GAL, pachetele de fișe de proiect selectate</w:t>
      </w:r>
      <w:r w:rsidRPr="00C53B4B">
        <w:rPr>
          <w:rFonts w:eastAsia="Trebuchet MS" w:cs="Trebuchet MS"/>
          <w:sz w:val="24"/>
          <w:szCs w:val="24"/>
        </w:rPr>
        <w:t xml:space="preserve"> de către GAL urmează a fi depuse spre validare (asigurarea conformității cu matricea cadru de intervenție din SDL aprobat, încadrarea în intervențiile eligibile etc.) la Secretariatul Comitetului Comun de Selecție (CCS) restrâns, asigurat de către Organismul Intermediar pentru POCU București-Ilfov. După validarea fișelor de proiecte de </w:t>
      </w:r>
      <w:proofErr w:type="spellStart"/>
      <w:r w:rsidRPr="00C53B4B">
        <w:rPr>
          <w:rFonts w:eastAsia="Trebuchet MS" w:cs="Trebuchet MS"/>
          <w:sz w:val="24"/>
          <w:szCs w:val="24"/>
        </w:rPr>
        <w:t>AM-ul</w:t>
      </w:r>
      <w:proofErr w:type="spellEnd"/>
      <w:r w:rsidRPr="00C53B4B">
        <w:rPr>
          <w:rFonts w:eastAsia="Trebuchet MS" w:cs="Trebuchet MS"/>
          <w:sz w:val="24"/>
          <w:szCs w:val="24"/>
        </w:rPr>
        <w:t xml:space="preserve"> responsabil (în funcție de specificul proiectului), va  deschide sistemul </w:t>
      </w:r>
      <w:proofErr w:type="spellStart"/>
      <w:r w:rsidRPr="00C53B4B">
        <w:rPr>
          <w:rFonts w:eastAsia="Trebuchet MS" w:cs="Trebuchet MS"/>
          <w:sz w:val="24"/>
          <w:szCs w:val="24"/>
        </w:rPr>
        <w:t>MySMIS</w:t>
      </w:r>
      <w:proofErr w:type="spellEnd"/>
      <w:r w:rsidRPr="00C53B4B">
        <w:rPr>
          <w:rFonts w:eastAsia="Trebuchet MS" w:cs="Trebuchet MS"/>
          <w:sz w:val="24"/>
          <w:szCs w:val="24"/>
        </w:rPr>
        <w:t>, în vederea încărcării de către beneficiari a proiectelor aferente fișelor aprobate.</w:t>
      </w:r>
    </w:p>
    <w:p w14:paraId="73C1C59E" w14:textId="2C1DD6CF" w:rsidR="00C83BA8" w:rsidRPr="000000C3" w:rsidRDefault="00C83BA8" w:rsidP="009941AE">
      <w:pPr>
        <w:spacing w:after="60" w:line="240" w:lineRule="auto"/>
        <w:jc w:val="both"/>
        <w:rPr>
          <w:rFonts w:eastAsia="Trebuchet MS" w:cs="Trebuchet MS"/>
          <w:sz w:val="24"/>
          <w:szCs w:val="24"/>
        </w:rPr>
      </w:pPr>
      <w:r w:rsidRPr="000000C3">
        <w:rPr>
          <w:rFonts w:eastAsia="Trebuchet MS" w:cs="Trebuchet MS"/>
          <w:sz w:val="24"/>
          <w:szCs w:val="24"/>
        </w:rPr>
        <w:t>În cazul comunităților marginalizate rurale</w:t>
      </w:r>
      <w:r w:rsidRPr="000000C3">
        <w:rPr>
          <w:sz w:val="24"/>
          <w:szCs w:val="24"/>
        </w:rPr>
        <w:t xml:space="preserve"> </w:t>
      </w:r>
      <w:r w:rsidRPr="000000C3">
        <w:rPr>
          <w:rFonts w:eastAsia="Trebuchet MS" w:cs="Trebuchet MS"/>
          <w:sz w:val="24"/>
          <w:szCs w:val="24"/>
        </w:rPr>
        <w:t xml:space="preserve">și din orașele sub 20.000 locuitori, implementarea principiilor DLRC s-a făcut prin utilizarea instrumentului LEADER prin Măsura 19 a PNDR. Dintre cele 239 de </w:t>
      </w:r>
      <w:proofErr w:type="spellStart"/>
      <w:r w:rsidRPr="000000C3">
        <w:rPr>
          <w:rFonts w:eastAsia="Trebuchet MS" w:cs="Trebuchet MS"/>
          <w:sz w:val="24"/>
          <w:szCs w:val="24"/>
        </w:rPr>
        <w:t>SDL-uri</w:t>
      </w:r>
      <w:proofErr w:type="spellEnd"/>
      <w:r w:rsidRPr="000000C3">
        <w:rPr>
          <w:rFonts w:eastAsia="Trebuchet MS" w:cs="Trebuchet MS"/>
          <w:sz w:val="24"/>
          <w:szCs w:val="24"/>
        </w:rPr>
        <w:t xml:space="preserve"> selectate în vederea finanțării, 130 și-au prevăzut măsuri de infrastructură socială care pot fi finanțate complementar în cadrul POCU (AP 5, obiectivul specific 5.2</w:t>
      </w:r>
      <w:r w:rsidR="002D0709" w:rsidRPr="000000C3">
        <w:rPr>
          <w:rFonts w:eastAsia="Trebuchet MS" w:cs="Trebuchet MS"/>
          <w:sz w:val="24"/>
          <w:szCs w:val="24"/>
        </w:rPr>
        <w:t xml:space="preserve"> - au fost</w:t>
      </w:r>
      <w:r w:rsidRPr="000000C3">
        <w:rPr>
          <w:rFonts w:eastAsia="Trebuchet MS" w:cs="Trebuchet MS"/>
          <w:sz w:val="24"/>
          <w:szCs w:val="24"/>
        </w:rPr>
        <w:t xml:space="preserve"> lansate, în ianuarie 2018, 2 apeluri „</w:t>
      </w:r>
      <w:r w:rsidRPr="000000C3">
        <w:rPr>
          <w:rFonts w:eastAsia="Trebuchet MS" w:cs="Trebuchet MS"/>
          <w:i/>
          <w:sz w:val="24"/>
          <w:szCs w:val="24"/>
        </w:rPr>
        <w:t>Implementarea Strategiilor de Dezvoltare Locală  în zona rurală și orașe cu populație de până  la 20.000 locuitori</w:t>
      </w:r>
      <w:r w:rsidRPr="000000C3">
        <w:rPr>
          <w:rFonts w:eastAsia="Trebuchet MS" w:cs="Trebuchet MS"/>
          <w:sz w:val="24"/>
          <w:szCs w:val="24"/>
        </w:rPr>
        <w:t>” în cadrul cărora au fost depuse 94 de proiecte cu o valoare totală eligibilă de 90,9 mil</w:t>
      </w:r>
      <w:r w:rsidR="002D0709" w:rsidRPr="000000C3">
        <w:rPr>
          <w:rFonts w:eastAsia="Trebuchet MS" w:cs="Trebuchet MS"/>
          <w:sz w:val="24"/>
          <w:szCs w:val="24"/>
        </w:rPr>
        <w:t xml:space="preserve">. </w:t>
      </w:r>
      <w:r w:rsidRPr="000000C3">
        <w:rPr>
          <w:rFonts w:eastAsia="Trebuchet MS" w:cs="Trebuchet MS"/>
          <w:sz w:val="24"/>
          <w:szCs w:val="24"/>
        </w:rPr>
        <w:t>€</w:t>
      </w:r>
      <w:r w:rsidR="002D0709" w:rsidRPr="000000C3">
        <w:rPr>
          <w:rFonts w:eastAsia="Trebuchet MS" w:cs="Trebuchet MS"/>
          <w:sz w:val="24"/>
          <w:szCs w:val="24"/>
        </w:rPr>
        <w:t>)</w:t>
      </w:r>
      <w:r w:rsidRPr="000000C3">
        <w:rPr>
          <w:rFonts w:eastAsia="Trebuchet MS" w:cs="Trebuchet MS"/>
          <w:sz w:val="24"/>
          <w:szCs w:val="24"/>
        </w:rPr>
        <w:t>.</w:t>
      </w:r>
    </w:p>
    <w:p w14:paraId="6BC73156" w14:textId="4C31019C" w:rsidR="00C83BA8" w:rsidRPr="00C53B4B" w:rsidRDefault="00C83BA8" w:rsidP="009941AE">
      <w:pPr>
        <w:spacing w:after="60" w:line="240" w:lineRule="auto"/>
        <w:jc w:val="both"/>
        <w:rPr>
          <w:rFonts w:eastAsia="Trebuchet MS" w:cs="Trebuchet MS"/>
          <w:color w:val="FF0000"/>
          <w:sz w:val="24"/>
          <w:szCs w:val="24"/>
        </w:rPr>
      </w:pPr>
      <w:r w:rsidRPr="000000C3">
        <w:rPr>
          <w:rFonts w:eastAsia="Trebuchet MS" w:cs="Trebuchet MS"/>
          <w:sz w:val="24"/>
          <w:szCs w:val="24"/>
        </w:rPr>
        <w:t>Până la data</w:t>
      </w:r>
      <w:r w:rsidRPr="00C53B4B">
        <w:rPr>
          <w:rFonts w:eastAsia="Trebuchet MS" w:cs="Trebuchet MS"/>
          <w:sz w:val="24"/>
          <w:szCs w:val="24"/>
        </w:rPr>
        <w:t xml:space="preserve"> de 31 decembrie 2018, la nivelul </w:t>
      </w:r>
      <w:proofErr w:type="spellStart"/>
      <w:r w:rsidRPr="00C53B4B">
        <w:rPr>
          <w:rFonts w:eastAsia="Trebuchet MS" w:cs="Trebuchet MS"/>
          <w:sz w:val="24"/>
          <w:szCs w:val="24"/>
        </w:rPr>
        <w:t>GAL-urilor</w:t>
      </w:r>
      <w:proofErr w:type="spellEnd"/>
      <w:r w:rsidRPr="00C53B4B">
        <w:rPr>
          <w:rFonts w:eastAsia="Trebuchet MS" w:cs="Trebuchet MS"/>
          <w:sz w:val="24"/>
          <w:szCs w:val="24"/>
        </w:rPr>
        <w:t xml:space="preserve"> din zona rurală au fost selectate 123 de proiecte care au prevăzute astfel de operațiuni cu o valoare de aprox. 7 </w:t>
      </w:r>
      <w:proofErr w:type="spellStart"/>
      <w:r w:rsidRPr="00C53B4B">
        <w:rPr>
          <w:rFonts w:eastAsia="Trebuchet MS" w:cs="Trebuchet MS"/>
          <w:sz w:val="24"/>
          <w:szCs w:val="24"/>
        </w:rPr>
        <w:t>mil.€</w:t>
      </w:r>
      <w:proofErr w:type="spellEnd"/>
      <w:r w:rsidRPr="00C53B4B">
        <w:rPr>
          <w:rFonts w:eastAsia="Trebuchet MS" w:cs="Trebuchet MS"/>
          <w:sz w:val="24"/>
          <w:szCs w:val="24"/>
        </w:rPr>
        <w:t>.</w:t>
      </w:r>
      <w:r w:rsidR="00B60185" w:rsidRPr="00C53B4B">
        <w:rPr>
          <w:rFonts w:eastAsia="Trebuchet MS" w:cs="Trebuchet MS"/>
          <w:sz w:val="24"/>
          <w:szCs w:val="24"/>
        </w:rPr>
        <w:t xml:space="preserve"> și</w:t>
      </w:r>
      <w:r w:rsidRPr="00C53B4B">
        <w:rPr>
          <w:rFonts w:eastAsia="Trebuchet MS" w:cs="Trebuchet MS"/>
          <w:sz w:val="24"/>
          <w:szCs w:val="24"/>
        </w:rPr>
        <w:t xml:space="preserve"> au fost efectuate plăți în valoare de peste 0,6 </w:t>
      </w:r>
      <w:proofErr w:type="spellStart"/>
      <w:r w:rsidRPr="00C53B4B">
        <w:rPr>
          <w:rFonts w:eastAsia="Trebuchet MS" w:cs="Trebuchet MS"/>
          <w:sz w:val="24"/>
          <w:szCs w:val="24"/>
        </w:rPr>
        <w:t>mil.€</w:t>
      </w:r>
      <w:proofErr w:type="spellEnd"/>
      <w:r w:rsidRPr="00C53B4B">
        <w:rPr>
          <w:rFonts w:eastAsia="Trebuchet MS" w:cs="Trebuchet MS"/>
          <w:sz w:val="24"/>
          <w:szCs w:val="24"/>
        </w:rPr>
        <w:t>, aferente acestor proiecte.</w:t>
      </w:r>
    </w:p>
    <w:p w14:paraId="53BCA2A8" w14:textId="77777777" w:rsidR="00C83BA8" w:rsidRPr="00C53B4B" w:rsidRDefault="00C83BA8" w:rsidP="009941AE">
      <w:pPr>
        <w:spacing w:after="60" w:line="240" w:lineRule="auto"/>
        <w:jc w:val="both"/>
        <w:rPr>
          <w:rFonts w:eastAsia="Trebuchet MS" w:cs="Trebuchet MS"/>
          <w:sz w:val="24"/>
          <w:szCs w:val="24"/>
        </w:rPr>
      </w:pPr>
      <w:r w:rsidRPr="00C53B4B">
        <w:rPr>
          <w:rFonts w:eastAsia="Trebuchet MS" w:cs="Trebuchet MS"/>
          <w:sz w:val="24"/>
          <w:szCs w:val="24"/>
        </w:rPr>
        <w:t xml:space="preserve">AM PNDR a revizuit documentele suport pentru implementarea SDL fiind create toate premisele pentru îmbunătățirea procesului de selecție și implementare a proiectelor în cadrul Strategiilor LEADER, atât cu finanțare PNDR, cât și cu finanțare POCU.  De asemenea, AM PNDR a finalizat și publicat ”Ghidul solicitantului pentru pregătirea și implementarea activităților de cooperare ale grupurilor de acțiune locală”, oferind posibilitatea cooperării între </w:t>
      </w:r>
      <w:proofErr w:type="spellStart"/>
      <w:r w:rsidRPr="00C53B4B">
        <w:rPr>
          <w:rFonts w:eastAsia="Trebuchet MS" w:cs="Trebuchet MS"/>
          <w:sz w:val="24"/>
          <w:szCs w:val="24"/>
        </w:rPr>
        <w:t>GAL-urile</w:t>
      </w:r>
      <w:proofErr w:type="spellEnd"/>
      <w:r w:rsidRPr="00C53B4B">
        <w:rPr>
          <w:rFonts w:eastAsia="Trebuchet MS" w:cs="Trebuchet MS"/>
          <w:sz w:val="24"/>
          <w:szCs w:val="24"/>
        </w:rPr>
        <w:t xml:space="preserve"> rurale și cele urbane, pe domenii de interes comune.</w:t>
      </w:r>
    </w:p>
    <w:p w14:paraId="06B8EEF6" w14:textId="77777777" w:rsidR="00C83BA8" w:rsidRPr="00C53B4B" w:rsidRDefault="00C83BA8" w:rsidP="009941AE">
      <w:pPr>
        <w:spacing w:after="60" w:line="240" w:lineRule="auto"/>
        <w:jc w:val="both"/>
        <w:rPr>
          <w:rFonts w:eastAsia="Trebuchet MS" w:cs="Trebuchet MS"/>
          <w:i/>
          <w:sz w:val="24"/>
          <w:szCs w:val="24"/>
        </w:rPr>
      </w:pPr>
      <w:r w:rsidRPr="00C53B4B">
        <w:rPr>
          <w:rFonts w:eastAsia="Trebuchet MS" w:cs="Trebuchet MS"/>
          <w:sz w:val="24"/>
          <w:szCs w:val="24"/>
        </w:rPr>
        <w:t>Prin POPAM, sprijinul pentru implementarea DLRC se acordă pentru strategii care urmăresc crearea de locuri de muncă, atragerea tinerilor şi promovarea inovării, consolidarea rolului comunităţilor pescăreşti și dezvoltarea locală prin diversificarea spre activităţi alternative şi complementare, capitalizarea atuurilor de mediu ale zonelor de pescuit şi de acvacultură.</w:t>
      </w:r>
      <w:r w:rsidR="006E6EED" w:rsidRPr="00C53B4B">
        <w:rPr>
          <w:rFonts w:eastAsia="Trebuchet MS" w:cs="Trebuchet MS"/>
          <w:sz w:val="24"/>
          <w:szCs w:val="24"/>
        </w:rPr>
        <w:t xml:space="preserve"> </w:t>
      </w:r>
      <w:r w:rsidRPr="00C53B4B">
        <w:rPr>
          <w:rFonts w:eastAsia="Trebuchet MS" w:cs="Trebuchet MS"/>
          <w:sz w:val="24"/>
          <w:szCs w:val="24"/>
        </w:rPr>
        <w:t>În urma celor două apeluri pentru selectarea strategiilor de dezvoltare locală, au fost depuse 29 cereri de finanțare, din care au fost selectate 23 (79,31)%. Valoarea totală a strategiilor 2017-2023 selectate este de peste 66 mil. €, din care valoarea totală publică a cheltuielilor de funcționare este de 9,4mil. €. Au fost contractate 10 proiecte din cadrul strategiilor locale, cu o valoare publică de aprox. 11 mil. €.</w:t>
      </w:r>
    </w:p>
    <w:p w14:paraId="7FB4045E" w14:textId="77777777" w:rsidR="0036080C" w:rsidRPr="00C1729E" w:rsidRDefault="0036080C" w:rsidP="009941AE">
      <w:pPr>
        <w:spacing w:after="60" w:line="240" w:lineRule="auto"/>
        <w:jc w:val="both"/>
        <w:rPr>
          <w:sz w:val="24"/>
          <w:szCs w:val="24"/>
        </w:rPr>
      </w:pPr>
    </w:p>
    <w:p w14:paraId="38188269" w14:textId="77777777" w:rsidR="0036080C" w:rsidRPr="00C1729E" w:rsidRDefault="00481D57" w:rsidP="009941AE">
      <w:pPr>
        <w:pStyle w:val="ListParagraph"/>
        <w:numPr>
          <w:ilvl w:val="0"/>
          <w:numId w:val="10"/>
        </w:numPr>
        <w:spacing w:after="60" w:line="240" w:lineRule="auto"/>
        <w:jc w:val="both"/>
        <w:rPr>
          <w:color w:val="548DD4" w:themeColor="text2" w:themeTint="99"/>
        </w:rPr>
      </w:pPr>
      <w:r w:rsidRPr="00C1729E">
        <w:rPr>
          <w:color w:val="548DD4" w:themeColor="text2" w:themeTint="99"/>
        </w:rPr>
        <w:lastRenderedPageBreak/>
        <w:t>În legătură cu articolul 15 alineatul (2) litera (a) punctul (i) din Regulamentul (UE) nr. 1303/2013 — Prezentare generală a implementării investițiilor teritoriale integrate, dacă este cazul.</w:t>
      </w:r>
    </w:p>
    <w:p w14:paraId="1F4FBE27" w14:textId="16C064EA"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sz w:val="24"/>
          <w:szCs w:val="24"/>
          <w:lang w:eastAsia="ro-RO"/>
        </w:rPr>
        <w:t xml:space="preserve">Instrumentul ITI beneficiază de o alocare </w:t>
      </w:r>
      <w:proofErr w:type="spellStart"/>
      <w:r w:rsidRPr="00C53B4B">
        <w:rPr>
          <w:rFonts w:eastAsia="Trebuchet MS" w:cs="Trebuchet MS"/>
          <w:sz w:val="24"/>
          <w:szCs w:val="24"/>
          <w:lang w:eastAsia="ro-RO"/>
        </w:rPr>
        <w:t>multi</w:t>
      </w:r>
      <w:r w:rsidR="000000C3">
        <w:rPr>
          <w:rFonts w:eastAsia="Trebuchet MS" w:cs="Trebuchet MS"/>
          <w:sz w:val="24"/>
          <w:szCs w:val="24"/>
          <w:lang w:eastAsia="ro-RO"/>
        </w:rPr>
        <w:t>-</w:t>
      </w:r>
      <w:r w:rsidRPr="00C53B4B">
        <w:rPr>
          <w:rFonts w:eastAsia="Trebuchet MS" w:cs="Trebuchet MS"/>
          <w:sz w:val="24"/>
          <w:szCs w:val="24"/>
          <w:lang w:eastAsia="ro-RO"/>
        </w:rPr>
        <w:t>fond</w:t>
      </w:r>
      <w:proofErr w:type="spellEnd"/>
      <w:r w:rsidRPr="00C53B4B">
        <w:rPr>
          <w:rFonts w:eastAsia="Trebuchet MS" w:cs="Trebuchet MS"/>
          <w:sz w:val="24"/>
          <w:szCs w:val="24"/>
          <w:lang w:eastAsia="ro-RO"/>
        </w:rPr>
        <w:t xml:space="preserve"> în valoare de 1.111,7 mil. euro, reprezentând investiții din FEDR, FSE, FC, FEADR și FEPAM, care au în prim plan Rezervația Biosferei Delta Dunării cu întregul său patrimoniu natural şi cultural. Situația implementării ITI la sfârșitul lunii decembrie 2018 se prezenta astfel:</w:t>
      </w:r>
    </w:p>
    <w:p w14:paraId="513EA6FF" w14:textId="77777777" w:rsidR="00D73BB2" w:rsidRPr="000000C3" w:rsidRDefault="00D73BB2" w:rsidP="009941AE">
      <w:pPr>
        <w:spacing w:after="0" w:line="240" w:lineRule="auto"/>
        <w:jc w:val="both"/>
        <w:rPr>
          <w:rFonts w:eastAsia="Trebuchet MS" w:cs="Trebuchet MS"/>
          <w:sz w:val="24"/>
          <w:szCs w:val="24"/>
          <w:lang w:eastAsia="ro-RO"/>
        </w:rPr>
      </w:pPr>
      <w:r w:rsidRPr="000000C3">
        <w:rPr>
          <w:rFonts w:eastAsia="Trebuchet MS" w:cs="Trebuchet MS"/>
          <w:sz w:val="24"/>
          <w:szCs w:val="24"/>
          <w:lang w:eastAsia="ro-RO"/>
        </w:rPr>
        <w:t>POR (alocare 358,11 mil. € FEDR) - au fost depuse 516 proiecte relevate pentru ITI DD, reprezentând 104 % din valoarea alocării  FEDR dedicată</w:t>
      </w:r>
    </w:p>
    <w:p w14:paraId="6B9973C1" w14:textId="77777777" w:rsidR="00D73BB2" w:rsidRPr="000000C3" w:rsidRDefault="00D73BB2" w:rsidP="009941AE">
      <w:pPr>
        <w:spacing w:after="0" w:line="240" w:lineRule="auto"/>
        <w:jc w:val="both"/>
        <w:rPr>
          <w:rFonts w:eastAsia="Times New Roman" w:cs="Times New Roman"/>
          <w:sz w:val="24"/>
          <w:szCs w:val="24"/>
        </w:rPr>
      </w:pPr>
      <w:r w:rsidRPr="000000C3">
        <w:rPr>
          <w:rFonts w:eastAsia="Trebuchet MS" w:cs="Trebuchet MS"/>
          <w:sz w:val="24"/>
          <w:szCs w:val="24"/>
          <w:lang w:eastAsia="ro-RO"/>
        </w:rPr>
        <w:t xml:space="preserve">Apeluri lansate </w:t>
      </w:r>
      <w:r w:rsidRPr="000000C3">
        <w:rPr>
          <w:rFonts w:eastAsia="Times New Roman" w:cs="Times New Roman"/>
          <w:sz w:val="24"/>
          <w:szCs w:val="24"/>
        </w:rPr>
        <w:t>dedicate ITI DD:</w:t>
      </w:r>
    </w:p>
    <w:p w14:paraId="78FA9B43" w14:textId="77777777" w:rsidR="00D73BB2" w:rsidRPr="00C53B4B" w:rsidRDefault="00D73BB2" w:rsidP="009941AE">
      <w:pPr>
        <w:numPr>
          <w:ilvl w:val="0"/>
          <w:numId w:val="12"/>
        </w:numPr>
        <w:spacing w:after="0" w:line="240" w:lineRule="auto"/>
        <w:jc w:val="both"/>
        <w:rPr>
          <w:rFonts w:eastAsia="Times New Roman" w:cs="Times New Roman"/>
          <w:sz w:val="24"/>
          <w:szCs w:val="24"/>
        </w:rPr>
      </w:pPr>
      <w:r w:rsidRPr="000000C3">
        <w:rPr>
          <w:rFonts w:eastAsia="Times New Roman" w:cs="Times New Roman"/>
          <w:sz w:val="24"/>
          <w:szCs w:val="24"/>
        </w:rPr>
        <w:t>AP 2 (competitivitate IMM): trei apeluri de proiecte - au fost depuse 443 de proiecte cu o</w:t>
      </w:r>
      <w:r w:rsidRPr="00C53B4B">
        <w:rPr>
          <w:rFonts w:eastAsia="Times New Roman" w:cs="Times New Roman"/>
          <w:sz w:val="24"/>
          <w:szCs w:val="24"/>
        </w:rPr>
        <w:t xml:space="preserve"> valoare nerambursabilă de 263,84 mil. €.</w:t>
      </w:r>
    </w:p>
    <w:p w14:paraId="412345C3" w14:textId="77777777" w:rsidR="00D73BB2" w:rsidRPr="00C53B4B" w:rsidRDefault="00D73BB2" w:rsidP="009941AE">
      <w:pPr>
        <w:numPr>
          <w:ilvl w:val="0"/>
          <w:numId w:val="12"/>
        </w:numPr>
        <w:spacing w:after="0" w:line="240" w:lineRule="auto"/>
        <w:jc w:val="both"/>
        <w:rPr>
          <w:rFonts w:eastAsia="Times New Roman" w:cs="Times New Roman"/>
          <w:sz w:val="24"/>
          <w:szCs w:val="24"/>
        </w:rPr>
      </w:pPr>
      <w:r w:rsidRPr="00C53B4B">
        <w:rPr>
          <w:rFonts w:eastAsia="Times New Roman" w:cs="Times New Roman"/>
          <w:sz w:val="24"/>
          <w:szCs w:val="24"/>
        </w:rPr>
        <w:t xml:space="preserve">AP 3 (eficiență energetică, reducere emisii carbon): patru apeluri de proiecte - au fost depuse 20 de proiecte cu o valoare nerambursabilă de 37 mil. €. </w:t>
      </w:r>
    </w:p>
    <w:p w14:paraId="01381D64" w14:textId="77777777" w:rsidR="00D73BB2" w:rsidRPr="00C53B4B" w:rsidRDefault="00D73BB2" w:rsidP="009941AE">
      <w:pPr>
        <w:numPr>
          <w:ilvl w:val="0"/>
          <w:numId w:val="12"/>
        </w:numPr>
        <w:spacing w:after="0" w:line="240" w:lineRule="auto"/>
        <w:jc w:val="both"/>
        <w:rPr>
          <w:rFonts w:eastAsia="Times New Roman" w:cs="Times New Roman"/>
          <w:sz w:val="24"/>
          <w:szCs w:val="24"/>
        </w:rPr>
      </w:pPr>
      <w:r w:rsidRPr="00C53B4B">
        <w:rPr>
          <w:rFonts w:eastAsia="Times New Roman" w:cs="Times New Roman"/>
          <w:sz w:val="24"/>
          <w:szCs w:val="24"/>
        </w:rPr>
        <w:t>AP 5 (patrimoniu – conservare, protejare): două apeluri de proiecte - au fost depuse 9 proiecte cu o valoare nerambursabilă de 28,4 mil. €.</w:t>
      </w:r>
    </w:p>
    <w:p w14:paraId="60CC26BF" w14:textId="77777777" w:rsidR="00D73BB2" w:rsidRPr="00C53B4B" w:rsidRDefault="00D73BB2" w:rsidP="009941AE">
      <w:pPr>
        <w:numPr>
          <w:ilvl w:val="0"/>
          <w:numId w:val="12"/>
        </w:numPr>
        <w:spacing w:after="0" w:line="240" w:lineRule="auto"/>
        <w:jc w:val="both"/>
        <w:rPr>
          <w:rFonts w:eastAsia="Times New Roman" w:cs="Times New Roman"/>
          <w:sz w:val="24"/>
          <w:szCs w:val="24"/>
        </w:rPr>
      </w:pPr>
      <w:r w:rsidRPr="00C53B4B">
        <w:rPr>
          <w:rFonts w:eastAsia="Times New Roman" w:cs="Times New Roman"/>
          <w:sz w:val="24"/>
          <w:szCs w:val="24"/>
        </w:rPr>
        <w:t>AP 6 (accesibilitate prin modernizare drumuri județene): un apel de proiecte - au fost depuse 6 proiecte cu o valoare nerambursabilă de 63,4 mil. €.</w:t>
      </w:r>
    </w:p>
    <w:p w14:paraId="12F747AE" w14:textId="77777777" w:rsidR="00D73BB2" w:rsidRPr="00C53B4B" w:rsidRDefault="00D73BB2" w:rsidP="009941AE">
      <w:pPr>
        <w:numPr>
          <w:ilvl w:val="0"/>
          <w:numId w:val="12"/>
        </w:numPr>
        <w:spacing w:after="0" w:line="240" w:lineRule="auto"/>
        <w:jc w:val="both"/>
        <w:rPr>
          <w:rFonts w:eastAsia="Times New Roman" w:cs="Times New Roman"/>
          <w:sz w:val="24"/>
          <w:szCs w:val="24"/>
        </w:rPr>
      </w:pPr>
      <w:r w:rsidRPr="00C53B4B">
        <w:rPr>
          <w:rFonts w:eastAsia="Times New Roman" w:cs="Times New Roman"/>
          <w:sz w:val="24"/>
          <w:szCs w:val="24"/>
        </w:rPr>
        <w:t xml:space="preserve">AP 7 (turism): două apeluri de proiecte în cadrul cărora nu au fost depuse proiecte </w:t>
      </w:r>
    </w:p>
    <w:p w14:paraId="3385986E" w14:textId="77777777" w:rsidR="00D73BB2" w:rsidRPr="00C53B4B" w:rsidRDefault="00D73BB2" w:rsidP="009941AE">
      <w:pPr>
        <w:numPr>
          <w:ilvl w:val="0"/>
          <w:numId w:val="12"/>
        </w:numPr>
        <w:spacing w:after="0" w:line="240" w:lineRule="auto"/>
        <w:ind w:left="714" w:hanging="357"/>
        <w:jc w:val="both"/>
        <w:rPr>
          <w:rFonts w:eastAsia="Times New Roman" w:cs="Times New Roman"/>
          <w:sz w:val="24"/>
          <w:szCs w:val="24"/>
        </w:rPr>
      </w:pPr>
      <w:r w:rsidRPr="00C53B4B">
        <w:rPr>
          <w:rFonts w:eastAsia="Times New Roman" w:cs="Times New Roman"/>
          <w:sz w:val="24"/>
          <w:szCs w:val="24"/>
        </w:rPr>
        <w:t>AP 8 (accesibilitate servicii sănătate, comunitare): opt apeluri de proiecte - au fost depuse 8 proiecte cu o valoare nerambursabilă de 10,7 mil. €.</w:t>
      </w:r>
    </w:p>
    <w:p w14:paraId="273592F9" w14:textId="77777777" w:rsidR="00D73BB2" w:rsidRPr="00C53B4B" w:rsidRDefault="00D73BB2" w:rsidP="009941AE">
      <w:pPr>
        <w:numPr>
          <w:ilvl w:val="0"/>
          <w:numId w:val="12"/>
        </w:numPr>
        <w:spacing w:after="0" w:line="240" w:lineRule="auto"/>
        <w:ind w:left="714" w:hanging="357"/>
        <w:jc w:val="both"/>
        <w:rPr>
          <w:rFonts w:eastAsia="Times New Roman" w:cs="Times New Roman"/>
          <w:sz w:val="24"/>
          <w:szCs w:val="24"/>
        </w:rPr>
      </w:pPr>
      <w:r w:rsidRPr="00C53B4B">
        <w:rPr>
          <w:rFonts w:eastAsia="Times New Roman" w:cs="Times New Roman"/>
          <w:sz w:val="24"/>
          <w:szCs w:val="24"/>
        </w:rPr>
        <w:t>AP 10 (infrastructură educație): trei apeluri de proiecte - au fost depuse 27 proiecte cu o valoare nerambursabilă de 28 mil. €.</w:t>
      </w:r>
    </w:p>
    <w:p w14:paraId="4D541A38" w14:textId="77777777" w:rsidR="00D73BB2" w:rsidRPr="00C53B4B" w:rsidRDefault="00D73BB2" w:rsidP="009941AE">
      <w:pPr>
        <w:numPr>
          <w:ilvl w:val="0"/>
          <w:numId w:val="12"/>
        </w:numPr>
        <w:spacing w:after="0" w:line="240" w:lineRule="auto"/>
        <w:ind w:left="714" w:hanging="357"/>
        <w:jc w:val="both"/>
        <w:rPr>
          <w:rFonts w:eastAsia="Times New Roman" w:cs="Times New Roman"/>
          <w:sz w:val="24"/>
          <w:szCs w:val="24"/>
        </w:rPr>
      </w:pPr>
      <w:r w:rsidRPr="00C53B4B">
        <w:rPr>
          <w:rFonts w:eastAsia="Times New Roman" w:cs="Times New Roman"/>
          <w:sz w:val="24"/>
          <w:szCs w:val="24"/>
        </w:rPr>
        <w:t xml:space="preserve">AP 13 (infrastructura socială): un apel de proiecte - au fost depuse 3 proiecte cu o valoare nerambursabilă de 7,74 mil. €. </w:t>
      </w:r>
    </w:p>
    <w:p w14:paraId="2E7EC64A" w14:textId="77777777"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sz w:val="24"/>
          <w:szCs w:val="24"/>
          <w:lang w:eastAsia="ro-RO"/>
        </w:rPr>
        <w:t>Apeluri pentru AP 8 – Spital Județean ITI și AP 6 – axa 6.2 Transport naval în Delta Dunării vor fi lansate în 2019.</w:t>
      </w:r>
    </w:p>
    <w:p w14:paraId="5089C698" w14:textId="0FC69F24"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b/>
          <w:sz w:val="24"/>
          <w:szCs w:val="24"/>
          <w:lang w:eastAsia="ro-RO"/>
        </w:rPr>
        <w:t xml:space="preserve">POC (alocare de 60 mil. € FEDR) - </w:t>
      </w:r>
      <w:r w:rsidRPr="00C53B4B">
        <w:rPr>
          <w:rFonts w:eastAsia="Trebuchet MS" w:cs="Trebuchet MS"/>
          <w:sz w:val="24"/>
          <w:szCs w:val="24"/>
          <w:lang w:eastAsia="ro-RO"/>
        </w:rPr>
        <w:t xml:space="preserve">pentru finanțarea proiectelor aferente ITI Delta Dunării au fost prevăzute alocări dedicate de peste 12,2 mil. € FEDR, în cadrul a 5 apeluri de proiecte astfel: AP1 - Proiect tehnologic inovativ; AP 2 – NGN, E-cultura, E-educație, E-sănătate. </w:t>
      </w:r>
      <w:r w:rsidR="00B60185" w:rsidRPr="00C53B4B">
        <w:rPr>
          <w:rFonts w:eastAsia="Trebuchet MS" w:cs="Trebuchet MS"/>
          <w:sz w:val="24"/>
          <w:szCs w:val="24"/>
          <w:lang w:eastAsia="ro-RO"/>
        </w:rPr>
        <w:t>P</w:t>
      </w:r>
      <w:r w:rsidRPr="00C53B4B">
        <w:rPr>
          <w:rFonts w:eastAsia="Trebuchet MS" w:cs="Trebuchet MS"/>
          <w:sz w:val="24"/>
          <w:szCs w:val="24"/>
          <w:lang w:eastAsia="ro-RO"/>
        </w:rPr>
        <w:t>entru apelurile dedicate E-educație şi E-sănătate, beneficiarii  - Ministerul Educației Naționale și Ministerul Sănătății, au obligația să menționeze suma alocată intervenției în zona ITI Delta Dunării în cererea de finanțare. Este în analiză decizia privind finanțarea din AP1 a unui proiect de suport pentru pregătirea proiectului major Danubius RI.</w:t>
      </w:r>
    </w:p>
    <w:p w14:paraId="50949A85" w14:textId="77777777"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b/>
          <w:sz w:val="24"/>
          <w:szCs w:val="24"/>
          <w:lang w:eastAsia="ro-RO"/>
        </w:rPr>
        <w:t>POCU</w:t>
      </w:r>
      <w:r w:rsidRPr="00C53B4B">
        <w:rPr>
          <w:rFonts w:eastAsia="Trebuchet MS" w:cs="Trebuchet MS"/>
          <w:sz w:val="24"/>
          <w:szCs w:val="24"/>
          <w:lang w:eastAsia="ro-RO"/>
        </w:rPr>
        <w:t xml:space="preserve"> </w:t>
      </w:r>
      <w:r w:rsidRPr="00C53B4B">
        <w:rPr>
          <w:rFonts w:eastAsia="Trebuchet MS" w:cs="Trebuchet MS"/>
          <w:b/>
          <w:sz w:val="24"/>
          <w:szCs w:val="24"/>
          <w:lang w:eastAsia="ro-RO"/>
        </w:rPr>
        <w:t>(alocare de 60 mil. € FSE)</w:t>
      </w:r>
      <w:r w:rsidRPr="00C53B4B">
        <w:rPr>
          <w:rFonts w:eastAsia="Trebuchet MS" w:cs="Trebuchet MS"/>
          <w:sz w:val="24"/>
          <w:szCs w:val="24"/>
          <w:lang w:eastAsia="ro-RO"/>
        </w:rPr>
        <w:t xml:space="preserve"> - </w:t>
      </w:r>
      <w:r w:rsidRPr="00C53B4B">
        <w:rPr>
          <w:rFonts w:eastAsia="Trebuchet MS" w:cs="Trebuchet MS"/>
          <w:i/>
          <w:sz w:val="24"/>
          <w:szCs w:val="24"/>
          <w:lang w:eastAsia="ro-RO"/>
        </w:rPr>
        <w:t>Au fost lansate 2 apeluri dedicate exclusiv regiunii ITI DD</w:t>
      </w:r>
      <w:r w:rsidRPr="00C53B4B">
        <w:rPr>
          <w:rFonts w:eastAsia="Trebuchet MS" w:cs="Trebuchet MS"/>
          <w:sz w:val="24"/>
          <w:szCs w:val="24"/>
          <w:lang w:eastAsia="ro-RO"/>
        </w:rPr>
        <w:t xml:space="preserve"> pregătite cu sprijinul ADI ITI (AP3 – 7 mil. €, Îmbunătățirea nivelului de competențe profesionale și creșterea gradului de ocupare și AP4 - Dezvoltare Locală Integrată, 21,5 mil. €). Au fost selectate 6 proiecte, cu o valoare eligibilă de 12,7 mil. €. Alte 7 proiecte au fost contractate în regiunea ITI în cadrul diferitelor apeluri POCU având o valoare de aprox. 9,6 mil. € pentru derularea de activități integrate pentru reducerea numărului de persoane aflate în risc de sărăcie și excluziune socială din comunitățile marginalizate de pe teritoriul ITI (Măcin, Babadag, Jurilovca), diminuarea fenomenului de părăsire timpurie a școlii, susținerea ocupării forței de muncă. La</w:t>
      </w:r>
      <w:r w:rsidRPr="00C53B4B">
        <w:rPr>
          <w:rFonts w:eastAsia="Trebuchet MS" w:cs="Trebuchet MS"/>
          <w:b/>
          <w:color w:val="FF0000"/>
          <w:sz w:val="24"/>
          <w:szCs w:val="24"/>
          <w:lang w:eastAsia="ro-RO"/>
        </w:rPr>
        <w:t xml:space="preserve"> </w:t>
      </w:r>
      <w:r w:rsidRPr="00C53B4B">
        <w:rPr>
          <w:rFonts w:eastAsia="Trebuchet MS" w:cs="Trebuchet MS"/>
          <w:sz w:val="24"/>
          <w:szCs w:val="24"/>
          <w:lang w:eastAsia="ro-RO"/>
        </w:rPr>
        <w:t>31 dec. 2018, raportat la alocarea dedicata, valoarea proiectelor relevate pentru ITI DD depuse/contractate este de 22%, respectiv 10,7 mil. € FSE; până la 31.12.2018 nu au fost proiecte contractate.</w:t>
      </w:r>
    </w:p>
    <w:p w14:paraId="6FF8D055" w14:textId="77777777"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b/>
          <w:sz w:val="24"/>
          <w:szCs w:val="24"/>
          <w:lang w:eastAsia="ro-RO"/>
        </w:rPr>
        <w:t>POIM</w:t>
      </w:r>
      <w:r w:rsidRPr="00C53B4B">
        <w:rPr>
          <w:rFonts w:eastAsia="Trebuchet MS" w:cs="Trebuchet MS"/>
          <w:sz w:val="24"/>
          <w:szCs w:val="24"/>
          <w:lang w:eastAsia="ro-RO"/>
        </w:rPr>
        <w:t xml:space="preserve"> (alocare de 407 mil. € FEDR, FC) - POIM nu gestionează alocarea prin apeluri separate, dar, în cadrul fiecărui apel, sunt rezervate sumele prevăzute în program pentru ITI DD. Până la finalul anului 2018 au fost depuse un număr de 28 proiecte, în valoare de 163 mil. € (UE+BS) dintre care au fost contractate 11 proiecte în valoare de aprox. 39 mil. € (UE+BS). La 31 dec.2018, raportat la alocarea dedicată, valoarea proiectelor relevate pentru ITI DD depuse este de 36,4 %, respectiv contractate 8,6%).</w:t>
      </w:r>
    </w:p>
    <w:p w14:paraId="375D3BEC" w14:textId="77777777"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sz w:val="24"/>
          <w:szCs w:val="24"/>
          <w:lang w:eastAsia="ro-RO"/>
        </w:rPr>
        <w:lastRenderedPageBreak/>
        <w:t>Stadiul pregătirii/implementării proiectelor de importanță strategică pentru teritoriul ITI:</w:t>
      </w:r>
    </w:p>
    <w:p w14:paraId="0ED0AE12"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Pod suspendat peste Dunăre in zona Brăila (valoare eligibilă estimată de 427,5 mil. €, beneficiar CNAIR – proiect major) - cerere de finanțare depusă la 3.12.2018;</w:t>
      </w:r>
    </w:p>
    <w:p w14:paraId="76B29A23"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Creșterea siguranței și securității pasagerilor pe Aeroportul ”Delta Dunării Tulcea - valoare eligibilă estimată de 12,7 mil. € - contractat.</w:t>
      </w:r>
    </w:p>
    <w:p w14:paraId="3CD03A5C"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 Modernizarea portului Tulcea de la mm 38+1530 la mm 38+800” (39,21 mil. €) - cerere de finanțare depusă la 14.12.2018</w:t>
      </w:r>
    </w:p>
    <w:p w14:paraId="1B5BA8D3"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Modernizare/dezvoltare Port Sulina, Port Isaccea – proiecte în curs de pregătire;</w:t>
      </w:r>
    </w:p>
    <w:p w14:paraId="2668727B"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Apărări de maluri pe Canalul Sulina (valoare eligibilă de 85,63 mil. €, beneficiar Administrația Fluvială a Dunării de Jos Galați – proiect major) - contractat</w:t>
      </w:r>
    </w:p>
    <w:p w14:paraId="0FFCABA2"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Sprijin pentru pregătirea aplicației de finanțare și a documentațiilor de atribuire pentru proiectul regional de dezvoltare a infrastructurii de apă și apa uzată din județul Tulcea în perioada 2014 – 2020 (7,66 mil. €) - contractat</w:t>
      </w:r>
    </w:p>
    <w:p w14:paraId="6B511C3F" w14:textId="77777777" w:rsidR="00D73BB2" w:rsidRPr="00C53B4B" w:rsidRDefault="00D73BB2" w:rsidP="009941AE">
      <w:pPr>
        <w:numPr>
          <w:ilvl w:val="0"/>
          <w:numId w:val="11"/>
        </w:numPr>
        <w:spacing w:after="60" w:line="240" w:lineRule="auto"/>
        <w:ind w:left="851" w:hanging="425"/>
        <w:contextualSpacing/>
        <w:jc w:val="both"/>
        <w:rPr>
          <w:rFonts w:eastAsia="Trebuchet MS" w:cs="Trebuchet MS"/>
          <w:sz w:val="24"/>
          <w:szCs w:val="24"/>
        </w:rPr>
      </w:pPr>
      <w:r w:rsidRPr="00C53B4B">
        <w:rPr>
          <w:rFonts w:eastAsia="Trebuchet MS" w:cs="Trebuchet MS"/>
          <w:sz w:val="24"/>
          <w:szCs w:val="24"/>
        </w:rPr>
        <w:t>Reabilitarea și extinderea sistemelor de alimentare cu apă și de canalizare în județul Tulcea (Faza II, valoare totală eligibilă de 7,66 mil. € - contractat</w:t>
      </w:r>
    </w:p>
    <w:p w14:paraId="21B59825" w14:textId="44680F13"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b/>
          <w:sz w:val="24"/>
          <w:szCs w:val="24"/>
          <w:lang w:eastAsia="ro-RO"/>
        </w:rPr>
        <w:t xml:space="preserve">PNDR </w:t>
      </w:r>
      <w:r w:rsidRPr="00C53B4B">
        <w:rPr>
          <w:rFonts w:eastAsia="Trebuchet MS" w:cs="Trebuchet MS"/>
          <w:sz w:val="24"/>
          <w:szCs w:val="24"/>
          <w:lang w:eastAsia="ro-RO"/>
        </w:rPr>
        <w:t>(alocare de 1</w:t>
      </w:r>
      <w:r w:rsidR="00B60185" w:rsidRPr="00C53B4B">
        <w:rPr>
          <w:rFonts w:eastAsia="Trebuchet MS" w:cs="Trebuchet MS"/>
          <w:sz w:val="24"/>
          <w:szCs w:val="24"/>
          <w:lang w:eastAsia="ro-RO"/>
        </w:rPr>
        <w:t>68</w:t>
      </w:r>
      <w:r w:rsidRPr="00C53B4B">
        <w:rPr>
          <w:rFonts w:eastAsia="Trebuchet MS" w:cs="Trebuchet MS"/>
          <w:sz w:val="24"/>
          <w:szCs w:val="24"/>
          <w:lang w:eastAsia="ro-RO"/>
        </w:rPr>
        <w:t xml:space="preserve"> mil. € FEADR</w:t>
      </w:r>
      <w:r w:rsidR="00B60185" w:rsidRPr="00C53B4B">
        <w:rPr>
          <w:rFonts w:eastAsia="Trebuchet MS" w:cs="Trebuchet MS"/>
          <w:sz w:val="24"/>
          <w:szCs w:val="24"/>
          <w:lang w:eastAsia="ro-RO"/>
        </w:rPr>
        <w:t xml:space="preserve"> și buget se stat</w:t>
      </w:r>
      <w:r w:rsidRPr="00C53B4B">
        <w:rPr>
          <w:rFonts w:eastAsia="Trebuchet MS" w:cs="Trebuchet MS"/>
          <w:sz w:val="24"/>
          <w:szCs w:val="24"/>
          <w:lang w:eastAsia="ro-RO"/>
        </w:rPr>
        <w:t xml:space="preserve">) - Intervențiile finanțate din FEADR, în mod complementar cu investițiile din FEDR, FSE și FC, contribuie la obiectivele stabilite prin SIDD DD printr-o alocare indicativă separată care vizează investiții în active fizice, dezvoltarea exploatațiilor și a întreprinderilor, servicii de bază și reînnoirea satelor în zonele rurale, </w:t>
      </w:r>
      <w:proofErr w:type="spellStart"/>
      <w:r w:rsidRPr="00C53B4B">
        <w:rPr>
          <w:rFonts w:eastAsia="Trebuchet MS" w:cs="Trebuchet MS"/>
          <w:sz w:val="24"/>
          <w:szCs w:val="24"/>
          <w:lang w:eastAsia="ro-RO"/>
        </w:rPr>
        <w:t>agro-mediu</w:t>
      </w:r>
      <w:proofErr w:type="spellEnd"/>
      <w:r w:rsidRPr="00C53B4B">
        <w:rPr>
          <w:rFonts w:eastAsia="Trebuchet MS" w:cs="Trebuchet MS"/>
          <w:sz w:val="24"/>
          <w:szCs w:val="24"/>
          <w:lang w:eastAsia="ro-RO"/>
        </w:rPr>
        <w:t xml:space="preserve"> și climă și LEADER. Măsura de </w:t>
      </w:r>
      <w:proofErr w:type="spellStart"/>
      <w:r w:rsidRPr="00C53B4B">
        <w:rPr>
          <w:rFonts w:eastAsia="Trebuchet MS" w:cs="Trebuchet MS"/>
          <w:sz w:val="24"/>
          <w:szCs w:val="24"/>
          <w:lang w:eastAsia="ro-RO"/>
        </w:rPr>
        <w:t>agro-mediu</w:t>
      </w:r>
      <w:proofErr w:type="spellEnd"/>
      <w:r w:rsidRPr="00C53B4B">
        <w:rPr>
          <w:rFonts w:eastAsia="Trebuchet MS" w:cs="Trebuchet MS"/>
          <w:sz w:val="24"/>
          <w:szCs w:val="24"/>
          <w:lang w:eastAsia="ro-RO"/>
        </w:rPr>
        <w:t xml:space="preserve"> și climă contribuie complementar la obiectivele SIDD DD privind protejarea mediului și a resurselor naturale, fără a avea o alocare indicativă. Până la 31.12.2018, pentru teritoriului ITI au fost depuse 10</w:t>
      </w:r>
      <w:r w:rsidR="00B60185" w:rsidRPr="00C53B4B">
        <w:rPr>
          <w:rFonts w:eastAsia="Trebuchet MS" w:cs="Trebuchet MS"/>
          <w:sz w:val="24"/>
          <w:szCs w:val="24"/>
          <w:lang w:eastAsia="ro-RO"/>
        </w:rPr>
        <w:t>009</w:t>
      </w:r>
      <w:r w:rsidRPr="00C53B4B">
        <w:rPr>
          <w:rFonts w:eastAsia="Trebuchet MS" w:cs="Trebuchet MS"/>
          <w:sz w:val="24"/>
          <w:szCs w:val="24"/>
          <w:lang w:eastAsia="ro-RO"/>
        </w:rPr>
        <w:t xml:space="preserve"> proiecte în valoare de </w:t>
      </w:r>
      <w:r w:rsidR="00B60185" w:rsidRPr="00C53B4B">
        <w:rPr>
          <w:rFonts w:eastAsia="Trebuchet MS" w:cs="Trebuchet MS"/>
          <w:sz w:val="24"/>
          <w:szCs w:val="24"/>
          <w:lang w:eastAsia="ro-RO"/>
        </w:rPr>
        <w:t>peste 175,5 mil. €</w:t>
      </w:r>
      <w:r w:rsidRPr="00C53B4B">
        <w:rPr>
          <w:rFonts w:eastAsia="Trebuchet MS" w:cs="Trebuchet MS"/>
          <w:sz w:val="24"/>
          <w:szCs w:val="24"/>
          <w:lang w:eastAsia="ro-RO"/>
        </w:rPr>
        <w:t xml:space="preserve">, din care contractate </w:t>
      </w:r>
      <w:r w:rsidR="00B60185" w:rsidRPr="00C53B4B">
        <w:rPr>
          <w:rFonts w:eastAsia="Trebuchet MS" w:cs="Trebuchet MS"/>
          <w:sz w:val="24"/>
          <w:szCs w:val="24"/>
          <w:lang w:eastAsia="ro-RO"/>
        </w:rPr>
        <w:t xml:space="preserve">498 </w:t>
      </w:r>
      <w:r w:rsidRPr="00C53B4B">
        <w:rPr>
          <w:rFonts w:eastAsia="Trebuchet MS" w:cs="Trebuchet MS"/>
          <w:sz w:val="24"/>
          <w:szCs w:val="24"/>
          <w:lang w:eastAsia="ro-RO"/>
        </w:rPr>
        <w:t xml:space="preserve">proiecte în valoare totală de </w:t>
      </w:r>
      <w:r w:rsidR="00B60185" w:rsidRPr="00C53B4B">
        <w:rPr>
          <w:rFonts w:eastAsia="Trebuchet MS" w:cs="Trebuchet MS"/>
          <w:sz w:val="24"/>
          <w:szCs w:val="24"/>
          <w:lang w:eastAsia="ro-RO"/>
        </w:rPr>
        <w:t>peste 107mil.</w:t>
      </w:r>
      <w:r w:rsidRPr="00C53B4B">
        <w:rPr>
          <w:rFonts w:eastAsia="Trebuchet MS" w:cs="Trebuchet MS"/>
          <w:sz w:val="24"/>
          <w:szCs w:val="24"/>
          <w:lang w:eastAsia="ro-RO"/>
        </w:rPr>
        <w:t xml:space="preserve"> € - valoarea FEADR fiind de 101.992.650 €. Raportat la alocarea FEADR dedicată, valoarea proiectelor contractate relevante pentru Teritoriul ITI DD este de </w:t>
      </w:r>
      <w:r w:rsidR="00B60185" w:rsidRPr="00C53B4B">
        <w:rPr>
          <w:rFonts w:eastAsia="Trebuchet MS" w:cs="Trebuchet MS"/>
          <w:sz w:val="24"/>
          <w:szCs w:val="24"/>
          <w:lang w:eastAsia="ro-RO"/>
        </w:rPr>
        <w:t>63,4</w:t>
      </w:r>
      <w:r w:rsidRPr="00C53B4B">
        <w:rPr>
          <w:rFonts w:eastAsia="Trebuchet MS" w:cs="Trebuchet MS"/>
          <w:sz w:val="24"/>
          <w:szCs w:val="24"/>
          <w:lang w:eastAsia="ro-RO"/>
        </w:rPr>
        <w:t>% .</w:t>
      </w:r>
      <w:r w:rsidR="00B60185" w:rsidRPr="00C53B4B">
        <w:rPr>
          <w:sz w:val="24"/>
          <w:szCs w:val="24"/>
        </w:rPr>
        <w:t xml:space="preserve"> </w:t>
      </w:r>
      <w:r w:rsidR="00B60185" w:rsidRPr="00C53B4B">
        <w:rPr>
          <w:rFonts w:eastAsia="Trebuchet MS" w:cs="Trebuchet MS"/>
          <w:sz w:val="24"/>
          <w:szCs w:val="24"/>
          <w:lang w:eastAsia="ro-RO"/>
        </w:rPr>
        <w:t xml:space="preserve">Suplimentar prin Dezvoltarea locală LEADER sunt sprijinite 5 Strategii de Dezvoltare Locală, cu o valoare publică totală de aprox. 13 </w:t>
      </w:r>
      <w:proofErr w:type="spellStart"/>
      <w:r w:rsidR="00B60185" w:rsidRPr="00C53B4B">
        <w:rPr>
          <w:rFonts w:eastAsia="Trebuchet MS" w:cs="Trebuchet MS"/>
          <w:sz w:val="24"/>
          <w:szCs w:val="24"/>
          <w:lang w:eastAsia="ro-RO"/>
        </w:rPr>
        <w:t>mil.€</w:t>
      </w:r>
      <w:proofErr w:type="spellEnd"/>
      <w:r w:rsidR="00B60185" w:rsidRPr="00C53B4B">
        <w:rPr>
          <w:rFonts w:eastAsia="Trebuchet MS" w:cs="Trebuchet MS"/>
          <w:sz w:val="24"/>
          <w:szCs w:val="24"/>
          <w:lang w:eastAsia="ro-RO"/>
        </w:rPr>
        <w:t xml:space="preserve">. În cadrul acestora au fost contractate 88 de proiecte în valoare de peste 5 </w:t>
      </w:r>
      <w:proofErr w:type="spellStart"/>
      <w:r w:rsidR="00B60185" w:rsidRPr="00C53B4B">
        <w:rPr>
          <w:rFonts w:eastAsia="Trebuchet MS" w:cs="Trebuchet MS"/>
          <w:sz w:val="24"/>
          <w:szCs w:val="24"/>
          <w:lang w:eastAsia="ro-RO"/>
        </w:rPr>
        <w:t>mil.€</w:t>
      </w:r>
      <w:proofErr w:type="spellEnd"/>
      <w:r w:rsidR="00B60185" w:rsidRPr="00C53B4B">
        <w:rPr>
          <w:rFonts w:eastAsia="Trebuchet MS" w:cs="Trebuchet MS"/>
          <w:sz w:val="24"/>
          <w:szCs w:val="24"/>
          <w:lang w:eastAsia="ro-RO"/>
        </w:rPr>
        <w:t>.</w:t>
      </w:r>
    </w:p>
    <w:p w14:paraId="4E9A95A3" w14:textId="09B7EE1D" w:rsidR="00D73BB2" w:rsidRPr="00C53B4B" w:rsidRDefault="00D73BB2" w:rsidP="009941AE">
      <w:pPr>
        <w:spacing w:after="60" w:line="240" w:lineRule="auto"/>
        <w:jc w:val="both"/>
        <w:rPr>
          <w:rFonts w:eastAsia="Trebuchet MS" w:cs="Trebuchet MS"/>
          <w:sz w:val="24"/>
          <w:szCs w:val="24"/>
          <w:lang w:eastAsia="ro-RO"/>
        </w:rPr>
      </w:pPr>
      <w:r w:rsidRPr="00C53B4B">
        <w:rPr>
          <w:rFonts w:eastAsia="Trebuchet MS" w:cs="Trebuchet MS"/>
          <w:b/>
          <w:sz w:val="24"/>
          <w:szCs w:val="24"/>
          <w:lang w:eastAsia="ro-RO"/>
        </w:rPr>
        <w:t>POPAM</w:t>
      </w:r>
      <w:r w:rsidRPr="00C53B4B">
        <w:rPr>
          <w:rFonts w:eastAsia="Trebuchet MS" w:cs="Trebuchet MS"/>
          <w:sz w:val="24"/>
          <w:szCs w:val="24"/>
          <w:lang w:eastAsia="ro-RO"/>
        </w:rPr>
        <w:t xml:space="preserve"> </w:t>
      </w:r>
      <w:r w:rsidRPr="00C53B4B">
        <w:rPr>
          <w:rFonts w:eastAsia="Trebuchet MS" w:cs="Trebuchet MS"/>
          <w:b/>
          <w:sz w:val="24"/>
          <w:szCs w:val="24"/>
          <w:lang w:eastAsia="ro-RO"/>
        </w:rPr>
        <w:t>(alocare de 37 mil. € FEPAM)</w:t>
      </w:r>
      <w:r w:rsidRPr="00C53B4B">
        <w:rPr>
          <w:rFonts w:eastAsia="Trebuchet MS" w:cs="Trebuchet MS"/>
          <w:sz w:val="24"/>
          <w:szCs w:val="24"/>
          <w:lang w:eastAsia="ro-RO"/>
        </w:rPr>
        <w:t xml:space="preserve"> - Până la 31.12.2018 au fost contractate 12 proiecte (care au avizul ITI Delta Dunării) - 4 măsura II.10, 4 măsura II.2, 2 măsura IV.4 și 2 PU4, însumând o valoare totală publică de aprox. 6,</w:t>
      </w:r>
      <w:proofErr w:type="spellStart"/>
      <w:r w:rsidRPr="00C53B4B">
        <w:rPr>
          <w:rFonts w:eastAsia="Trebuchet MS" w:cs="Trebuchet MS"/>
          <w:sz w:val="24"/>
          <w:szCs w:val="24"/>
          <w:lang w:eastAsia="ro-RO"/>
        </w:rPr>
        <w:t>6</w:t>
      </w:r>
      <w:proofErr w:type="spellEnd"/>
      <w:r w:rsidRPr="00C53B4B">
        <w:rPr>
          <w:rFonts w:eastAsia="Trebuchet MS" w:cs="Trebuchet MS"/>
          <w:sz w:val="24"/>
          <w:szCs w:val="24"/>
          <w:lang w:eastAsia="ro-RO"/>
        </w:rPr>
        <w:t xml:space="preserve"> mil. € și strategia FLAG Delta Dunării, cu o valoare de 9 mil. €.  Raportat la alocarea dedicata, valoarea proiectelor relevante pentru ITI DD contractate este de </w:t>
      </w:r>
      <w:r w:rsidR="008E20CE" w:rsidRPr="00C53B4B">
        <w:rPr>
          <w:rFonts w:eastAsia="Trebuchet MS" w:cs="Trebuchet MS"/>
          <w:sz w:val="24"/>
          <w:szCs w:val="24"/>
          <w:lang w:eastAsia="ro-RO"/>
        </w:rPr>
        <w:t>31,62</w:t>
      </w:r>
      <w:r w:rsidRPr="00C53B4B">
        <w:rPr>
          <w:rFonts w:eastAsia="Trebuchet MS" w:cs="Trebuchet MS"/>
          <w:sz w:val="24"/>
          <w:szCs w:val="24"/>
          <w:lang w:eastAsia="ro-RO"/>
        </w:rPr>
        <w:t>55%, respectiv 1</w:t>
      </w:r>
      <w:r w:rsidR="008E20CE" w:rsidRPr="00C53B4B">
        <w:rPr>
          <w:rFonts w:eastAsia="Trebuchet MS" w:cs="Trebuchet MS"/>
          <w:sz w:val="24"/>
          <w:szCs w:val="24"/>
          <w:lang w:eastAsia="ro-RO"/>
        </w:rPr>
        <w:t>1,7</w:t>
      </w:r>
      <w:r w:rsidRPr="00C53B4B">
        <w:rPr>
          <w:rFonts w:eastAsia="Trebuchet MS" w:cs="Trebuchet MS"/>
          <w:sz w:val="24"/>
          <w:szCs w:val="24"/>
          <w:lang w:eastAsia="ro-RO"/>
        </w:rPr>
        <w:t xml:space="preserve"> mil. € FEPAM.</w:t>
      </w:r>
    </w:p>
    <w:p w14:paraId="4B1C128E" w14:textId="77777777" w:rsidR="00EF7191" w:rsidRDefault="00EF7191" w:rsidP="009941AE">
      <w:pPr>
        <w:keepNext/>
        <w:spacing w:after="0" w:line="240" w:lineRule="auto"/>
        <w:outlineLvl w:val="1"/>
        <w:rPr>
          <w:rFonts w:eastAsia="Calibri" w:cs="Calibri"/>
          <w:b/>
          <w:color w:val="548DD4"/>
          <w:sz w:val="19"/>
          <w:lang w:eastAsia="ro-RO"/>
        </w:rPr>
      </w:pPr>
      <w:bookmarkStart w:id="0" w:name="_Toc256000110"/>
      <w:bookmarkStart w:id="1" w:name="_Toc256000085"/>
      <w:bookmarkStart w:id="2" w:name="_Toc256000050"/>
      <w:bookmarkStart w:id="3" w:name="_Toc256000015"/>
    </w:p>
    <w:p w14:paraId="1B6B7206" w14:textId="77777777" w:rsidR="00D73BB2" w:rsidRPr="00C1729E" w:rsidRDefault="00D73BB2" w:rsidP="009941AE">
      <w:pPr>
        <w:keepNext/>
        <w:spacing w:after="0" w:line="240" w:lineRule="auto"/>
        <w:outlineLvl w:val="1"/>
        <w:rPr>
          <w:rFonts w:eastAsia="Calibri" w:cs="Calibri"/>
          <w:b/>
          <w:color w:val="548DD4"/>
          <w:sz w:val="19"/>
          <w:lang w:eastAsia="ro-RO"/>
        </w:rPr>
      </w:pPr>
      <w:r w:rsidRPr="00C1729E">
        <w:rPr>
          <w:rFonts w:eastAsia="Calibri" w:cs="Calibri"/>
          <w:b/>
          <w:color w:val="548DD4"/>
          <w:sz w:val="19"/>
          <w:lang w:eastAsia="ro-RO"/>
        </w:rPr>
        <w:t>(ca) În legătură cu articolul 15 alineatul (2) litera (a) punctul (i) din Regulamentul (UE) nr. 1303/2013 ― Prezentare generală a implementării acțiunilor integrate în favoarea dezvoltării urbane durabile.</w:t>
      </w:r>
      <w:bookmarkEnd w:id="0"/>
      <w:bookmarkEnd w:id="1"/>
      <w:bookmarkEnd w:id="2"/>
      <w:bookmarkEnd w:id="3"/>
    </w:p>
    <w:p w14:paraId="04020190" w14:textId="77777777" w:rsidR="00D73BB2" w:rsidRPr="00C1729E" w:rsidRDefault="00D73BB2" w:rsidP="009941AE">
      <w:pPr>
        <w:spacing w:after="60" w:line="240" w:lineRule="auto"/>
        <w:jc w:val="both"/>
        <w:rPr>
          <w:rFonts w:eastAsia="Trebuchet MS" w:cs="Trebuchet MS"/>
          <w:lang w:eastAsia="ro-RO"/>
        </w:rPr>
      </w:pPr>
    </w:p>
    <w:p w14:paraId="5C029953" w14:textId="77777777" w:rsidR="00D73BB2" w:rsidRPr="00C1729E" w:rsidRDefault="00D73BB2" w:rsidP="009941AE">
      <w:pPr>
        <w:spacing w:after="60" w:line="240" w:lineRule="auto"/>
        <w:jc w:val="both"/>
        <w:rPr>
          <w:sz w:val="24"/>
          <w:szCs w:val="24"/>
        </w:rPr>
      </w:pPr>
      <w:r w:rsidRPr="00C1729E">
        <w:rPr>
          <w:b/>
          <w:sz w:val="24"/>
          <w:szCs w:val="24"/>
          <w:shd w:val="clear" w:color="auto" w:fill="DDD9C3" w:themeFill="background2" w:themeFillShade="E6"/>
        </w:rPr>
        <w:t>Dezvoltarea urbană durabilă</w:t>
      </w:r>
      <w:r w:rsidRPr="00C1729E">
        <w:rPr>
          <w:sz w:val="24"/>
          <w:szCs w:val="24"/>
        </w:rPr>
        <w:t xml:space="preserve"> este implementată prin intermediul POR în cadrul căruia a fost stabilită o axă prioritară dedicată AP 4 - </w:t>
      </w:r>
      <w:r w:rsidRPr="00C1729E">
        <w:rPr>
          <w:i/>
          <w:sz w:val="24"/>
          <w:szCs w:val="24"/>
        </w:rPr>
        <w:t>Sprijinirea dezvoltării urbane durabile</w:t>
      </w:r>
      <w:r w:rsidRPr="00C1729E">
        <w:rPr>
          <w:sz w:val="24"/>
          <w:szCs w:val="24"/>
        </w:rPr>
        <w:t>. Municipiile reședință de județ din cele 7 regiuni mai puțin dezvoltate au fost desemnate organisme intermediare secundare (de nivel II). Finanțarea proiectelor de dezvoltare urbană se face în baza unor strategii integrate de dezvoltare urbana (SIDU) care abordează provocările economice, sociale, de mediu, climatice, demografice și constituie cadrul pentru selectarea proiectelor de dezvoltare urbană.</w:t>
      </w:r>
    </w:p>
    <w:p w14:paraId="6AC0DED7" w14:textId="77777777" w:rsidR="00D73BB2" w:rsidRPr="00C1729E" w:rsidRDefault="00D73BB2" w:rsidP="009941AE">
      <w:pPr>
        <w:spacing w:after="60" w:line="240" w:lineRule="auto"/>
        <w:jc w:val="both"/>
        <w:rPr>
          <w:sz w:val="24"/>
          <w:szCs w:val="24"/>
        </w:rPr>
      </w:pPr>
      <w:r w:rsidRPr="00C1729E">
        <w:rPr>
          <w:sz w:val="24"/>
          <w:szCs w:val="24"/>
        </w:rPr>
        <w:t xml:space="preserve">Intervențiile din cadrul AP 4 susțin mai multe obiective tematice: OT 4 (măsuri pentru reducerea emisiilor de carbon in zonele urbane (piste de bicicliști/ achiziție mijloace de transport ecologice/ electrice etc.), OT 6 (revitalizarea zonelor urbane - reconversia și </w:t>
      </w:r>
      <w:proofErr w:type="spellStart"/>
      <w:r w:rsidRPr="00C1729E">
        <w:rPr>
          <w:sz w:val="24"/>
          <w:szCs w:val="24"/>
        </w:rPr>
        <w:t>refuncționalizarea</w:t>
      </w:r>
      <w:proofErr w:type="spellEnd"/>
      <w:r w:rsidRPr="00C1729E">
        <w:rPr>
          <w:sz w:val="24"/>
          <w:szCs w:val="24"/>
        </w:rPr>
        <w:t xml:space="preserve"> terenurilor abandonate etc.), OT 9 (acțiuni integrate pentru comunități marginalizate - clădiri pentru activități educative, culturale și recreative; zone verzi de mici dimensiuni, piețe publice, scuaruri, părculețe, străzi urbane și utilități de bază la scară mică) și OT10 (infrastructura de educație - creșe, grădinițe, licee tehnologice, școli profesionale).</w:t>
      </w:r>
    </w:p>
    <w:p w14:paraId="0431C835" w14:textId="77777777" w:rsidR="00D73BB2" w:rsidRPr="00C1729E" w:rsidRDefault="00D73BB2" w:rsidP="009941AE">
      <w:pPr>
        <w:spacing w:after="60" w:line="240" w:lineRule="auto"/>
        <w:jc w:val="both"/>
        <w:rPr>
          <w:sz w:val="24"/>
          <w:szCs w:val="24"/>
        </w:rPr>
      </w:pPr>
      <w:r w:rsidRPr="00C1729E">
        <w:rPr>
          <w:sz w:val="24"/>
          <w:szCs w:val="24"/>
        </w:rPr>
        <w:lastRenderedPageBreak/>
        <w:t>La 31.12.2018 procesul de verificare și aprobare a documentelor strategice (SIDU, PMUD, Documente Justificative) era finalizat la nivelul tuturor regiunilor de dezvoltare pentru fiecare municipiu reședință de județ eligibil, fiind încă deschise apeluri de proiecte pană la 29.03.2019 pentru toate prioritățile de investiții. Au fost depuse 244 de proiecte cu o valoare nerambursabilă de peste 1.410 mil. €.</w:t>
      </w:r>
    </w:p>
    <w:p w14:paraId="04DA5487" w14:textId="77777777" w:rsidR="00E95006" w:rsidRPr="00C1729E" w:rsidRDefault="00E95006" w:rsidP="009941AE">
      <w:pPr>
        <w:spacing w:after="60" w:line="240" w:lineRule="auto"/>
        <w:jc w:val="both"/>
        <w:rPr>
          <w:sz w:val="24"/>
          <w:szCs w:val="24"/>
        </w:rPr>
      </w:pPr>
    </w:p>
    <w:p w14:paraId="46E96628" w14:textId="77777777" w:rsidR="00985292" w:rsidRPr="00EF7191" w:rsidRDefault="00481D57" w:rsidP="009941AE">
      <w:pPr>
        <w:spacing w:after="60" w:line="240" w:lineRule="auto"/>
        <w:jc w:val="both"/>
        <w:rPr>
          <w:b/>
          <w:color w:val="548DD4" w:themeColor="text2" w:themeTint="99"/>
        </w:rPr>
      </w:pPr>
      <w:bookmarkStart w:id="4" w:name="_Toc256000111"/>
      <w:bookmarkStart w:id="5" w:name="_Toc256000086"/>
      <w:bookmarkStart w:id="6" w:name="_Toc256000051"/>
      <w:bookmarkStart w:id="7" w:name="_Toc256000016"/>
      <w:r w:rsidRPr="00EF7191">
        <w:rPr>
          <w:b/>
          <w:noProof/>
        </w:rPr>
        <w:t>(</w:t>
      </w:r>
      <w:r w:rsidRPr="00EF7191">
        <w:rPr>
          <w:b/>
          <w:color w:val="548DD4" w:themeColor="text2" w:themeTint="99"/>
        </w:rPr>
        <w:t xml:space="preserve">d) În legătură cu articolul 15 alineatul (2) litera (a) punctul (ii) din Regulamentul (UE) nr. 1303/2013, acolo este cazul, prezentare generală a implementării strategiilor </w:t>
      </w:r>
      <w:proofErr w:type="spellStart"/>
      <w:r w:rsidRPr="00EF7191">
        <w:rPr>
          <w:b/>
          <w:color w:val="548DD4" w:themeColor="text2" w:themeTint="99"/>
        </w:rPr>
        <w:t>macroregionale</w:t>
      </w:r>
      <w:proofErr w:type="spellEnd"/>
      <w:r w:rsidRPr="00EF7191">
        <w:rPr>
          <w:b/>
          <w:color w:val="548DD4" w:themeColor="text2" w:themeTint="99"/>
        </w:rPr>
        <w:t xml:space="preserve"> și a strategiilor privind bazinele maritime.</w:t>
      </w:r>
      <w:bookmarkEnd w:id="4"/>
      <w:bookmarkEnd w:id="5"/>
      <w:bookmarkEnd w:id="6"/>
      <w:bookmarkEnd w:id="7"/>
    </w:p>
    <w:p w14:paraId="0300DF55" w14:textId="77777777" w:rsidR="00AB2755" w:rsidRPr="00C1729E" w:rsidRDefault="00AB2755" w:rsidP="009941AE">
      <w:pPr>
        <w:spacing w:after="60" w:line="240" w:lineRule="auto"/>
        <w:jc w:val="both"/>
        <w:rPr>
          <w:sz w:val="24"/>
          <w:szCs w:val="24"/>
        </w:rPr>
      </w:pPr>
      <w:r w:rsidRPr="00C1729E">
        <w:rPr>
          <w:sz w:val="24"/>
          <w:szCs w:val="24"/>
        </w:rPr>
        <w:t xml:space="preserve">Acordul de Parteneriat a identificat domeniile prioritare relevante pentru </w:t>
      </w:r>
      <w:r w:rsidRPr="00C1729E">
        <w:rPr>
          <w:b/>
          <w:sz w:val="24"/>
          <w:szCs w:val="24"/>
        </w:rPr>
        <w:t>SUERD,</w:t>
      </w:r>
      <w:r w:rsidRPr="00C1729E">
        <w:rPr>
          <w:sz w:val="24"/>
          <w:szCs w:val="24"/>
        </w:rPr>
        <w:t xml:space="preserve"> fiind totodată realizată o corespondenţă între obiectivele acesteia şi obiectivele specifice ale programelor.</w:t>
      </w:r>
    </w:p>
    <w:p w14:paraId="53846857" w14:textId="77777777" w:rsidR="00AB2755" w:rsidRPr="00C1729E" w:rsidRDefault="00AB2755" w:rsidP="009941AE">
      <w:pPr>
        <w:spacing w:after="60" w:line="240" w:lineRule="auto"/>
        <w:jc w:val="both"/>
        <w:rPr>
          <w:sz w:val="24"/>
          <w:szCs w:val="24"/>
        </w:rPr>
      </w:pPr>
      <w:r w:rsidRPr="00C1729E">
        <w:rPr>
          <w:sz w:val="24"/>
          <w:szCs w:val="24"/>
        </w:rPr>
        <w:t xml:space="preserve">Mecanismul de implementare a obiectivelor SUERD la nivelul programelor, vizează două opţiuni: lansarea de apeluri de proiecte dedicate SUERD (POR) şi acordarea de puncte suplimentare pentru proiectele relevante SUERD (POIM). </w:t>
      </w:r>
    </w:p>
    <w:p w14:paraId="19A3AEBF" w14:textId="77777777" w:rsidR="00AB2755" w:rsidRPr="00C1729E" w:rsidRDefault="00AB2755" w:rsidP="009941AE">
      <w:pPr>
        <w:spacing w:after="60" w:line="240" w:lineRule="auto"/>
        <w:jc w:val="both"/>
        <w:rPr>
          <w:bCs/>
          <w:sz w:val="24"/>
          <w:szCs w:val="24"/>
        </w:rPr>
      </w:pPr>
      <w:r w:rsidRPr="00C1729E">
        <w:rPr>
          <w:b/>
          <w:sz w:val="24"/>
          <w:szCs w:val="24"/>
        </w:rPr>
        <w:t>Abordarea SUERD la nivelul POR</w:t>
      </w:r>
      <w:r w:rsidRPr="00C1729E">
        <w:rPr>
          <w:sz w:val="24"/>
          <w:szCs w:val="24"/>
        </w:rPr>
        <w:t xml:space="preserve"> prevede o alocare dedicată SUERD susţine apelurile dedicate de la nivelul programului pentru domeniile: eficienţă energetică, patrimoniu cultural, infrastructură rutieră şi turism+ în cele 12 județe riverane Dunării - Caraș Severin, Mehedinți, Dolj, Olt, Teleorman, Giurgiu, Călărași, Ialomița, Brăila, Galați, Tulcea, Constanța, judeţe care fac parte din regiunea Vest, regiunea Sud - Vest, regiunea Sud - Muntenia şi regiunea Sud - Est. Au fost elaborate ghiduri specifice pentru apelurile dedicate sprijinirii obiectivelor prevăzute de Ariile Prioritare SUERD. </w:t>
      </w:r>
      <w:r w:rsidRPr="00C1729E">
        <w:rPr>
          <w:bCs/>
          <w:sz w:val="24"/>
          <w:szCs w:val="24"/>
        </w:rPr>
        <w:t>Până la finalul anului 2018, în cadrul PO Regional situația apelurilor de proiecte lansate pentru SUERD este următoarea:</w:t>
      </w:r>
    </w:p>
    <w:p w14:paraId="37739766" w14:textId="77777777" w:rsidR="00AB2755" w:rsidRPr="00C1729E" w:rsidRDefault="00AB2755" w:rsidP="009941AE">
      <w:pPr>
        <w:numPr>
          <w:ilvl w:val="0"/>
          <w:numId w:val="13"/>
        </w:numPr>
        <w:spacing w:after="60" w:line="240" w:lineRule="auto"/>
        <w:ind w:left="450"/>
        <w:contextualSpacing/>
        <w:jc w:val="both"/>
        <w:rPr>
          <w:bCs/>
          <w:sz w:val="24"/>
          <w:szCs w:val="24"/>
        </w:rPr>
      </w:pPr>
      <w:r w:rsidRPr="00C1729E">
        <w:rPr>
          <w:bCs/>
          <w:sz w:val="24"/>
          <w:szCs w:val="24"/>
        </w:rPr>
        <w:t xml:space="preserve">Pentru </w:t>
      </w:r>
      <w:r w:rsidRPr="00C1729E">
        <w:rPr>
          <w:b/>
          <w:bCs/>
          <w:sz w:val="24"/>
          <w:szCs w:val="24"/>
        </w:rPr>
        <w:t>Axa Prioritară 3 - Sprijinirea tranziției către o economie cu emisii scăzute de carbon</w:t>
      </w:r>
      <w:r w:rsidRPr="00C1729E">
        <w:rPr>
          <w:bCs/>
          <w:sz w:val="24"/>
          <w:szCs w:val="24"/>
        </w:rPr>
        <w:t xml:space="preserve"> au fost depuse 97 de proiecte  cu o valoare nerambursabilă de 108 mil euro, fiind în curs de contractare, la finalul anului 2018,  41 de proiecte cu o valoare nerambursabilă de 45, 68 mil euro;</w:t>
      </w:r>
    </w:p>
    <w:p w14:paraId="6883FEDE" w14:textId="77777777" w:rsidR="00AB2755" w:rsidRPr="00C1729E" w:rsidRDefault="00AB2755" w:rsidP="009941AE">
      <w:pPr>
        <w:numPr>
          <w:ilvl w:val="0"/>
          <w:numId w:val="13"/>
        </w:numPr>
        <w:spacing w:after="160" w:line="240" w:lineRule="auto"/>
        <w:ind w:left="450"/>
        <w:contextualSpacing/>
        <w:jc w:val="both"/>
        <w:rPr>
          <w:rFonts w:eastAsia="Times New Roman" w:cstheme="minorHAnsi"/>
          <w:sz w:val="24"/>
          <w:szCs w:val="24"/>
        </w:rPr>
      </w:pPr>
      <w:r w:rsidRPr="00C1729E">
        <w:rPr>
          <w:rFonts w:eastAsia="Times New Roman" w:cstheme="minorHAnsi"/>
          <w:sz w:val="24"/>
          <w:szCs w:val="24"/>
        </w:rPr>
        <w:t xml:space="preserve">Pentru </w:t>
      </w:r>
      <w:r w:rsidRPr="00C1729E">
        <w:rPr>
          <w:rFonts w:eastAsia="Times New Roman" w:cstheme="minorHAnsi"/>
          <w:b/>
          <w:sz w:val="24"/>
          <w:szCs w:val="24"/>
        </w:rPr>
        <w:t xml:space="preserve">Axa Prioritară 5 - Îmbunătățirea mediului urban și conservarea, protecția și valorificarea durabilă a patrimoniului cultural – prioritatea de </w:t>
      </w:r>
      <w:proofErr w:type="spellStart"/>
      <w:r w:rsidRPr="00C1729E">
        <w:rPr>
          <w:rFonts w:eastAsia="Times New Roman" w:cstheme="minorHAnsi"/>
          <w:b/>
          <w:sz w:val="24"/>
          <w:szCs w:val="24"/>
        </w:rPr>
        <w:t>investitie</w:t>
      </w:r>
      <w:proofErr w:type="spellEnd"/>
      <w:r w:rsidRPr="00C1729E">
        <w:rPr>
          <w:rFonts w:eastAsia="Times New Roman" w:cstheme="minorHAnsi"/>
          <w:b/>
          <w:sz w:val="24"/>
          <w:szCs w:val="24"/>
        </w:rPr>
        <w:t xml:space="preserve"> 5.1</w:t>
      </w:r>
      <w:r w:rsidRPr="00C1729E">
        <w:rPr>
          <w:rFonts w:eastAsia="Times New Roman" w:cstheme="minorHAnsi"/>
          <w:sz w:val="24"/>
          <w:szCs w:val="24"/>
        </w:rPr>
        <w:t xml:space="preserve">: la finalul anului 2018 au fost depuse 30 proiecte cu o valoare nerambursabilă de 58,22 mil euro, fiind contractate 14 proiecte cu o valoare eligibilă de 22,35 mil euro. Pentru </w:t>
      </w:r>
      <w:r w:rsidRPr="00C1729E">
        <w:rPr>
          <w:rFonts w:eastAsia="Times New Roman" w:cstheme="minorHAnsi"/>
          <w:b/>
          <w:sz w:val="24"/>
          <w:szCs w:val="24"/>
        </w:rPr>
        <w:t>prioritatea de investiție 5.2</w:t>
      </w:r>
      <w:r w:rsidRPr="00C1729E">
        <w:rPr>
          <w:rFonts w:eastAsia="Times New Roman" w:cstheme="minorHAnsi"/>
          <w:sz w:val="24"/>
          <w:szCs w:val="24"/>
        </w:rPr>
        <w:t xml:space="preserve"> la finalul anului 2018 au fost depuse 6 proiecte cu o valoare nerambursabilă de 7,9 mil euro, fiind contractate 2 proiecte cu o valoare eligibilă de 1,07 mil euro;</w:t>
      </w:r>
    </w:p>
    <w:p w14:paraId="2AD56A2F" w14:textId="77777777" w:rsidR="00AB2755" w:rsidRPr="00C1729E" w:rsidRDefault="00AB2755" w:rsidP="009941AE">
      <w:pPr>
        <w:numPr>
          <w:ilvl w:val="0"/>
          <w:numId w:val="13"/>
        </w:numPr>
        <w:spacing w:after="160" w:line="240" w:lineRule="auto"/>
        <w:ind w:left="450"/>
        <w:contextualSpacing/>
        <w:jc w:val="both"/>
        <w:rPr>
          <w:rFonts w:eastAsia="Times New Roman" w:cstheme="minorHAnsi"/>
          <w:sz w:val="24"/>
          <w:szCs w:val="24"/>
        </w:rPr>
      </w:pPr>
      <w:r w:rsidRPr="00C1729E">
        <w:rPr>
          <w:rFonts w:eastAsia="Times New Roman" w:cstheme="minorHAnsi"/>
          <w:b/>
          <w:sz w:val="24"/>
          <w:szCs w:val="24"/>
        </w:rPr>
        <w:t>Pentru Axa Prioritară - Drumuri județene – prioritatea de investiție 6.1</w:t>
      </w:r>
      <w:r w:rsidRPr="00C1729E">
        <w:rPr>
          <w:rFonts w:eastAsia="Times New Roman" w:cstheme="minorHAnsi"/>
          <w:sz w:val="24"/>
          <w:szCs w:val="24"/>
        </w:rPr>
        <w:t xml:space="preserve"> la finalul anului 2018 au fost depuse 24 proiecte cu o valoare nerambursabilă de 397,63 mil euro, fiind contractate 8 proiecte cu o valoare eligibilă de 104,24 mil euro;</w:t>
      </w:r>
    </w:p>
    <w:p w14:paraId="58575741" w14:textId="77777777" w:rsidR="00AB2755" w:rsidRPr="00C1729E" w:rsidRDefault="00AB2755" w:rsidP="009941AE">
      <w:pPr>
        <w:numPr>
          <w:ilvl w:val="0"/>
          <w:numId w:val="13"/>
        </w:numPr>
        <w:spacing w:after="160" w:line="240" w:lineRule="auto"/>
        <w:ind w:left="450"/>
        <w:contextualSpacing/>
        <w:jc w:val="both"/>
        <w:rPr>
          <w:rFonts w:eastAsia="Times New Roman" w:cstheme="minorHAnsi"/>
          <w:sz w:val="24"/>
          <w:szCs w:val="24"/>
        </w:rPr>
      </w:pPr>
      <w:r w:rsidRPr="00C1729E">
        <w:rPr>
          <w:rFonts w:eastAsia="Times New Roman" w:cstheme="minorHAnsi"/>
          <w:b/>
          <w:sz w:val="24"/>
          <w:szCs w:val="24"/>
        </w:rPr>
        <w:t xml:space="preserve">Pentru Axa Prioritară 7 - Diversificarea economiilor locale prin dezvoltarea durabilă a turismului – prioritatea de </w:t>
      </w:r>
      <w:proofErr w:type="spellStart"/>
      <w:r w:rsidRPr="00C1729E">
        <w:rPr>
          <w:rFonts w:eastAsia="Times New Roman" w:cstheme="minorHAnsi"/>
          <w:b/>
          <w:sz w:val="24"/>
          <w:szCs w:val="24"/>
        </w:rPr>
        <w:t>investitie</w:t>
      </w:r>
      <w:proofErr w:type="spellEnd"/>
      <w:r w:rsidRPr="00C1729E">
        <w:rPr>
          <w:rFonts w:eastAsia="Times New Roman" w:cstheme="minorHAnsi"/>
          <w:b/>
          <w:sz w:val="24"/>
          <w:szCs w:val="24"/>
        </w:rPr>
        <w:t xml:space="preserve"> 7.1</w:t>
      </w:r>
      <w:r w:rsidRPr="00C1729E">
        <w:rPr>
          <w:rFonts w:eastAsia="Times New Roman" w:cstheme="minorHAnsi"/>
          <w:sz w:val="24"/>
          <w:szCs w:val="24"/>
        </w:rPr>
        <w:t xml:space="preserve"> la finalul anului 2018 au fost depuse 8 proiecte cu o valoare nerambursabilă de 31,08 mil euro, fiind contractate 5 proiecte cu o valoare eligibilă de 18,57 mil euro;</w:t>
      </w:r>
    </w:p>
    <w:p w14:paraId="29BB2BB6" w14:textId="77777777" w:rsidR="00AB2755" w:rsidRPr="00C1729E" w:rsidRDefault="00AB2755" w:rsidP="009941AE">
      <w:pPr>
        <w:numPr>
          <w:ilvl w:val="0"/>
          <w:numId w:val="13"/>
        </w:numPr>
        <w:spacing w:after="60" w:line="240" w:lineRule="auto"/>
        <w:ind w:left="450"/>
        <w:contextualSpacing/>
        <w:jc w:val="both"/>
        <w:rPr>
          <w:sz w:val="24"/>
          <w:szCs w:val="24"/>
        </w:rPr>
      </w:pPr>
      <w:r w:rsidRPr="00C1729E">
        <w:rPr>
          <w:rFonts w:eastAsia="Times New Roman" w:cstheme="minorHAnsi"/>
          <w:b/>
          <w:sz w:val="24"/>
          <w:szCs w:val="24"/>
        </w:rPr>
        <w:t>Pentru Axa Prioritară 13 - Sprijinirea regenerării orașelor mici și mijlocii - prioritatea de investiție 13.1</w:t>
      </w:r>
      <w:r w:rsidRPr="00C1729E">
        <w:rPr>
          <w:rFonts w:eastAsia="Times New Roman" w:cstheme="minorHAnsi"/>
          <w:sz w:val="24"/>
          <w:szCs w:val="24"/>
        </w:rPr>
        <w:t xml:space="preserve"> la finalul anului 2018 au fost depuse 36 proiecte cu o valoare nerambursabilă de 130,54 mil euro.</w:t>
      </w:r>
    </w:p>
    <w:p w14:paraId="0C88A975" w14:textId="77777777" w:rsidR="00AB2755" w:rsidRPr="00C1729E" w:rsidRDefault="00AB2755" w:rsidP="009941AE">
      <w:pPr>
        <w:spacing w:after="60" w:line="240" w:lineRule="auto"/>
        <w:jc w:val="both"/>
        <w:rPr>
          <w:sz w:val="24"/>
          <w:szCs w:val="24"/>
        </w:rPr>
      </w:pPr>
      <w:r w:rsidRPr="00C1729E">
        <w:rPr>
          <w:b/>
          <w:sz w:val="24"/>
          <w:szCs w:val="24"/>
        </w:rPr>
        <w:t>La nivelul POIM</w:t>
      </w:r>
      <w:r w:rsidRPr="00C1729E">
        <w:rPr>
          <w:sz w:val="24"/>
          <w:szCs w:val="24"/>
        </w:rPr>
        <w:t xml:space="preserve"> nu este prevăzută o alocare financiară dedicată SUERD, însă prin acțiunile finanțate, programul contribuie în proporţie de 90% la obiectivele SUERD. </w:t>
      </w:r>
    </w:p>
    <w:p w14:paraId="71D993CA" w14:textId="77777777" w:rsidR="00AB2755" w:rsidRPr="00C1729E" w:rsidRDefault="00AB2755" w:rsidP="009941AE">
      <w:pPr>
        <w:spacing w:after="60" w:line="240" w:lineRule="auto"/>
        <w:jc w:val="both"/>
        <w:rPr>
          <w:sz w:val="24"/>
          <w:szCs w:val="24"/>
        </w:rPr>
      </w:pPr>
      <w:r w:rsidRPr="00C1729E">
        <w:rPr>
          <w:sz w:val="24"/>
          <w:szCs w:val="24"/>
        </w:rPr>
        <w:t xml:space="preserve">Dezvoltarea infrastructurii pe rețeaua TEN-T central, dar și dezvoltarea transportului </w:t>
      </w:r>
      <w:proofErr w:type="spellStart"/>
      <w:r w:rsidRPr="00C1729E">
        <w:rPr>
          <w:sz w:val="24"/>
          <w:szCs w:val="24"/>
        </w:rPr>
        <w:t>intermodal</w:t>
      </w:r>
      <w:proofErr w:type="spellEnd"/>
      <w:r w:rsidRPr="00C1729E">
        <w:rPr>
          <w:sz w:val="24"/>
          <w:szCs w:val="24"/>
        </w:rPr>
        <w:t>, fluidizarea traficului la punctele de ieșire din țară, îmbunătățirea serviciilor pe rețeaua TEN-T contribuie integral la Pilonul 1 al SUERD.</w:t>
      </w:r>
    </w:p>
    <w:p w14:paraId="4307A59E" w14:textId="77777777" w:rsidR="00AB2755" w:rsidRPr="00C1729E" w:rsidRDefault="00AB2755" w:rsidP="009941AE">
      <w:pPr>
        <w:spacing w:after="60" w:line="240" w:lineRule="auto"/>
        <w:jc w:val="both"/>
        <w:rPr>
          <w:sz w:val="24"/>
          <w:szCs w:val="24"/>
        </w:rPr>
      </w:pPr>
      <w:r w:rsidRPr="00C1729E">
        <w:rPr>
          <w:sz w:val="24"/>
          <w:szCs w:val="24"/>
        </w:rPr>
        <w:lastRenderedPageBreak/>
        <w:t xml:space="preserve">Pilonul 1 este adresat de POIM și prin obiectivele de eficiență energetică și promovare a energiei produse din surse regenerabile, AP6 - OS 6.1 și AP8 – OS 8.1 contribuind integral și direct la aceste obiective. </w:t>
      </w:r>
    </w:p>
    <w:p w14:paraId="17697458" w14:textId="50CAA467" w:rsidR="00AB2755" w:rsidRPr="00C1729E" w:rsidRDefault="00AB2755" w:rsidP="009941AE">
      <w:pPr>
        <w:spacing w:after="60" w:line="240" w:lineRule="auto"/>
        <w:jc w:val="both"/>
        <w:rPr>
          <w:sz w:val="24"/>
          <w:szCs w:val="24"/>
        </w:rPr>
      </w:pPr>
      <w:r w:rsidRPr="00C1729E">
        <w:rPr>
          <w:sz w:val="24"/>
          <w:szCs w:val="24"/>
          <w:lang w:val="it-IT"/>
        </w:rPr>
        <w:t xml:space="preserve">În domeniul mediului, axele prioritare </w:t>
      </w:r>
      <w:r w:rsidR="000000C3" w:rsidRPr="00C1729E">
        <w:rPr>
          <w:sz w:val="24"/>
          <w:szCs w:val="24"/>
          <w:lang w:val="it-IT"/>
        </w:rPr>
        <w:t>3 - 6</w:t>
      </w:r>
      <w:r w:rsidRPr="00C1729E">
        <w:rPr>
          <w:sz w:val="24"/>
          <w:szCs w:val="24"/>
          <w:lang w:val="it-IT"/>
        </w:rPr>
        <w:t xml:space="preserve"> din POIM sunt relevante integral pentru Pilonul 2. Toate proiectele vizând dezvoltarea infrastructurii de apă și canalizare sunt relevante SUERD având impact asupra întregului bazin hidrografic.</w:t>
      </w:r>
    </w:p>
    <w:p w14:paraId="43A1148F" w14:textId="77777777" w:rsidR="00AB2755" w:rsidRPr="00C1729E" w:rsidRDefault="00AB2755" w:rsidP="009941AE">
      <w:pPr>
        <w:spacing w:after="60" w:line="240" w:lineRule="auto"/>
        <w:jc w:val="both"/>
        <w:rPr>
          <w:sz w:val="24"/>
          <w:szCs w:val="24"/>
        </w:rPr>
      </w:pPr>
      <w:r w:rsidRPr="00C1729E">
        <w:rPr>
          <w:sz w:val="24"/>
          <w:szCs w:val="24"/>
        </w:rPr>
        <w:t xml:space="preserve">Pentru apelurile competitive lansate pentru OS 4.1 – protecţia şi conservarea biodiversităţii, OS 6.1 – producţie de energie din surse regenerabile mai puţin exploatate, OS 6.2 – reducerea consumului de energie şi OS 6.4 – cogenerare de înaltă eficienţă, ghidurile solicitantului s-a prevăzut acordarea de puncte suplimentare pentru proiectele situate în aria adiacentă Dunării, această abordare fiind extinsă şi pentru proiectele care au rezultate derivate din proiecte în parteneriat transnaţional. </w:t>
      </w:r>
    </w:p>
    <w:p w14:paraId="159E7B75" w14:textId="77777777" w:rsidR="00AB2755" w:rsidRPr="00C1729E" w:rsidRDefault="00AB2755" w:rsidP="009941AE">
      <w:pPr>
        <w:spacing w:after="60" w:line="240" w:lineRule="auto"/>
        <w:jc w:val="both"/>
        <w:rPr>
          <w:sz w:val="24"/>
          <w:szCs w:val="24"/>
        </w:rPr>
      </w:pPr>
      <w:r w:rsidRPr="00C1729E">
        <w:rPr>
          <w:sz w:val="24"/>
          <w:szCs w:val="24"/>
        </w:rPr>
        <w:t xml:space="preserve">Punctajul suplimentar se acordă acelor proiecte localizate în cele 12 judeţe riverane Dunării - Caraş-Severin, Mehedinţi, Dolj, Olt, Teleorman, Giurgiu, Călăraşi, Ialomiţa, Brăila, Galaţi, Tulcea, Constanţa - sau proiectelor care prezintă parteneriate cu entități cu profil similar din țările SUERD (14 țări). </w:t>
      </w:r>
    </w:p>
    <w:p w14:paraId="7BF2F23F" w14:textId="77777777" w:rsidR="00AB2755" w:rsidRPr="00C1729E" w:rsidRDefault="00AB2755" w:rsidP="009941AE">
      <w:pPr>
        <w:spacing w:after="60" w:line="240" w:lineRule="auto"/>
        <w:jc w:val="both"/>
        <w:rPr>
          <w:sz w:val="24"/>
          <w:szCs w:val="24"/>
          <w:lang w:val="it-IT"/>
        </w:rPr>
      </w:pPr>
      <w:r w:rsidRPr="00C1729E">
        <w:rPr>
          <w:sz w:val="24"/>
          <w:szCs w:val="24"/>
          <w:lang w:val="it-IT"/>
        </w:rPr>
        <w:t>Până la 31 decembrie 2018 situația proiectelor relevante SUERD selectate la nivelul POIM:</w:t>
      </w:r>
    </w:p>
    <w:p w14:paraId="32444450" w14:textId="77777777" w:rsidR="00AB2755" w:rsidRPr="00C1729E" w:rsidRDefault="00AB2755" w:rsidP="009941AE">
      <w:pPr>
        <w:numPr>
          <w:ilvl w:val="0"/>
          <w:numId w:val="14"/>
        </w:numPr>
        <w:spacing w:after="60" w:line="240" w:lineRule="auto"/>
        <w:contextualSpacing/>
        <w:jc w:val="both"/>
        <w:rPr>
          <w:sz w:val="24"/>
          <w:szCs w:val="24"/>
          <w:lang w:val="it-IT"/>
        </w:rPr>
      </w:pPr>
      <w:r w:rsidRPr="00C1729E">
        <w:rPr>
          <w:sz w:val="24"/>
          <w:szCs w:val="24"/>
          <w:lang w:val="it-IT"/>
        </w:rPr>
        <w:t>Pentru Pilonul 1 au fost selectate 55 de proiecte cu o valoare totală eligibilă de aprox  5,2 mlrd. €, din care: 33 de proiecte de infrastructură rutieră - aprox. 3 mlrd.€, 9 proiecte de infrastructură feroviară - peste 2 mlrd.€, 3 proiecte sector naval - peste 100 mil.€, 4 proiecte sector aeroportuar – aprox.  57 mil.€, 5 proiecte de transport intermodal - aprox. 40</w:t>
      </w:r>
      <w:r w:rsidRPr="00C1729E">
        <w:t xml:space="preserve"> </w:t>
      </w:r>
      <w:r w:rsidRPr="00C1729E">
        <w:rPr>
          <w:sz w:val="24"/>
          <w:szCs w:val="24"/>
          <w:lang w:val="it-IT"/>
        </w:rPr>
        <w:t>mil.€,  1 proiect (energie) - 4,5 mil.€.</w:t>
      </w:r>
    </w:p>
    <w:p w14:paraId="7FFD7A6A" w14:textId="77777777" w:rsidR="00AB2755" w:rsidRPr="00C1729E" w:rsidRDefault="00AB2755" w:rsidP="009941AE">
      <w:pPr>
        <w:numPr>
          <w:ilvl w:val="0"/>
          <w:numId w:val="14"/>
        </w:numPr>
        <w:spacing w:after="60" w:line="240" w:lineRule="auto"/>
        <w:contextualSpacing/>
        <w:jc w:val="both"/>
        <w:rPr>
          <w:sz w:val="24"/>
          <w:szCs w:val="24"/>
          <w:lang w:val="it-IT"/>
        </w:rPr>
      </w:pPr>
      <w:r w:rsidRPr="00C1729E">
        <w:rPr>
          <w:sz w:val="24"/>
          <w:szCs w:val="24"/>
          <w:lang w:val="it-IT"/>
        </w:rPr>
        <w:t>Pentru Pilonul 2 au fost selectate 173 de proiecte cu o valoare totală eligibilă de aprox. 1,2 mlrd.€, din care: 75 proiecte (apă) - 2,5 mil.€, 18 proiecte (deșeuri) peste 210 mil.€, 56 de proiecte (biodiversitate) - peste 85 mil.€, 4 proiecte (inundații) -  peste 700 mil.€, 2 proiecte (situri contaminate) - aprox. 24 mil.€, 4 proiecte (managementul riscurilor) - aprox 150 mil.€, 14 proiecte (surse regenerabile de energie) - aprox. 23 mil.€.</w:t>
      </w:r>
    </w:p>
    <w:p w14:paraId="3A4E2E0B" w14:textId="77777777" w:rsidR="00AB2755" w:rsidRPr="00C1729E" w:rsidRDefault="00AB2755" w:rsidP="009941AE">
      <w:pPr>
        <w:spacing w:after="0" w:line="240" w:lineRule="auto"/>
        <w:jc w:val="both"/>
        <w:rPr>
          <w:sz w:val="24"/>
          <w:szCs w:val="24"/>
        </w:rPr>
      </w:pPr>
      <w:r w:rsidRPr="00C1729E">
        <w:rPr>
          <w:b/>
          <w:sz w:val="24"/>
          <w:szCs w:val="24"/>
        </w:rPr>
        <w:t xml:space="preserve">Programul Transnațional Dunărea </w:t>
      </w:r>
      <w:r w:rsidRPr="00C1729E">
        <w:rPr>
          <w:sz w:val="24"/>
          <w:szCs w:val="24"/>
        </w:rPr>
        <w:t>contribuie în mod direct la sprijinirea guvernanţei SUERD prin lansarea de apeluri de proiecte  (tip ,,capital de început˝) dedicate Coordonatorilor de Arii prioritare SUERD (</w:t>
      </w:r>
      <w:r w:rsidRPr="00C1729E">
        <w:rPr>
          <w:sz w:val="24"/>
          <w:szCs w:val="24"/>
          <w:lang w:val="it-IT"/>
        </w:rPr>
        <w:t xml:space="preserve">trei proiecte, pentru ariile prioritare 1a, 3 şi 5 prin intermediul Ministerului Transporturilor, Ministerului Dezvoltării Regionale şi Administraţiei Publice şi Ministerului Mediului) </w:t>
      </w:r>
      <w:r w:rsidRPr="00C1729E">
        <w:rPr>
          <w:sz w:val="24"/>
          <w:szCs w:val="24"/>
        </w:rPr>
        <w:t xml:space="preserve">și finanţării structurilor care deservesc guvernanţa strategiei. </w:t>
      </w:r>
    </w:p>
    <w:p w14:paraId="64492772" w14:textId="77777777" w:rsidR="00AB2755" w:rsidRPr="00C1729E" w:rsidRDefault="00AB2755" w:rsidP="009941AE">
      <w:pPr>
        <w:spacing w:after="0" w:line="240" w:lineRule="auto"/>
        <w:jc w:val="both"/>
        <w:rPr>
          <w:sz w:val="24"/>
          <w:szCs w:val="24"/>
          <w:lang w:val="it-IT"/>
        </w:rPr>
      </w:pPr>
      <w:r w:rsidRPr="00C1729E">
        <w:rPr>
          <w:sz w:val="24"/>
          <w:szCs w:val="24"/>
        </w:rPr>
        <w:t xml:space="preserve">În cadrul </w:t>
      </w:r>
      <w:r w:rsidRPr="00C1729E">
        <w:rPr>
          <w:sz w:val="24"/>
          <w:szCs w:val="24"/>
          <w:lang w:val="it-IT"/>
        </w:rPr>
        <w:t>apelul de proiecte ,, capital de început˝ (Seed Money Facility) desfăşurat în perioada 02  octombrie - 07 decembrie 2017 -  au fost selectate pentru finanțare 19 proiecte în care participă 9 instituții din RO (147 mii € FEDR). România şi Austria, în calitate de co-iniţiatoare ale SUERD, au elaborat şi depus un proiect privind realizarea activităților aferente Danube Strategy Point (DSP) în perioada 01.09.2018 – 31.12.2021 și asigurarea Secretariatului (peste 3, 1 mil.€ FEDR).</w:t>
      </w:r>
    </w:p>
    <w:p w14:paraId="657B3D3E" w14:textId="77777777" w:rsidR="00481D57" w:rsidRPr="00C1729E" w:rsidRDefault="00481D57" w:rsidP="009941AE">
      <w:pPr>
        <w:spacing w:after="60" w:line="240" w:lineRule="auto"/>
        <w:jc w:val="both"/>
        <w:rPr>
          <w:color w:val="548DD4" w:themeColor="text2" w:themeTint="99"/>
          <w:sz w:val="24"/>
          <w:szCs w:val="24"/>
        </w:rPr>
      </w:pPr>
    </w:p>
    <w:p w14:paraId="43E964E4" w14:textId="77777777" w:rsidR="00B91A69" w:rsidRPr="00C1729E" w:rsidRDefault="00B91A69" w:rsidP="009941AE">
      <w:pPr>
        <w:spacing w:after="60" w:line="240" w:lineRule="auto"/>
        <w:jc w:val="both"/>
        <w:rPr>
          <w:rFonts w:eastAsia="Calibri" w:cs="Calibri"/>
          <w:b/>
          <w:color w:val="548DD4"/>
          <w:sz w:val="19"/>
          <w:lang w:eastAsia="ro-RO"/>
        </w:rPr>
      </w:pPr>
      <w:r w:rsidRPr="00C1729E">
        <w:rPr>
          <w:rFonts w:eastAsia="Calibri" w:cs="Calibri"/>
          <w:b/>
          <w:color w:val="548DD4"/>
          <w:sz w:val="19"/>
          <w:lang w:eastAsia="ro-RO"/>
        </w:rPr>
        <w:t>(e) În legătură cu articolul 15 alineatul (2) litera (a) punctul (</w:t>
      </w:r>
      <w:proofErr w:type="spellStart"/>
      <w:r w:rsidRPr="00C1729E">
        <w:rPr>
          <w:rFonts w:eastAsia="Calibri" w:cs="Calibri"/>
          <w:b/>
          <w:color w:val="548DD4"/>
          <w:sz w:val="19"/>
          <w:lang w:eastAsia="ro-RO"/>
        </w:rPr>
        <w:t>iii</w:t>
      </w:r>
      <w:proofErr w:type="spellEnd"/>
      <w:r w:rsidRPr="00C1729E">
        <w:rPr>
          <w:rFonts w:eastAsia="Calibri" w:cs="Calibri"/>
          <w:b/>
          <w:color w:val="548DD4"/>
          <w:sz w:val="19"/>
          <w:lang w:eastAsia="ro-RO"/>
        </w:rPr>
        <w:t xml:space="preserve">) din Regulamentul (UE) nr. 1303/2013, acolo unde este cazul, o prezentare generală a implementării abordării integrate pentru a răspunde nevoilor specifice ale zonelor geografice cel mai grav afectate de sărăcie sau ale grupurilor țintă supuse celui mai ridicat risc de discriminare sau de excludere socială. </w:t>
      </w:r>
    </w:p>
    <w:p w14:paraId="6BD051D9" w14:textId="77777777" w:rsidR="00B91A69" w:rsidRPr="00C1729E" w:rsidRDefault="00B91A69" w:rsidP="009941AE">
      <w:pPr>
        <w:widowControl w:val="0"/>
        <w:overflowPunct w:val="0"/>
        <w:autoSpaceDE w:val="0"/>
        <w:autoSpaceDN w:val="0"/>
        <w:adjustRightInd w:val="0"/>
        <w:spacing w:after="60" w:line="240" w:lineRule="auto"/>
        <w:jc w:val="both"/>
        <w:rPr>
          <w:rFonts w:cs="Arial"/>
          <w:sz w:val="24"/>
          <w:szCs w:val="24"/>
        </w:rPr>
      </w:pPr>
      <w:r w:rsidRPr="00C1729E">
        <w:rPr>
          <w:rFonts w:cs="Arial"/>
          <w:b/>
          <w:sz w:val="24"/>
          <w:szCs w:val="24"/>
        </w:rPr>
        <w:t>Fondul de ajutor european pentru cele mai defavorizate persoane</w:t>
      </w:r>
      <w:r w:rsidRPr="00C1729E">
        <w:rPr>
          <w:rFonts w:cs="Arial"/>
          <w:sz w:val="24"/>
          <w:szCs w:val="24"/>
        </w:rPr>
        <w:t xml:space="preserve"> finanțează prin Programul Operațional Ajutorarea persoanelor Defavorizate 2014-2020 (POAD) intervenții privind </w:t>
      </w:r>
      <w:proofErr w:type="spellStart"/>
      <w:r w:rsidRPr="00C1729E">
        <w:rPr>
          <w:rFonts w:cs="Arial"/>
          <w:sz w:val="24"/>
          <w:szCs w:val="24"/>
        </w:rPr>
        <w:t>deprivarea</w:t>
      </w:r>
      <w:proofErr w:type="spellEnd"/>
      <w:r w:rsidRPr="00C1729E">
        <w:rPr>
          <w:rFonts w:cs="Arial"/>
          <w:sz w:val="24"/>
          <w:szCs w:val="24"/>
        </w:rPr>
        <w:t xml:space="preserve"> alimentară (lipsa alimentelor de bază) și precaritate materială de bază la copii (lipsa materialelor școlare). POAD contribuie la atingerea obiectivelor Strategiei Europa 2020 privind  reducerea numărului de persoane expuse riscului de sărăcie și de excluziune socială și de atenuare a celor mai grave forme de sărăcie prin furnizarea de asistență nefinanciară celor mai defavorizate persoane. Dat fiind specificul acestui program ca si potențiala sinergie cu intervențiile FSE, autoritatea de management pentru POAD este inclusă în aceeași structura MFE cu Autoritatea de </w:t>
      </w:r>
      <w:r w:rsidRPr="00C1729E">
        <w:rPr>
          <w:rFonts w:cs="Arial"/>
          <w:sz w:val="24"/>
          <w:szCs w:val="24"/>
        </w:rPr>
        <w:lastRenderedPageBreak/>
        <w:t xml:space="preserve">management pentru POCU, asigurându-se astfel o coordonare unitară.  </w:t>
      </w:r>
    </w:p>
    <w:p w14:paraId="31E0D590" w14:textId="77777777" w:rsidR="00B91A69" w:rsidRPr="00C1729E" w:rsidRDefault="00B91A69" w:rsidP="009941AE">
      <w:pPr>
        <w:widowControl w:val="0"/>
        <w:overflowPunct w:val="0"/>
        <w:autoSpaceDE w:val="0"/>
        <w:autoSpaceDN w:val="0"/>
        <w:adjustRightInd w:val="0"/>
        <w:spacing w:after="60" w:line="240" w:lineRule="auto"/>
        <w:jc w:val="both"/>
        <w:rPr>
          <w:rFonts w:cs="Arial"/>
          <w:sz w:val="24"/>
          <w:szCs w:val="24"/>
        </w:rPr>
      </w:pPr>
      <w:r w:rsidRPr="00C1729E">
        <w:rPr>
          <w:rFonts w:cs="Arial"/>
          <w:sz w:val="24"/>
          <w:szCs w:val="24"/>
        </w:rPr>
        <w:t>Realizarea obiectivului specific al programului se face prin furnizarea de ajutoare alimentare categoriilor defavorizate, prin intermediul organizațiilor partenere, instituțiilor prefectului și primăriilor din întreaga țară. Distribuirea de ajutoare alimentare este acompaniată de măsuri auxiliare care încurajează inserția socială a persoanelor defavorizate respectiv: consiliere privind inserția socială și profesională, sănătate, igienă, educație, consiliere juridică, recomandări culinare etc. Din punct de vedere cantitativ, POAD s-a adresat în perioada 2014-2018 unui număr total de 6.347.777 persoane, din care 2.879.267 sunt femei. 1.277.604 de persoane dintre cele sprijinite prin POAD până prezent sunt reprezentate de copii în vârstă de maximum 15 ani și de 1.555.962 persoane în vârstă de minimum 65 de ani. În aceeași perioadă de referință, prin POAD au fost furnizate 166.398 tone de alimente distribuite în 15.096.901 de pachete de produse alimentare conținând făină, mălai, paste făinoase, ulei, zahăr, conservă pateu de ficat de porc.</w:t>
      </w:r>
    </w:p>
    <w:p w14:paraId="196DC62A" w14:textId="77777777" w:rsidR="00B91A69" w:rsidRPr="00C1729E" w:rsidRDefault="00B91A69" w:rsidP="009941AE">
      <w:pPr>
        <w:spacing w:after="60" w:line="240" w:lineRule="auto"/>
        <w:jc w:val="both"/>
        <w:rPr>
          <w:sz w:val="24"/>
          <w:szCs w:val="24"/>
        </w:rPr>
      </w:pPr>
      <w:r w:rsidRPr="00C1729E">
        <w:rPr>
          <w:rFonts w:cs="Arial"/>
          <w:sz w:val="24"/>
          <w:szCs w:val="24"/>
        </w:rPr>
        <w:t xml:space="preserve">În anul 2017 a fost modificat POAD în sensul diversificării grupului țintă și a ajutoarelor oferite. Modificările au vizat asigurarea unei mai mari varietăți a măsurilor finanțate prin POAD. Prin această modificare s-a asigurat o mai mare varietate a măsurilor finanțate, respectiv lărgirea categoriilor de produse oferite, astfel încât să poată fi adresate mai multe tipuri de </w:t>
      </w:r>
      <w:proofErr w:type="spellStart"/>
      <w:r w:rsidRPr="00C1729E">
        <w:rPr>
          <w:rFonts w:cs="Arial"/>
          <w:sz w:val="24"/>
          <w:szCs w:val="24"/>
        </w:rPr>
        <w:t>deprivare</w:t>
      </w:r>
      <w:proofErr w:type="spellEnd"/>
      <w:r w:rsidRPr="00C1729E">
        <w:rPr>
          <w:rFonts w:cs="Arial"/>
          <w:sz w:val="24"/>
          <w:szCs w:val="24"/>
        </w:rPr>
        <w:t xml:space="preserve"> și precaritate (ex: introducerea de mese calde prin intermediul cantinelor, introducerea de rechizite pentru preșcolari, a pachetelor de igienă, a trusourilor pentru nou-născuți, a articolelor de îmbrăcăminte, încălțăminte și a sacilor de dormit pentru persoanele fără adăpost). S-a avut în vedere și concentrarea sprijinului acordat persoanelor defavorizate, respectiv creșterea frecvenței cu care se acordă sprijinul, precum și adăugarea unor noi categorii de grup țintă: copiii preșcolari, cuplurile </w:t>
      </w:r>
      <w:proofErr w:type="spellStart"/>
      <w:r w:rsidRPr="00C1729E">
        <w:rPr>
          <w:rFonts w:cs="Arial"/>
          <w:sz w:val="24"/>
          <w:szCs w:val="24"/>
        </w:rPr>
        <w:t>mamă-nou-născut</w:t>
      </w:r>
      <w:proofErr w:type="spellEnd"/>
      <w:r w:rsidRPr="00C1729E">
        <w:rPr>
          <w:rFonts w:cs="Arial"/>
          <w:sz w:val="24"/>
          <w:szCs w:val="24"/>
        </w:rPr>
        <w:t xml:space="preserve"> în risc de abandon, persoanele fără adăpost și persoanele aflate în situații temporare de criză. POAD a fost modificat prin Decizia Comisiei C (2017) 1086 final.</w:t>
      </w:r>
      <w:r w:rsidRPr="00C1729E">
        <w:rPr>
          <w:sz w:val="24"/>
          <w:szCs w:val="24"/>
        </w:rPr>
        <w:t xml:space="preserve"> Ca urmare a modificării POAD, </w:t>
      </w:r>
      <w:r w:rsidRPr="00C1729E">
        <w:rPr>
          <w:rFonts w:cs="Arial"/>
          <w:sz w:val="24"/>
          <w:szCs w:val="24"/>
        </w:rPr>
        <w:t>s-a actualizat baza legală fiind aprobată Hotărârea Guvernului  nr. 784/ 04.10.2018 pentru stabilirea unor măsuri necesare în vederea implementării POAD care abrogă Hotărârea Guvernului nr. 799/2014 privind implementarea POAD.</w:t>
      </w:r>
    </w:p>
    <w:p w14:paraId="2357EC5C" w14:textId="77777777" w:rsidR="00FE7E13" w:rsidRPr="00C1729E" w:rsidRDefault="00FE7E13" w:rsidP="009941AE">
      <w:pPr>
        <w:spacing w:after="60" w:line="240" w:lineRule="auto"/>
        <w:jc w:val="both"/>
        <w:rPr>
          <w:sz w:val="24"/>
          <w:szCs w:val="24"/>
        </w:rPr>
      </w:pPr>
    </w:p>
    <w:p w14:paraId="7F135A9D" w14:textId="77777777" w:rsidR="00FF2004" w:rsidRPr="00C1729E" w:rsidRDefault="00B91A69" w:rsidP="009941AE">
      <w:pPr>
        <w:spacing w:after="60" w:line="240" w:lineRule="auto"/>
        <w:jc w:val="both"/>
        <w:rPr>
          <w:b/>
          <w:color w:val="548DD4" w:themeColor="text2" w:themeTint="99"/>
        </w:rPr>
      </w:pPr>
      <w:r w:rsidRPr="00C1729E">
        <w:rPr>
          <w:b/>
          <w:color w:val="548DD4" w:themeColor="text2" w:themeTint="99"/>
        </w:rPr>
        <w:t>6. După caz, acțiunile întreprinse pentru consolidarea capacității autorităților din statele membre și a beneficiarilor în privința administrării și utilizării fondurilor ESI [articolul 52 alineatul (2) litera (f) din regulamentul (UE) nr. 1303/2013]</w:t>
      </w:r>
    </w:p>
    <w:p w14:paraId="24882708" w14:textId="77777777" w:rsidR="0049053D" w:rsidRPr="00C1729E" w:rsidRDefault="0049053D" w:rsidP="009941AE">
      <w:pPr>
        <w:spacing w:after="60" w:line="240" w:lineRule="auto"/>
        <w:jc w:val="both"/>
        <w:rPr>
          <w:rFonts w:eastAsia="Calibri" w:cs="Times New Roman"/>
          <w:bCs/>
          <w:sz w:val="24"/>
          <w:szCs w:val="24"/>
        </w:rPr>
      </w:pPr>
      <w:r w:rsidRPr="00C1729E">
        <w:rPr>
          <w:rFonts w:eastAsia="Calibri" w:cs="Times New Roman"/>
          <w:bCs/>
          <w:sz w:val="24"/>
          <w:szCs w:val="24"/>
        </w:rPr>
        <w:t>Măsurile întreprinse pentru consolidarea capacității autorităților implicate în sistemul de management și control și a beneficiarilor au vizat:</w:t>
      </w:r>
    </w:p>
    <w:p w14:paraId="164E2A43" w14:textId="77777777" w:rsidR="0049053D" w:rsidRPr="00C1729E" w:rsidRDefault="0049053D" w:rsidP="009941AE">
      <w:pPr>
        <w:pStyle w:val="ListParagraph"/>
        <w:numPr>
          <w:ilvl w:val="0"/>
          <w:numId w:val="17"/>
        </w:numPr>
        <w:spacing w:after="60" w:line="240" w:lineRule="auto"/>
        <w:jc w:val="both"/>
        <w:rPr>
          <w:rFonts w:eastAsia="Calibri" w:cs="Times New Roman"/>
          <w:bCs/>
          <w:sz w:val="24"/>
          <w:szCs w:val="24"/>
        </w:rPr>
      </w:pPr>
      <w:r w:rsidRPr="00C1729E">
        <w:rPr>
          <w:rFonts w:eastAsia="Calibri" w:cs="Times New Roman"/>
          <w:bCs/>
          <w:sz w:val="24"/>
          <w:szCs w:val="24"/>
        </w:rPr>
        <w:t xml:space="preserve">Reconfigurarea cadrului instituțional pentru gestionarea FESI, autoritățile de management pentru Politica de Coeziune fiind concentrate în două ministere, respectiv Ministerul Dezvoltării Regionale, Administrației Publice (MDRAP) și Ministerul Fondurilor Europene (MFE). </w:t>
      </w:r>
    </w:p>
    <w:p w14:paraId="4FB80356" w14:textId="77777777" w:rsidR="0049053D" w:rsidRPr="00C1729E" w:rsidRDefault="0049053D" w:rsidP="009941AE">
      <w:pPr>
        <w:pStyle w:val="ListParagraph"/>
        <w:numPr>
          <w:ilvl w:val="0"/>
          <w:numId w:val="17"/>
        </w:numPr>
        <w:spacing w:after="60" w:line="240" w:lineRule="auto"/>
        <w:jc w:val="both"/>
        <w:rPr>
          <w:rFonts w:eastAsia="Calibri" w:cs="Times New Roman"/>
          <w:bCs/>
          <w:sz w:val="24"/>
          <w:szCs w:val="24"/>
        </w:rPr>
      </w:pPr>
      <w:r w:rsidRPr="00C1729E">
        <w:rPr>
          <w:rFonts w:eastAsia="Calibri" w:cs="Times New Roman"/>
          <w:bCs/>
          <w:sz w:val="24"/>
          <w:szCs w:val="24"/>
        </w:rPr>
        <w:t>Consolidarea funcției de coordonare – la nivelul MFE şi-a continuat activitatea structura cu rol de coordonare, respectiv Direcția Generală Programare şi Coordonare Sistem, căreia îi revin atribuții ce vizează aspectele orizontale ale gestionării/implementării fondurilor ESI. De asemenea, în cadrul MFE, funcționează structura de coordonare a sistemului informatic dedicat actualei perioade de programare – Direcția Coordonare SMIS și IT.</w:t>
      </w:r>
    </w:p>
    <w:p w14:paraId="6164E085"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 xml:space="preserve">Coordonarea procesului de închidere a programelor 2007-2013 prin sprijinirea autorităţilor de management în elaborarea şi promovarea unor acte normative privind </w:t>
      </w:r>
      <w:proofErr w:type="spellStart"/>
      <w:r w:rsidRPr="00C1729E">
        <w:rPr>
          <w:rFonts w:eastAsia="Calibri" w:cs="Times New Roman"/>
          <w:bCs/>
          <w:sz w:val="24"/>
          <w:szCs w:val="24"/>
        </w:rPr>
        <w:t>decertificarea</w:t>
      </w:r>
      <w:proofErr w:type="spellEnd"/>
      <w:r w:rsidRPr="00C1729E">
        <w:rPr>
          <w:rFonts w:eastAsia="Calibri" w:cs="Times New Roman"/>
          <w:bCs/>
          <w:sz w:val="24"/>
          <w:szCs w:val="24"/>
        </w:rPr>
        <w:t xml:space="preserve"> definitivă din declaraţia finală de cheltuieli şi aplicaţia de plată a soldului final a unor cheltuieli aferente proiectelor finanţate prin PO 2007-2013</w:t>
      </w:r>
    </w:p>
    <w:p w14:paraId="760625D4"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Coordonare grup de lucru interministerial pentru modificarea OUG nr. 66/2011 privind prevenirea, constatarea și sancționarea neregulilor apărute în obținerea și utilizarea fondurilor europene și/sau a fondurilor publice naționale aferente acestora</w:t>
      </w:r>
    </w:p>
    <w:p w14:paraId="64E63C36"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lastRenderedPageBreak/>
        <w:t>Elaborare și promovare în vederea aprobării a proiectelor de acte normative de modificare a OUG nr.40/2015 privind gestionarea financiară a fondurilor europene pentru perioada de programare 2014-2020</w:t>
      </w:r>
    </w:p>
    <w:p w14:paraId="6FA0C9BE"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Coordonarea procesului de elaborare cerințe pentru algoritmi de calcul necesari în sistemul informatic SMIS 2014+ pentru generarea automată a conturilor anuale</w:t>
      </w:r>
    </w:p>
    <w:p w14:paraId="06686DF8"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Organizarea sesiunilor de instruire ARACHNE</w:t>
      </w:r>
    </w:p>
    <w:p w14:paraId="6F4F84F4"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Monitorizarea permanentă a stadiului implementării programelor 2007-2013 și 2014-2020</w:t>
      </w:r>
    </w:p>
    <w:p w14:paraId="58AC77E1" w14:textId="77777777" w:rsidR="0049053D" w:rsidRPr="00C1729E" w:rsidRDefault="0049053D" w:rsidP="009941AE">
      <w:pPr>
        <w:pStyle w:val="ListParagraph"/>
        <w:numPr>
          <w:ilvl w:val="0"/>
          <w:numId w:val="17"/>
        </w:numPr>
        <w:spacing w:after="60" w:line="240" w:lineRule="auto"/>
        <w:jc w:val="both"/>
        <w:rPr>
          <w:rFonts w:eastAsia="Calibri" w:cs="Times New Roman"/>
          <w:bCs/>
          <w:sz w:val="24"/>
          <w:szCs w:val="24"/>
        </w:rPr>
      </w:pPr>
      <w:r w:rsidRPr="00C1729E">
        <w:rPr>
          <w:rFonts w:eastAsia="Calibri" w:cs="Times New Roman"/>
          <w:bCs/>
          <w:sz w:val="24"/>
          <w:szCs w:val="24"/>
        </w:rPr>
        <w:t>Desemnarea autorităților implicate în sistemul de management și control al programelor finanțate în perioada de programare 2014-2020 a fost realizată în perioada 2016-2017, cu notificarea în consecință a CE. Activitatea de monitorizare a desemnării are caracter permanent, pentru a fi asigurată respectarea continua a cerințelor/criteriilor de acreditare.</w:t>
      </w:r>
    </w:p>
    <w:p w14:paraId="6B7FDAA9" w14:textId="77777777" w:rsidR="0049053D" w:rsidRPr="00C1729E" w:rsidRDefault="0049053D" w:rsidP="009941AE">
      <w:pPr>
        <w:pStyle w:val="ListParagraph"/>
        <w:numPr>
          <w:ilvl w:val="0"/>
          <w:numId w:val="17"/>
        </w:numPr>
        <w:spacing w:after="60" w:line="240" w:lineRule="auto"/>
        <w:jc w:val="both"/>
        <w:rPr>
          <w:rFonts w:eastAsiaTheme="minorEastAsia" w:cs="Trebuchet MS"/>
          <w:bCs/>
          <w:iCs/>
          <w:color w:val="000000" w:themeColor="text1"/>
          <w:kern w:val="24"/>
          <w:sz w:val="24"/>
          <w:szCs w:val="24"/>
        </w:rPr>
      </w:pPr>
      <w:r w:rsidRPr="00C1729E">
        <w:rPr>
          <w:rFonts w:eastAsia="Calibri" w:cs="Times New Roman"/>
          <w:bCs/>
          <w:sz w:val="24"/>
          <w:szCs w:val="24"/>
        </w:rPr>
        <w:t>Pentru consolidarea capacității structurilor parteneriale, respectiv Comitetul de Coordonare pentru Managementul Acordului de Parteneriat, Comitetele de Monitorizare și Grupurile de Lucru constituite pentru elaborarea documentelor de programare 2021-2027 este finanțat prin POAT un proiect care are ca obiective dezvoltarea și implementarea unui cadru partenerial stabil și organizat la nivelul procesului de coordonare și gestionare a fondurilor europene și consolidarea culturii parteneriale în procesul de programare si gestionare a fondurilor.</w:t>
      </w:r>
    </w:p>
    <w:p w14:paraId="22F48320" w14:textId="77777777" w:rsidR="0049053D" w:rsidRPr="00C1729E" w:rsidRDefault="0049053D" w:rsidP="009941AE">
      <w:pPr>
        <w:pStyle w:val="ListParagraph"/>
        <w:numPr>
          <w:ilvl w:val="0"/>
          <w:numId w:val="17"/>
        </w:numPr>
        <w:spacing w:after="60" w:line="240" w:lineRule="auto"/>
        <w:jc w:val="both"/>
        <w:rPr>
          <w:rFonts w:eastAsiaTheme="minorEastAsia" w:cs="Trebuchet MS"/>
          <w:bCs/>
          <w:iCs/>
          <w:color w:val="000000" w:themeColor="text1"/>
          <w:kern w:val="24"/>
          <w:sz w:val="24"/>
          <w:szCs w:val="24"/>
        </w:rPr>
      </w:pPr>
      <w:r w:rsidRPr="00C1729E">
        <w:rPr>
          <w:bCs/>
          <w:sz w:val="24"/>
          <w:szCs w:val="24"/>
        </w:rPr>
        <w:t>Întărirea capacității administrative prin creșterea nivelului de pregătire a personalului implicat în derularea proiectelor (</w:t>
      </w:r>
      <w:proofErr w:type="spellStart"/>
      <w:r w:rsidRPr="00C1729E">
        <w:rPr>
          <w:bCs/>
          <w:sz w:val="24"/>
          <w:szCs w:val="24"/>
        </w:rPr>
        <w:t>selectie</w:t>
      </w:r>
      <w:proofErr w:type="spellEnd"/>
      <w:r w:rsidRPr="00C1729E">
        <w:rPr>
          <w:bCs/>
          <w:sz w:val="24"/>
          <w:szCs w:val="24"/>
        </w:rPr>
        <w:t xml:space="preserve">, control, verificări de management, </w:t>
      </w:r>
      <w:proofErr w:type="spellStart"/>
      <w:r w:rsidRPr="00C1729E">
        <w:rPr>
          <w:bCs/>
          <w:sz w:val="24"/>
          <w:szCs w:val="24"/>
        </w:rPr>
        <w:t>etc</w:t>
      </w:r>
      <w:proofErr w:type="spellEnd"/>
      <w:r w:rsidRPr="00C1729E">
        <w:rPr>
          <w:bCs/>
          <w:sz w:val="24"/>
          <w:szCs w:val="24"/>
        </w:rPr>
        <w:t xml:space="preserve">): </w:t>
      </w:r>
    </w:p>
    <w:p w14:paraId="195734AD"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instruirea orizontală pentru personalul din cadrul sistemului de coordonare, gestionare și control al FESI, în domeniul achizițiilor publice și al prevenirii și combaterii faptelor de corupție și promovarea standardelor de etică și integritate (proiect POAT, beneficiar  Agenția Națională a Funcționarilor Publici);</w:t>
      </w:r>
    </w:p>
    <w:p w14:paraId="418C805A"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continuarea formării personalului în vederea gestionării eficiente a fondurilor ESI (proiect POAT, beneficiari Autoritatea de Certificare și Plată, Autoritatea de Audit, OI pentru Cercetare, OI pentru Promovarea Societății Informaționale, MFE - structurile de coordonare a FESI și AM POAT, AM POIM, AM POC);</w:t>
      </w:r>
    </w:p>
    <w:p w14:paraId="4624DCAE"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asigurarea sprijinului necesar OIPSI pentru realizarea activităților de monitorizare proiecte, management financiar, verificare achiziții pentru AP 2 POC 2014 - 2020 (TIC), cât și pentru închiderea Axei 3 POS CCE 2007 – 2013,</w:t>
      </w:r>
    </w:p>
    <w:p w14:paraId="0F32CCD7"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sprijin pentru asigurarea expertizei tehnice de specialitate în domeniul evaluării pentru proiectele depuse în cadrul AP 2 POC - Acțiunile 2.1.1 și 2.2.1, în perioada 2018-2019,</w:t>
      </w:r>
    </w:p>
    <w:p w14:paraId="2AE90E7A" w14:textId="77777777" w:rsidR="0049053D" w:rsidRPr="00C1729E" w:rsidRDefault="0049053D" w:rsidP="009941AE">
      <w:pPr>
        <w:pStyle w:val="ListParagraph"/>
        <w:numPr>
          <w:ilvl w:val="0"/>
          <w:numId w:val="17"/>
        </w:numPr>
        <w:spacing w:after="60" w:line="240" w:lineRule="auto"/>
        <w:jc w:val="both"/>
        <w:rPr>
          <w:bCs/>
          <w:iCs/>
          <w:sz w:val="24"/>
          <w:szCs w:val="24"/>
        </w:rPr>
      </w:pPr>
      <w:r w:rsidRPr="00C1729E">
        <w:rPr>
          <w:bCs/>
          <w:iCs/>
          <w:sz w:val="24"/>
          <w:szCs w:val="24"/>
        </w:rPr>
        <w:t>Proiectele contractate la nivelul AM POAT susțin de asemenea:</w:t>
      </w:r>
    </w:p>
    <w:p w14:paraId="49DD24E7" w14:textId="77777777" w:rsidR="0049053D" w:rsidRPr="00C1729E" w:rsidRDefault="0049053D" w:rsidP="009941AE">
      <w:pPr>
        <w:pStyle w:val="ListParagraph"/>
        <w:numPr>
          <w:ilvl w:val="0"/>
          <w:numId w:val="15"/>
        </w:numPr>
        <w:spacing w:after="60" w:line="240" w:lineRule="auto"/>
        <w:contextualSpacing w:val="0"/>
        <w:jc w:val="both"/>
        <w:rPr>
          <w:bCs/>
          <w:iCs/>
          <w:sz w:val="24"/>
          <w:szCs w:val="24"/>
        </w:rPr>
      </w:pPr>
      <w:r w:rsidRPr="00C1729E">
        <w:rPr>
          <w:bCs/>
          <w:iCs/>
          <w:sz w:val="24"/>
          <w:szCs w:val="24"/>
        </w:rPr>
        <w:t>asigurarea serviciilor de comunicații necesare utilizării sistemului informatic integrat SMIS2014+/MySMIS2014 (proiect POAT, beneficiar MFE prin Direcția Coordonare SMIS și IT),</w:t>
      </w:r>
    </w:p>
    <w:p w14:paraId="43DD8FCE" w14:textId="7B1A0935" w:rsidR="0049053D" w:rsidRPr="00C1729E" w:rsidRDefault="0049053D" w:rsidP="009941AE">
      <w:pPr>
        <w:pStyle w:val="ListParagraph"/>
        <w:numPr>
          <w:ilvl w:val="0"/>
          <w:numId w:val="15"/>
        </w:numPr>
        <w:spacing w:after="60" w:line="240" w:lineRule="auto"/>
        <w:contextualSpacing w:val="0"/>
        <w:jc w:val="both"/>
        <w:rPr>
          <w:bCs/>
          <w:iCs/>
          <w:sz w:val="24"/>
          <w:szCs w:val="24"/>
        </w:rPr>
      </w:pPr>
      <w:r w:rsidRPr="00C1729E">
        <w:rPr>
          <w:bCs/>
          <w:iCs/>
          <w:sz w:val="24"/>
          <w:szCs w:val="24"/>
        </w:rPr>
        <w:t>Unitatea de Implementare Proiecte din cadrul Ministerul Comunicațiilor și Societății Informaționale (UIP-MCSI)</w:t>
      </w:r>
      <w:r w:rsidR="000000C3">
        <w:rPr>
          <w:bCs/>
          <w:iCs/>
          <w:sz w:val="24"/>
          <w:szCs w:val="24"/>
        </w:rPr>
        <w:t xml:space="preserve"> care are printre atribuții</w:t>
      </w:r>
      <w:r w:rsidRPr="00C1729E">
        <w:rPr>
          <w:bCs/>
          <w:iCs/>
          <w:sz w:val="24"/>
          <w:szCs w:val="24"/>
        </w:rPr>
        <w:t xml:space="preserve">: </w:t>
      </w:r>
    </w:p>
    <w:p w14:paraId="25E29C2B"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dezvoltarea capacităţii de management al portofoliului de proiecte TIC din POC (e-guvernare, E-cultură) și îmbunătățirea capacității administrative beneficiarilor acestor proiecte  - Ministerul Culturii, Ministerul Afacerilor Interne, Agenția Națională pentru Persoane cu Dezabilități, Ministerul Muncii și Justiției Sociale.</w:t>
      </w:r>
    </w:p>
    <w:p w14:paraId="018DD84B"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elaborarea proiectului de lege a Interoperabilității (demers necesar îndeplinirii condiționalității ex-ante 2.1)</w:t>
      </w:r>
    </w:p>
    <w:p w14:paraId="39AF7157" w14:textId="77777777" w:rsidR="0049053D" w:rsidRPr="00C1729E" w:rsidRDefault="0049053D" w:rsidP="009941AE">
      <w:pPr>
        <w:pStyle w:val="ListParagraph"/>
        <w:numPr>
          <w:ilvl w:val="0"/>
          <w:numId w:val="15"/>
        </w:numPr>
        <w:spacing w:after="60" w:line="240" w:lineRule="auto"/>
        <w:contextualSpacing w:val="0"/>
        <w:jc w:val="both"/>
        <w:rPr>
          <w:bCs/>
          <w:iCs/>
          <w:sz w:val="24"/>
          <w:szCs w:val="24"/>
        </w:rPr>
      </w:pPr>
      <w:r w:rsidRPr="00C1729E">
        <w:rPr>
          <w:bCs/>
          <w:iCs/>
          <w:sz w:val="24"/>
          <w:szCs w:val="24"/>
        </w:rPr>
        <w:t>prin experții din cadrul Asociaţiei de Dezvoltare Intercomunitară ITI Delta Dunării (ADI-ITI DD):</w:t>
      </w:r>
      <w:r w:rsidRPr="00C1729E">
        <w:t xml:space="preserve"> </w:t>
      </w:r>
      <w:r w:rsidRPr="00C1729E">
        <w:rPr>
          <w:bCs/>
          <w:iCs/>
          <w:sz w:val="24"/>
          <w:szCs w:val="24"/>
        </w:rPr>
        <w:t>b)</w:t>
      </w:r>
      <w:r w:rsidRPr="00C1729E">
        <w:rPr>
          <w:bCs/>
          <w:iCs/>
          <w:sz w:val="24"/>
          <w:szCs w:val="24"/>
        </w:rPr>
        <w:tab/>
      </w:r>
    </w:p>
    <w:p w14:paraId="1A9BE403"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lastRenderedPageBreak/>
        <w:t xml:space="preserve">monitorizarea și coordonarea implementării proiectelor din cadrul mecanismului ITI, prin implementarea modulului informatic de tip </w:t>
      </w:r>
      <w:proofErr w:type="spellStart"/>
      <w:r w:rsidRPr="00C1729E">
        <w:rPr>
          <w:rFonts w:eastAsia="Calibri" w:cs="Times New Roman"/>
          <w:bCs/>
          <w:sz w:val="24"/>
          <w:szCs w:val="24"/>
        </w:rPr>
        <w:t>Helpdesk</w:t>
      </w:r>
      <w:proofErr w:type="spellEnd"/>
      <w:r w:rsidRPr="00C1729E">
        <w:rPr>
          <w:rFonts w:eastAsia="Calibri" w:cs="Times New Roman"/>
          <w:bCs/>
          <w:sz w:val="24"/>
          <w:szCs w:val="24"/>
        </w:rPr>
        <w:t xml:space="preserve"> pentru beneficiarii FESI din teritoriul ITI, accesibil de pe site-ul ADI ITI DD - </w:t>
      </w:r>
      <w:hyperlink r:id="rId10" w:history="1">
        <w:r w:rsidRPr="00C1729E">
          <w:rPr>
            <w:rFonts w:eastAsia="Calibri" w:cs="Times New Roman"/>
          </w:rPr>
          <w:t>www.itideltadunarii.com</w:t>
        </w:r>
      </w:hyperlink>
    </w:p>
    <w:p w14:paraId="6986F804" w14:textId="77777777" w:rsidR="0049053D" w:rsidRPr="00C1729E" w:rsidRDefault="0049053D" w:rsidP="009941AE">
      <w:pPr>
        <w:pStyle w:val="ListParagraph"/>
        <w:numPr>
          <w:ilvl w:val="0"/>
          <w:numId w:val="16"/>
        </w:numPr>
        <w:spacing w:after="60" w:line="240" w:lineRule="auto"/>
        <w:jc w:val="both"/>
        <w:rPr>
          <w:rFonts w:eastAsia="Calibri" w:cs="Times New Roman"/>
          <w:bCs/>
          <w:sz w:val="24"/>
          <w:szCs w:val="24"/>
        </w:rPr>
      </w:pPr>
      <w:r w:rsidRPr="00C1729E">
        <w:rPr>
          <w:rFonts w:eastAsia="Calibri" w:cs="Times New Roman"/>
          <w:bCs/>
          <w:sz w:val="24"/>
          <w:szCs w:val="24"/>
        </w:rPr>
        <w:t>asigurarea consultanței tehnice în domeniul achizițiilor publice pentru beneficiarii care gestionează portofoliul de proiecte strategice cu impact relevant asupra SIDD DD;</w:t>
      </w:r>
    </w:p>
    <w:p w14:paraId="79E5A2BE" w14:textId="77777777" w:rsidR="0049053D" w:rsidRPr="00C1729E" w:rsidRDefault="0049053D" w:rsidP="009941AE">
      <w:pPr>
        <w:pStyle w:val="ListParagraph"/>
        <w:numPr>
          <w:ilvl w:val="0"/>
          <w:numId w:val="15"/>
        </w:numPr>
        <w:spacing w:after="60" w:line="240" w:lineRule="auto"/>
        <w:contextualSpacing w:val="0"/>
        <w:jc w:val="both"/>
        <w:rPr>
          <w:rFonts w:eastAsia="Calibri" w:cs="Times New Roman"/>
          <w:bCs/>
          <w:sz w:val="24"/>
          <w:szCs w:val="24"/>
        </w:rPr>
      </w:pPr>
      <w:r w:rsidRPr="00C1729E">
        <w:rPr>
          <w:rFonts w:eastAsia="Calibri" w:cs="Times New Roman"/>
          <w:bCs/>
          <w:sz w:val="24"/>
          <w:szCs w:val="24"/>
        </w:rPr>
        <w:t>consolidarea capacității beneficiarilor prin participare la sesiuni de instruire în domeniul prevenirii neregulilor și a fraudei, achizițiilor publice – noul pachet legislativ/sistem de verificare a conflictului de interese și incompatibilități,  aplicarea unitară a procedurilor în cadrul proiectelor finanţate din instrumente structurale.</w:t>
      </w:r>
    </w:p>
    <w:p w14:paraId="79A14570" w14:textId="77777777" w:rsidR="0049053D" w:rsidRPr="00C1729E" w:rsidRDefault="0049053D" w:rsidP="009941AE">
      <w:pPr>
        <w:pStyle w:val="ListParagraph"/>
        <w:numPr>
          <w:ilvl w:val="0"/>
          <w:numId w:val="15"/>
        </w:numPr>
        <w:spacing w:after="60" w:line="240" w:lineRule="auto"/>
        <w:contextualSpacing w:val="0"/>
        <w:jc w:val="both"/>
        <w:rPr>
          <w:bCs/>
          <w:iCs/>
          <w:sz w:val="24"/>
          <w:szCs w:val="24"/>
        </w:rPr>
      </w:pPr>
      <w:r w:rsidRPr="00C1729E">
        <w:rPr>
          <w:bCs/>
          <w:iCs/>
          <w:sz w:val="24"/>
          <w:szCs w:val="24"/>
        </w:rPr>
        <w:t xml:space="preserve">acordarea de asistență tehnică BEI beneficiarilor din sectoarele transport, mediu și prevenirea riscurilor, în sensul pregătirii proiectelor noi și sprijinirii procesului de implementare a proiectelor CNAIR, CFR, </w:t>
      </w:r>
      <w:proofErr w:type="spellStart"/>
      <w:r w:rsidRPr="00C1729E">
        <w:rPr>
          <w:bCs/>
          <w:iCs/>
          <w:sz w:val="24"/>
          <w:szCs w:val="24"/>
        </w:rPr>
        <w:t>Metrorex</w:t>
      </w:r>
      <w:proofErr w:type="spellEnd"/>
      <w:r w:rsidRPr="00C1729E">
        <w:rPr>
          <w:bCs/>
          <w:iCs/>
          <w:sz w:val="24"/>
          <w:szCs w:val="24"/>
        </w:rPr>
        <w:t xml:space="preserve"> și ARF, precum și consolidarea capacității instituționale a beneficiarilor POIM prin organizarea de sesiuni de instruire pe teme orizontale și specifice, precum managementul contractelor de lucrări, evaluarea impactului asupra mediului, proiectul tehnic și monitorizarea execuției acestuia, studiul de trafic și analiza cost beneficiu - pentru sectoarele transport și mediu (proiect POAT – PASSA BEI: „Asigurarea de servicii de asistenţă tehnică din partea experţilor BEI pentru gestionarea POIM 2014-2020 la nivelul AM POIM şi a OI Transport şi pentru închiderea POS Mediu şi POS Transport 2007-2013 la nivelul AM POS Transport şi AM POS Mediu)</w:t>
      </w:r>
    </w:p>
    <w:p w14:paraId="3AF1C19D" w14:textId="77777777" w:rsidR="0049053D" w:rsidRPr="00C1729E" w:rsidRDefault="0049053D" w:rsidP="009941AE">
      <w:pPr>
        <w:spacing w:after="60" w:line="240" w:lineRule="auto"/>
        <w:jc w:val="both"/>
        <w:rPr>
          <w:bCs/>
          <w:iCs/>
          <w:sz w:val="24"/>
          <w:szCs w:val="24"/>
        </w:rPr>
      </w:pPr>
    </w:p>
    <w:p w14:paraId="679D7B79" w14:textId="266180F1" w:rsidR="0049053D" w:rsidRPr="00C1729E" w:rsidRDefault="0049053D" w:rsidP="009941AE">
      <w:pPr>
        <w:pStyle w:val="ListParagraph"/>
        <w:numPr>
          <w:ilvl w:val="0"/>
          <w:numId w:val="17"/>
        </w:numPr>
        <w:spacing w:after="60" w:line="240" w:lineRule="auto"/>
        <w:jc w:val="both"/>
        <w:rPr>
          <w:bCs/>
          <w:iCs/>
          <w:sz w:val="24"/>
          <w:szCs w:val="24"/>
        </w:rPr>
      </w:pPr>
      <w:r w:rsidRPr="00C1729E">
        <w:rPr>
          <w:bCs/>
          <w:iCs/>
          <w:sz w:val="24"/>
          <w:szCs w:val="24"/>
        </w:rPr>
        <w:t xml:space="preserve"> În cursul anului 2018, AM POCA a organizat si derulat 12 evenimente pentru beneficiarii și potențialii beneficiari POCA, astfel: 7 întâlniri de lucru organizate cu potențialii beneficiari din cadrul instituțiilor din administrația publică centrală, cu scopul de a clarifica măsurile de reformă ce vor fi susținute prin proiectele ce urmau a fi depuse în cadrul apelului IP12/2018, în București; 4 întâlniri de lucru organizate cu potențialii beneficiari din cadrul instituțiilor din administrația publică locală, în București, la care au participat reprezentanți ai consiliilor județene și ai structurilor asociative ale autorităților administrației publice locale (UNCJR, AMR, </w:t>
      </w:r>
      <w:proofErr w:type="spellStart"/>
      <w:r w:rsidRPr="00C1729E">
        <w:rPr>
          <w:bCs/>
          <w:iCs/>
          <w:sz w:val="24"/>
          <w:szCs w:val="24"/>
        </w:rPr>
        <w:t>ACoR</w:t>
      </w:r>
      <w:proofErr w:type="spellEnd"/>
      <w:r w:rsidRPr="00C1729E">
        <w:rPr>
          <w:bCs/>
          <w:iCs/>
          <w:sz w:val="24"/>
          <w:szCs w:val="24"/>
        </w:rPr>
        <w:t xml:space="preserve">). Scopul reuniunilor a fost acela de a identifica măsuri concrete ce urmau a fi incluse în ghidurile solicitantului CP10/2018, CP12/2018 precum și IP13/2019; 1 eveniment major de comunicare/informare anuală – 12 decembrie 2018. Scopul evenimentului a fost de a prezenta o parte din proiectele finanțate prin POCA în cadrul CP2/2017, cu beneficiari ONG-uri și parteneri sociali, prin care se urmărește elaborarea de politici publice alternative la inițiativele Guvernului. Prin acest eveniment s-a urmărit crearea premiselor pentru noi parteneriate, împărtășirea experienței ce derivă din implementarea proiectelor, multiplicarea rezultatelor la nivelul altor entități precum și asigurarea </w:t>
      </w:r>
      <w:proofErr w:type="spellStart"/>
      <w:r w:rsidRPr="00C1729E">
        <w:rPr>
          <w:bCs/>
          <w:iCs/>
          <w:sz w:val="24"/>
          <w:szCs w:val="24"/>
        </w:rPr>
        <w:t>sinergiilor</w:t>
      </w:r>
      <w:proofErr w:type="spellEnd"/>
      <w:r w:rsidRPr="00C1729E">
        <w:rPr>
          <w:bCs/>
          <w:iCs/>
          <w:sz w:val="24"/>
          <w:szCs w:val="24"/>
        </w:rPr>
        <w:t xml:space="preserve"> la nivelul intervențiilor susținute.</w:t>
      </w:r>
    </w:p>
    <w:p w14:paraId="1F96D030" w14:textId="059C638A" w:rsidR="0049053D" w:rsidRPr="00C1729E" w:rsidRDefault="0049053D" w:rsidP="009941AE">
      <w:pPr>
        <w:pStyle w:val="ListParagraph"/>
        <w:spacing w:after="60" w:line="240" w:lineRule="auto"/>
        <w:jc w:val="both"/>
        <w:rPr>
          <w:bCs/>
          <w:iCs/>
          <w:sz w:val="24"/>
          <w:szCs w:val="24"/>
        </w:rPr>
      </w:pPr>
      <w:r w:rsidRPr="00C1729E">
        <w:rPr>
          <w:bCs/>
          <w:iCs/>
          <w:sz w:val="24"/>
          <w:szCs w:val="24"/>
        </w:rPr>
        <w:t xml:space="preserve">De asemenea, AM POCA participă în proiectul pilot derulat de DG REGIO "Pacte de integritate – Mecanism de control civil pentru salvgardarea fondurilor europene" prin care 3 proceduri de achiziție publică vor fi monitorizate utilizând instrumentul Pact de integritate. </w:t>
      </w:r>
    </w:p>
    <w:p w14:paraId="77BD853F" w14:textId="77777777" w:rsidR="0049053D" w:rsidRPr="00C1729E" w:rsidRDefault="0049053D" w:rsidP="009941AE">
      <w:pPr>
        <w:pStyle w:val="ListParagraph"/>
        <w:numPr>
          <w:ilvl w:val="0"/>
          <w:numId w:val="17"/>
        </w:numPr>
        <w:spacing w:after="60" w:line="240" w:lineRule="auto"/>
        <w:jc w:val="both"/>
        <w:rPr>
          <w:bCs/>
          <w:iCs/>
          <w:sz w:val="24"/>
          <w:szCs w:val="24"/>
        </w:rPr>
      </w:pPr>
      <w:r w:rsidRPr="00C1729E">
        <w:rPr>
          <w:bCs/>
          <w:iCs/>
          <w:sz w:val="24"/>
          <w:szCs w:val="24"/>
        </w:rPr>
        <w:t>Implementarea Strategiei și a Planului de formare EIA/SEA pentru autoritățile competente de mediu - pentru perioada 2014-2020 (elaborată cu asistența JASPERS). Strategia și planul cuprind 2 cicluri de formare: Primul ciclu (2014 – 2016) este organizat în două etape cu sprijinul a 2 proiecte finanțate prin PO AT (2007-2013 și 2014-2020).</w:t>
      </w:r>
    </w:p>
    <w:p w14:paraId="3CADAA7D" w14:textId="77777777" w:rsidR="0049053D" w:rsidRPr="00C1729E" w:rsidRDefault="0049053D" w:rsidP="009941AE">
      <w:pPr>
        <w:pStyle w:val="ListParagraph"/>
        <w:numPr>
          <w:ilvl w:val="0"/>
          <w:numId w:val="17"/>
        </w:numPr>
        <w:spacing w:after="60" w:line="240" w:lineRule="auto"/>
        <w:jc w:val="both"/>
        <w:rPr>
          <w:bCs/>
          <w:iCs/>
          <w:sz w:val="24"/>
          <w:szCs w:val="24"/>
        </w:rPr>
      </w:pPr>
      <w:r w:rsidRPr="00C1729E">
        <w:rPr>
          <w:bCs/>
          <w:iCs/>
          <w:sz w:val="24"/>
          <w:szCs w:val="24"/>
        </w:rPr>
        <w:t xml:space="preserve">Consolidarea capacității AM PNDR realizată prin intermediul proiectelor derulate prin Măsura 20 - Asistența Tehnică, în cadrul unor evenimente sau sesiuni de instruire în diferite domenii relevante pentru activitatea direcției,aferente etapelor de planificare, implementare, monitorizare și evaluare a programului. Pe parcursul anului 2018 au fost organizate aproximativ 20 de sesiuni de instruire în următoarele domenii: </w:t>
      </w:r>
      <w:proofErr w:type="spellStart"/>
      <w:r w:rsidRPr="00C1729E">
        <w:rPr>
          <w:bCs/>
          <w:iCs/>
          <w:sz w:val="24"/>
          <w:szCs w:val="24"/>
        </w:rPr>
        <w:t>Achizitii</w:t>
      </w:r>
      <w:proofErr w:type="spellEnd"/>
      <w:r w:rsidRPr="00C1729E">
        <w:rPr>
          <w:bCs/>
          <w:iCs/>
          <w:sz w:val="24"/>
          <w:szCs w:val="24"/>
        </w:rPr>
        <w:t xml:space="preserve"> publice </w:t>
      </w:r>
      <w:r w:rsidRPr="00C1729E">
        <w:rPr>
          <w:bCs/>
          <w:iCs/>
          <w:sz w:val="24"/>
          <w:szCs w:val="24"/>
        </w:rPr>
        <w:lastRenderedPageBreak/>
        <w:t>și utilizarea SEAP/SICAP, Colectarea, stocarea și gestionarea avansată a datelor de monitorizare, elaborarea de modele ce stau la baza deciziilor și a analizei performanței programului prin utilizarea la nivel avansat a MS Office (Excel și Access) – Excel avansat, ECDL Standard, Management de proiect, Auditul fondurilor europene, evaluare proiecte. De asemenea, pe parcursul anului 2018 au fost organizate 10 evenimente Grup de Lucru LEADER, cu participarea a peste 1200 de persoane. Prin intermediul unui proiect pentru consolidarea capacității de evaluare a PNDR au fost întreprinse o serie de acțiuni destinate tuturor actorilor implicați în implementarea programului, respectiv AM PNDR, agenții de plăți, Grupuri de Acțiune Locală, Comitetul de Coordonare a Evaluării, Comitetul de Monitorizare. Totodată, pentru asigurarea vizibilității și informării publicului larg și a potențialilor beneficiari asupra implementării Programului Național de Dezvoltare Rurală, au fost organizate o serie de evenimente și s-au realizat materiale de informare, comunicare şi promovare. S-au desfășurate 8 întâlniri de tip conferință cu participarea a peste 2600 de persoane.</w:t>
      </w:r>
    </w:p>
    <w:p w14:paraId="6D7246C3" w14:textId="77777777" w:rsidR="0049053D" w:rsidRPr="00C1729E" w:rsidRDefault="0049053D" w:rsidP="009941AE">
      <w:pPr>
        <w:pStyle w:val="ListParagraph"/>
        <w:numPr>
          <w:ilvl w:val="0"/>
          <w:numId w:val="17"/>
        </w:numPr>
        <w:spacing w:after="60" w:line="240" w:lineRule="auto"/>
        <w:jc w:val="both"/>
        <w:rPr>
          <w:bCs/>
          <w:iCs/>
          <w:sz w:val="24"/>
          <w:szCs w:val="24"/>
        </w:rPr>
      </w:pPr>
      <w:r w:rsidRPr="00C1729E">
        <w:rPr>
          <w:bCs/>
          <w:iCs/>
          <w:sz w:val="24"/>
          <w:szCs w:val="24"/>
        </w:rPr>
        <w:t xml:space="preserve">Consolidarea capacității </w:t>
      </w:r>
      <w:r w:rsidRPr="00C1729E">
        <w:rPr>
          <w:b/>
          <w:bCs/>
          <w:iCs/>
          <w:sz w:val="24"/>
          <w:szCs w:val="24"/>
        </w:rPr>
        <w:t>AM POPAM</w:t>
      </w:r>
      <w:r w:rsidRPr="00C1729E">
        <w:rPr>
          <w:bCs/>
          <w:iCs/>
          <w:sz w:val="24"/>
          <w:szCs w:val="24"/>
        </w:rPr>
        <w:t xml:space="preserve"> prin instruirea personalului propriu în domeniile de interes pentru program. În anul 2018, personalul AMPOPAM a participat la instruiri cu privire la măsuri de control și antifraudă, și utilizarea aplicației informatice SMIS/</w:t>
      </w:r>
      <w:proofErr w:type="spellStart"/>
      <w:r w:rsidRPr="00C1729E">
        <w:rPr>
          <w:bCs/>
          <w:iCs/>
          <w:sz w:val="24"/>
          <w:szCs w:val="24"/>
        </w:rPr>
        <w:t>MySMIS</w:t>
      </w:r>
      <w:proofErr w:type="spellEnd"/>
      <w:r w:rsidRPr="00C1729E">
        <w:rPr>
          <w:bCs/>
          <w:iCs/>
          <w:sz w:val="24"/>
          <w:szCs w:val="24"/>
        </w:rPr>
        <w:t xml:space="preserve">.  Din punct de vedere al instruirii beneficiarilor, pentru a prezenta și detalia măsurile POPAM si modul de accesare a acestora, AMPOPAM a derulat în 2018 următoarele activități: </w:t>
      </w:r>
    </w:p>
    <w:p w14:paraId="5411A05F" w14:textId="77777777" w:rsidR="0049053D" w:rsidRPr="00C1729E" w:rsidRDefault="0049053D" w:rsidP="009941AE">
      <w:pPr>
        <w:pStyle w:val="ListParagraph"/>
        <w:numPr>
          <w:ilvl w:val="0"/>
          <w:numId w:val="18"/>
        </w:numPr>
        <w:spacing w:after="60" w:line="240" w:lineRule="auto"/>
        <w:jc w:val="both"/>
        <w:rPr>
          <w:bCs/>
          <w:iCs/>
          <w:sz w:val="24"/>
          <w:szCs w:val="24"/>
        </w:rPr>
      </w:pPr>
      <w:r w:rsidRPr="00C1729E">
        <w:rPr>
          <w:bCs/>
          <w:iCs/>
          <w:sz w:val="24"/>
          <w:szCs w:val="24"/>
        </w:rPr>
        <w:t xml:space="preserve">organizarea a 8 evenimente regionale de informare și promovare a POPAM, la care au participat reprezentanți ai beneficiarilor și potențialilor beneficiari, ai </w:t>
      </w:r>
      <w:proofErr w:type="spellStart"/>
      <w:r w:rsidRPr="00C1729E">
        <w:rPr>
          <w:bCs/>
          <w:iCs/>
          <w:sz w:val="24"/>
          <w:szCs w:val="24"/>
        </w:rPr>
        <w:t>FLAG-urilor</w:t>
      </w:r>
      <w:proofErr w:type="spellEnd"/>
      <w:r w:rsidRPr="00C1729E">
        <w:rPr>
          <w:bCs/>
          <w:iCs/>
          <w:sz w:val="24"/>
          <w:szCs w:val="24"/>
        </w:rPr>
        <w:t>, agenților economici, federațiilor și patronatelor din domeniu, firmelor de consultanță, Rețelei Europene a Zonelor de Pescuit (FARNET), mediului academic, precum și ai Agenției Naționale pentru Pescuit și Acvacultură, ai administrațiilor publice locale și ai mass media. Evenimentele au avut loc la Tulcea, Constanța, Cluj-Napoca, Sucevița, Râșnov (Brașov), Timișoara, Craiova, Fetești (Ialomița).</w:t>
      </w:r>
    </w:p>
    <w:p w14:paraId="43424E54" w14:textId="77777777" w:rsidR="0049053D" w:rsidRPr="00C1729E" w:rsidRDefault="0049053D" w:rsidP="009941AE">
      <w:pPr>
        <w:pStyle w:val="ListParagraph"/>
        <w:numPr>
          <w:ilvl w:val="0"/>
          <w:numId w:val="18"/>
        </w:numPr>
        <w:spacing w:after="60" w:line="240" w:lineRule="auto"/>
        <w:jc w:val="both"/>
        <w:rPr>
          <w:bCs/>
          <w:iCs/>
          <w:sz w:val="24"/>
          <w:szCs w:val="24"/>
        </w:rPr>
      </w:pPr>
      <w:r w:rsidRPr="00C1729E">
        <w:rPr>
          <w:bCs/>
          <w:iCs/>
          <w:sz w:val="24"/>
          <w:szCs w:val="24"/>
        </w:rPr>
        <w:t xml:space="preserve">2 seminarii FARNET dedicate celor 22 </w:t>
      </w:r>
      <w:proofErr w:type="spellStart"/>
      <w:r w:rsidRPr="00C1729E">
        <w:rPr>
          <w:bCs/>
          <w:iCs/>
          <w:sz w:val="24"/>
          <w:szCs w:val="24"/>
        </w:rPr>
        <w:t>FLAG-uri</w:t>
      </w:r>
      <w:proofErr w:type="spellEnd"/>
      <w:r w:rsidRPr="00C1729E">
        <w:rPr>
          <w:bCs/>
          <w:iCs/>
          <w:sz w:val="24"/>
          <w:szCs w:val="24"/>
        </w:rPr>
        <w:t xml:space="preserve"> și strategii de dezvoltare locală selectate pentru implementare în cadrul POPAM 2014-2020. La acest eveniment au participat reprezentanți ai tuturor </w:t>
      </w:r>
      <w:proofErr w:type="spellStart"/>
      <w:r w:rsidRPr="00C1729E">
        <w:rPr>
          <w:bCs/>
          <w:iCs/>
          <w:sz w:val="24"/>
          <w:szCs w:val="24"/>
        </w:rPr>
        <w:t>FLAG-urilor</w:t>
      </w:r>
      <w:proofErr w:type="spellEnd"/>
      <w:r w:rsidRPr="00C1729E">
        <w:rPr>
          <w:bCs/>
          <w:iCs/>
          <w:sz w:val="24"/>
          <w:szCs w:val="24"/>
        </w:rPr>
        <w:t>, ai AM POPAM, ai FZP și ai FARNET</w:t>
      </w:r>
    </w:p>
    <w:p w14:paraId="61C3C2FB" w14:textId="77777777" w:rsidR="0049053D" w:rsidRPr="00C1729E" w:rsidRDefault="0049053D" w:rsidP="009941AE">
      <w:pPr>
        <w:pStyle w:val="ListParagraph"/>
        <w:numPr>
          <w:ilvl w:val="0"/>
          <w:numId w:val="18"/>
        </w:numPr>
        <w:spacing w:after="60" w:line="240" w:lineRule="auto"/>
        <w:jc w:val="both"/>
        <w:rPr>
          <w:bCs/>
          <w:iCs/>
          <w:sz w:val="24"/>
          <w:szCs w:val="24"/>
        </w:rPr>
      </w:pPr>
      <w:r w:rsidRPr="00C1729E">
        <w:rPr>
          <w:bCs/>
          <w:iCs/>
          <w:sz w:val="24"/>
          <w:szCs w:val="24"/>
        </w:rPr>
        <w:t>3 întâlniri de lucru cu potențiali beneficiari ai măsurilor din cadrul PU1, la Constanța, Fetești și Tulcea, cu pescari și primari ai localităților din județ.</w:t>
      </w:r>
    </w:p>
    <w:p w14:paraId="2E1C088D" w14:textId="77777777" w:rsidR="0049053D" w:rsidRPr="00C1729E" w:rsidRDefault="0049053D" w:rsidP="009941AE">
      <w:pPr>
        <w:pStyle w:val="ListParagraph"/>
        <w:numPr>
          <w:ilvl w:val="0"/>
          <w:numId w:val="18"/>
        </w:numPr>
        <w:spacing w:after="60" w:line="240" w:lineRule="auto"/>
        <w:jc w:val="both"/>
        <w:rPr>
          <w:bCs/>
          <w:iCs/>
          <w:sz w:val="24"/>
          <w:szCs w:val="24"/>
        </w:rPr>
      </w:pPr>
      <w:r w:rsidRPr="00C1729E">
        <w:rPr>
          <w:bCs/>
          <w:iCs/>
          <w:sz w:val="24"/>
          <w:szCs w:val="24"/>
        </w:rPr>
        <w:t>6 întâlniri de lucru cu reprezentanții FLAG</w:t>
      </w:r>
    </w:p>
    <w:p w14:paraId="0480DC3F" w14:textId="77777777" w:rsidR="0049053D" w:rsidRPr="00C1729E" w:rsidRDefault="0049053D" w:rsidP="009941AE">
      <w:pPr>
        <w:pStyle w:val="ListParagraph"/>
        <w:numPr>
          <w:ilvl w:val="0"/>
          <w:numId w:val="17"/>
        </w:numPr>
        <w:spacing w:after="60" w:line="240" w:lineRule="auto"/>
        <w:jc w:val="both"/>
        <w:rPr>
          <w:bCs/>
          <w:sz w:val="24"/>
          <w:szCs w:val="24"/>
        </w:rPr>
      </w:pPr>
      <w:r w:rsidRPr="00C1729E">
        <w:rPr>
          <w:bCs/>
          <w:sz w:val="24"/>
          <w:szCs w:val="24"/>
        </w:rPr>
        <w:t>Asumarea de către MFE a rolului de coordonator național în vederea implementării Inițiativei Valea Jiului.</w:t>
      </w:r>
    </w:p>
    <w:p w14:paraId="5E8E1A40" w14:textId="77777777" w:rsidR="0049053D" w:rsidRPr="00C1729E" w:rsidRDefault="0049053D" w:rsidP="009941AE">
      <w:pPr>
        <w:pStyle w:val="ListParagraph"/>
        <w:numPr>
          <w:ilvl w:val="0"/>
          <w:numId w:val="17"/>
        </w:numPr>
        <w:spacing w:after="60" w:line="240" w:lineRule="auto"/>
        <w:jc w:val="both"/>
        <w:rPr>
          <w:bCs/>
          <w:sz w:val="24"/>
          <w:szCs w:val="24"/>
        </w:rPr>
      </w:pPr>
      <w:r w:rsidRPr="00C1729E">
        <w:rPr>
          <w:bCs/>
          <w:sz w:val="24"/>
          <w:szCs w:val="24"/>
        </w:rPr>
        <w:t>Asumarea de către MFE a rolului de coordonator național în vederea elaborării Strategiei naționale privind investițiile naționale și a documentelor naționale de programare în cadrul Politicii de Coeziune 2021-2027.</w:t>
      </w:r>
    </w:p>
    <w:p w14:paraId="0C920064" w14:textId="77777777" w:rsidR="00495057" w:rsidRPr="00C1729E" w:rsidRDefault="00495057" w:rsidP="009941AE">
      <w:pPr>
        <w:pStyle w:val="ListParagraph"/>
        <w:spacing w:after="60" w:line="240" w:lineRule="auto"/>
        <w:ind w:left="360"/>
        <w:contextualSpacing w:val="0"/>
        <w:jc w:val="both"/>
        <w:rPr>
          <w:bCs/>
          <w:sz w:val="24"/>
          <w:szCs w:val="24"/>
        </w:rPr>
      </w:pPr>
    </w:p>
    <w:p w14:paraId="5825A876" w14:textId="77777777" w:rsidR="00FF2004" w:rsidRPr="00C1729E" w:rsidRDefault="00B91A69" w:rsidP="009941AE">
      <w:pPr>
        <w:spacing w:after="60" w:line="240" w:lineRule="auto"/>
        <w:jc w:val="both"/>
        <w:rPr>
          <w:b/>
          <w:color w:val="548DD4" w:themeColor="text2" w:themeTint="99"/>
        </w:rPr>
      </w:pPr>
      <w:r w:rsidRPr="00C1729E">
        <w:rPr>
          <w:b/>
          <w:color w:val="548DD4" w:themeColor="text2" w:themeTint="99"/>
        </w:rPr>
        <w:t>7. Acțiunile întreprinse și progresele realizate în vederea reducerii sarcinii administrative pentru beneficiari [articolul 52 alineatul (2) litera (g) din regulamentul (UE) nr. 1303/2013]</w:t>
      </w:r>
    </w:p>
    <w:p w14:paraId="37BC902F" w14:textId="77777777" w:rsidR="0049053D" w:rsidRPr="00C1729E" w:rsidRDefault="0049053D" w:rsidP="009941AE">
      <w:pPr>
        <w:numPr>
          <w:ilvl w:val="0"/>
          <w:numId w:val="20"/>
        </w:numPr>
        <w:spacing w:after="60" w:line="240" w:lineRule="auto"/>
        <w:contextualSpacing/>
        <w:jc w:val="both"/>
        <w:rPr>
          <w:sz w:val="24"/>
          <w:szCs w:val="24"/>
        </w:rPr>
      </w:pPr>
      <w:r w:rsidRPr="00C1729E">
        <w:rPr>
          <w:sz w:val="24"/>
          <w:szCs w:val="24"/>
        </w:rPr>
        <w:t xml:space="preserve">În vederea reducerii sarcinilor administrative s-au luat măsuri de simplificare pe toate fazele de implementare: </w:t>
      </w:r>
    </w:p>
    <w:p w14:paraId="57F42254" w14:textId="77777777" w:rsidR="0049053D" w:rsidRPr="00C1729E" w:rsidRDefault="0049053D" w:rsidP="009941AE">
      <w:pPr>
        <w:numPr>
          <w:ilvl w:val="0"/>
          <w:numId w:val="21"/>
        </w:numPr>
        <w:spacing w:after="60" w:line="240" w:lineRule="auto"/>
        <w:contextualSpacing/>
        <w:jc w:val="both"/>
        <w:rPr>
          <w:sz w:val="24"/>
          <w:szCs w:val="24"/>
        </w:rPr>
      </w:pPr>
      <w:r w:rsidRPr="00C1729E">
        <w:rPr>
          <w:sz w:val="24"/>
          <w:szCs w:val="24"/>
        </w:rPr>
        <w:t xml:space="preserve">Etapa elaborării Cererii de finanțare: </w:t>
      </w:r>
    </w:p>
    <w:p w14:paraId="4BD5E6C1" w14:textId="77777777" w:rsidR="0049053D" w:rsidRPr="00C1729E" w:rsidRDefault="0049053D" w:rsidP="009941AE">
      <w:pPr>
        <w:numPr>
          <w:ilvl w:val="0"/>
          <w:numId w:val="22"/>
        </w:numPr>
        <w:spacing w:after="60" w:line="240" w:lineRule="auto"/>
        <w:jc w:val="both"/>
        <w:rPr>
          <w:bCs/>
          <w:iCs/>
          <w:sz w:val="24"/>
          <w:szCs w:val="24"/>
        </w:rPr>
      </w:pPr>
      <w:r w:rsidRPr="00C1729E">
        <w:rPr>
          <w:bCs/>
          <w:iCs/>
          <w:sz w:val="24"/>
          <w:szCs w:val="24"/>
        </w:rPr>
        <w:t>simplificarea ghidurilor pentru beneficiari și a procedurilor de accesare a fondurilor, pentru o mai mare coerență în funcționarea sistemului, astfel încât regulile să fie aproximativ aceleași pentru beneficiarul care depune un proiect, indiferent de programul din care se finanțează;</w:t>
      </w:r>
    </w:p>
    <w:p w14:paraId="680245B7"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 xml:space="preserve">elaborarea unor orientări pentru verificarea de către autoritățile de management a încadrării în conceptul de ”întreprindere în dificultate” și în conceptul de IMM prin </w:t>
      </w:r>
      <w:r w:rsidRPr="00C1729E">
        <w:rPr>
          <w:bCs/>
          <w:iCs/>
          <w:sz w:val="24"/>
          <w:szCs w:val="24"/>
        </w:rPr>
        <w:lastRenderedPageBreak/>
        <w:t>completarea Manualului utilizatorului pentru definiţia IMM-urilor cu detalii privind întreprinderile legate, în special legături prin persoane fizice;</w:t>
      </w:r>
    </w:p>
    <w:p w14:paraId="3A3961E3"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 xml:space="preserve">furnizarea în sprijinul beneficiarilor a unui instrument eficient de monitorizare și management la nivelul AM, prin utilizarea sistemului electronic </w:t>
      </w:r>
      <w:proofErr w:type="spellStart"/>
      <w:r w:rsidRPr="00C1729E">
        <w:rPr>
          <w:bCs/>
          <w:iCs/>
          <w:sz w:val="24"/>
          <w:szCs w:val="24"/>
        </w:rPr>
        <w:t>MySmis</w:t>
      </w:r>
      <w:proofErr w:type="spellEnd"/>
      <w:r w:rsidRPr="00C1729E">
        <w:rPr>
          <w:bCs/>
          <w:iCs/>
          <w:sz w:val="24"/>
          <w:szCs w:val="24"/>
        </w:rPr>
        <w:t>/SMIS 2014+;</w:t>
      </w:r>
    </w:p>
    <w:p w14:paraId="466D043A"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 xml:space="preserve">înființarea unui </w:t>
      </w:r>
      <w:proofErr w:type="spellStart"/>
      <w:r w:rsidRPr="00C1729E">
        <w:rPr>
          <w:bCs/>
          <w:iCs/>
          <w:sz w:val="24"/>
          <w:szCs w:val="24"/>
        </w:rPr>
        <w:t>helpdesk</w:t>
      </w:r>
      <w:proofErr w:type="spellEnd"/>
      <w:r w:rsidRPr="00C1729E">
        <w:rPr>
          <w:bCs/>
          <w:iCs/>
          <w:sz w:val="24"/>
          <w:szCs w:val="24"/>
        </w:rPr>
        <w:t xml:space="preserve"> pentru beneficiari;</w:t>
      </w:r>
    </w:p>
    <w:p w14:paraId="5F47F8D7"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elaborarea de forme îmbunătățite ale manualului beneficiarului, cuprinzând informații clare și complete privind toate etapele derulării unui proiect;</w:t>
      </w:r>
    </w:p>
    <w:p w14:paraId="67222CCA"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publicarea spre consultare a Ghidurilor Solicitantului – Condiții Specifice și asigurarea unei perioade de timp rezonabile între momentul lansării efective a unei cereri de propuneri de proiecte și data limită de depunere a aplicațiilor de finanțare;</w:t>
      </w:r>
    </w:p>
    <w:p w14:paraId="251D35AC"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eliminarea ordinelor de ministru privind cheltuielile eligibile la nivelul fiecărui program operațional.</w:t>
      </w:r>
    </w:p>
    <w:p w14:paraId="6CA0DDB9" w14:textId="77777777" w:rsidR="0049053D" w:rsidRPr="00C1729E" w:rsidRDefault="0049053D" w:rsidP="009941AE">
      <w:pPr>
        <w:numPr>
          <w:ilvl w:val="0"/>
          <w:numId w:val="22"/>
        </w:numPr>
        <w:spacing w:after="60" w:line="240" w:lineRule="auto"/>
        <w:ind w:hanging="357"/>
        <w:jc w:val="both"/>
        <w:rPr>
          <w:bCs/>
          <w:iCs/>
          <w:sz w:val="24"/>
          <w:szCs w:val="24"/>
        </w:rPr>
      </w:pPr>
      <w:r w:rsidRPr="00C1729E">
        <w:rPr>
          <w:bCs/>
          <w:iCs/>
          <w:sz w:val="24"/>
          <w:szCs w:val="24"/>
        </w:rPr>
        <w:t>elaborarea unor Orientări generale la nivel de program și publicarea calendarelor pentru apelurile de proiecte, în vederea asigurării unei reale predictibilități a posibilităților de finanțare;</w:t>
      </w:r>
    </w:p>
    <w:p w14:paraId="72670507" w14:textId="77777777" w:rsidR="0049053D" w:rsidRPr="00C1729E" w:rsidRDefault="0049053D" w:rsidP="009941AE">
      <w:pPr>
        <w:numPr>
          <w:ilvl w:val="0"/>
          <w:numId w:val="21"/>
        </w:numPr>
        <w:spacing w:after="60" w:line="240" w:lineRule="auto"/>
        <w:ind w:hanging="357"/>
        <w:jc w:val="both"/>
        <w:rPr>
          <w:sz w:val="24"/>
          <w:szCs w:val="24"/>
        </w:rPr>
      </w:pPr>
      <w:r w:rsidRPr="00C1729E">
        <w:rPr>
          <w:sz w:val="24"/>
          <w:szCs w:val="24"/>
        </w:rPr>
        <w:t>Implementare</w:t>
      </w:r>
    </w:p>
    <w:p w14:paraId="7538E370"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Reducerea timpului alocat pentru evaluarea proiectelor depuse și semnarea rapidă a contractelor de finanțare. În acest sens, sunt folosite inclusiv fondurile disponibile în Programul Operaţional de Asistență Tehnică.</w:t>
      </w:r>
    </w:p>
    <w:p w14:paraId="227A304F"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 xml:space="preserve">Rambursarea în termen a cheltuielilor declarate de beneficiari, prin intermediul sistemului informatic </w:t>
      </w:r>
      <w:proofErr w:type="spellStart"/>
      <w:r w:rsidRPr="00C1729E">
        <w:rPr>
          <w:bCs/>
          <w:iCs/>
          <w:sz w:val="24"/>
          <w:szCs w:val="24"/>
        </w:rPr>
        <w:t>MySMIS</w:t>
      </w:r>
      <w:proofErr w:type="spellEnd"/>
      <w:r w:rsidRPr="00C1729E">
        <w:rPr>
          <w:bCs/>
          <w:iCs/>
          <w:sz w:val="24"/>
          <w:szCs w:val="24"/>
        </w:rPr>
        <w:t>/SMIS 2014+ care asigură transparenţa procesului de la momentul depunerii și până la plata lor de către autoritățile de management.</w:t>
      </w:r>
    </w:p>
    <w:p w14:paraId="449BFA7A"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Monitorizarea fiecărui proiect prin introducerea funcției de manager de proiect în cadrul autorităților de management și realizarea de întâlniri periodice cu fiecare beneficiar pentru a analiza stadiul proiectului.</w:t>
      </w:r>
    </w:p>
    <w:p w14:paraId="2EE4E181"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crearea de modele standard de contracte de lucrări - proiectare și execuție</w:t>
      </w:r>
    </w:p>
    <w:p w14:paraId="1DABDAC5"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reducerea timpului de verificare de către autoritățile cu rol în gestionarea programelor operaționale a documentelor aferente procesului de contractare prin obținerea în mod direct de către autoritatea de management a unor documente (de ex. certificatele de atestare fiscală din sistemul informatic PATRIMVEN</w:t>
      </w:r>
    </w:p>
    <w:p w14:paraId="64F4874A"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Simplificarea procedurilor pentru autorizaţiile de construire a proiectelor de interes național, prevăzute în master planul general de transport: eliberarea autorizațiilor de construire fără elaborarea și aprobarea prealabilă a unei documentaţii de amenajarea teritoriului sau de urbanism, dar fără a afecta prevederile referitoare la calitatea și disciplina în construcții;</w:t>
      </w:r>
    </w:p>
    <w:p w14:paraId="13F705EA"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 xml:space="preserve">Stimularea schimbului de bune practici în implementarea mecanismelor de creștere a absorbției de fonduri europene cu alte țări membre UE. </w:t>
      </w:r>
    </w:p>
    <w:p w14:paraId="06AAA84B" w14:textId="77777777" w:rsidR="0049053D" w:rsidRPr="00C1729E" w:rsidRDefault="0049053D" w:rsidP="009941AE">
      <w:pPr>
        <w:numPr>
          <w:ilvl w:val="0"/>
          <w:numId w:val="20"/>
        </w:numPr>
        <w:spacing w:after="60" w:line="240" w:lineRule="auto"/>
        <w:contextualSpacing/>
        <w:jc w:val="both"/>
        <w:rPr>
          <w:bCs/>
          <w:sz w:val="24"/>
          <w:szCs w:val="24"/>
        </w:rPr>
      </w:pPr>
      <w:r w:rsidRPr="00C1729E">
        <w:rPr>
          <w:bCs/>
          <w:sz w:val="24"/>
          <w:szCs w:val="24"/>
        </w:rPr>
        <w:t>Realizarea unei Culegeri de spețe în domeniul achizițiilor, publicată pe pagina de internet a ministerului</w:t>
      </w:r>
    </w:p>
    <w:p w14:paraId="5C070742" w14:textId="77777777" w:rsidR="0049053D" w:rsidRPr="00C1729E" w:rsidRDefault="0049053D" w:rsidP="009941AE">
      <w:pPr>
        <w:numPr>
          <w:ilvl w:val="0"/>
          <w:numId w:val="20"/>
        </w:numPr>
        <w:spacing w:after="60" w:line="240" w:lineRule="auto"/>
        <w:contextualSpacing/>
        <w:jc w:val="both"/>
        <w:rPr>
          <w:bCs/>
          <w:sz w:val="24"/>
          <w:szCs w:val="24"/>
        </w:rPr>
      </w:pPr>
      <w:r w:rsidRPr="00C1729E">
        <w:rPr>
          <w:bCs/>
          <w:sz w:val="24"/>
          <w:szCs w:val="24"/>
        </w:rPr>
        <w:t>Au fost adoptate o serie de măsuri care au condus la reducerea sarcinii administrative asupra beneficiarilor POPAM.</w:t>
      </w:r>
    </w:p>
    <w:p w14:paraId="14AE49CB"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 xml:space="preserve">S-a redus numărul de documente solicitate la depunerea proiectelor, rămânând ca o serie de documente să fie prezentate la contractare, pentru fluidizarea procesului de depunere a proiectelor </w:t>
      </w:r>
    </w:p>
    <w:p w14:paraId="7D51A9EA"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t>S-a impus evaluarea continuă a proiectelor depuse în vederea scurtării termenelor de la depunerea la contractarea proiectelor</w:t>
      </w:r>
    </w:p>
    <w:p w14:paraId="40F0668D" w14:textId="77777777" w:rsidR="0049053D" w:rsidRPr="00C1729E" w:rsidRDefault="0049053D" w:rsidP="009941AE">
      <w:pPr>
        <w:numPr>
          <w:ilvl w:val="0"/>
          <w:numId w:val="23"/>
        </w:numPr>
        <w:spacing w:after="60" w:line="240" w:lineRule="auto"/>
        <w:jc w:val="both"/>
        <w:rPr>
          <w:bCs/>
          <w:iCs/>
          <w:sz w:val="24"/>
          <w:szCs w:val="24"/>
        </w:rPr>
      </w:pPr>
      <w:r w:rsidRPr="00C1729E">
        <w:rPr>
          <w:bCs/>
          <w:iCs/>
          <w:sz w:val="24"/>
          <w:szCs w:val="24"/>
        </w:rPr>
        <w:lastRenderedPageBreak/>
        <w:t>Reducerea numărului de autorizații/avize solicitate în faza de depunere a proiectului și separare clară între documentele solicitate în faza de evaluare și selecție și cele solicitate în faza de contractare.</w:t>
      </w:r>
    </w:p>
    <w:p w14:paraId="619B0277" w14:textId="77777777" w:rsidR="0049053D" w:rsidRPr="00C1729E" w:rsidRDefault="0049053D" w:rsidP="009941AE">
      <w:pPr>
        <w:numPr>
          <w:ilvl w:val="0"/>
          <w:numId w:val="20"/>
        </w:numPr>
        <w:spacing w:after="60" w:line="240" w:lineRule="auto"/>
        <w:contextualSpacing/>
        <w:jc w:val="both"/>
        <w:rPr>
          <w:bCs/>
          <w:sz w:val="24"/>
          <w:szCs w:val="24"/>
        </w:rPr>
      </w:pPr>
      <w:r w:rsidRPr="00C1729E">
        <w:rPr>
          <w:bCs/>
          <w:sz w:val="24"/>
          <w:szCs w:val="24"/>
        </w:rPr>
        <w:t>Au fost adoptate o serie de măsuri care au condus la reducerea sarcinii administrative asupra beneficiarilor PNDR</w:t>
      </w:r>
    </w:p>
    <w:p w14:paraId="12BA87DE"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depunere on-line a proiectelor în vederea reducerii perioadei de timp și a costurilor necesare pentru depunerea proiectelor, care a condus la îmbunătățirea semnificativă a eficacității și eficienței sistemului de implementare, în comparație cu perioada de programare anterioară, generând o percepție pozitivă în rândul părților interesate și al beneficiarilor</w:t>
      </w:r>
    </w:p>
    <w:p w14:paraId="18FB1410"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actualizare continuă a bazei de date cu prețuri de referință pentru mașini, utilaje și echipamente specializate care pot fi achiziționate prin măsurile de investiții aferente PNDR 2014-2020 în scopul reducerii poverii administrative la nivelul beneficiarilor</w:t>
      </w:r>
    </w:p>
    <w:p w14:paraId="733D5711"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evaluarea continuă a proiectelor depuse în vederea scurtării termenelor de la depunerea la contractarea proiectelor</w:t>
      </w:r>
    </w:p>
    <w:p w14:paraId="13421C4B"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 xml:space="preserve">utilizarea opțiunii de cost simplificat prin utilizarea costurilor standard pentru costurile legate de înființarea și reconversia plantațiilor pomicole în cadrul sub-măsurii 4.1a, pentru struguri de masă </w:t>
      </w:r>
      <w:proofErr w:type="spellStart"/>
      <w:r w:rsidRPr="00C1729E">
        <w:rPr>
          <w:bCs/>
          <w:sz w:val="24"/>
          <w:szCs w:val="24"/>
        </w:rPr>
        <w:t>ȋn</w:t>
      </w:r>
      <w:proofErr w:type="spellEnd"/>
      <w:r w:rsidRPr="00C1729E">
        <w:rPr>
          <w:bCs/>
          <w:sz w:val="24"/>
          <w:szCs w:val="24"/>
        </w:rPr>
        <w:t xml:space="preserve"> cadrul sub-măsurii 4.1, iar </w:t>
      </w:r>
      <w:proofErr w:type="spellStart"/>
      <w:r w:rsidRPr="00C1729E">
        <w:rPr>
          <w:bCs/>
          <w:sz w:val="24"/>
          <w:szCs w:val="24"/>
        </w:rPr>
        <w:t>ȋn</w:t>
      </w:r>
      <w:proofErr w:type="spellEnd"/>
      <w:r w:rsidRPr="00C1729E">
        <w:rPr>
          <w:bCs/>
          <w:sz w:val="24"/>
          <w:szCs w:val="24"/>
        </w:rPr>
        <w:t xml:space="preserve"> cadrul Submăsurii 8.1 pentru lucrări de împădurire. Costurile standard au condus la eliminarea achizițiilor private și la asigurarea rezonabilității costurilor</w:t>
      </w:r>
    </w:p>
    <w:p w14:paraId="6A44191F"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Reducerea numărului de documente solicitate potențialilor beneficiari, inclusiv reducerea numărului de autorizații/avize solicitate în faza de depunere a proiectului. În plus, se aplică o separare clară între documentele solicitate în faza de evaluare și selecție și cele solicitate în faza de contractare. A fost prelungit termenul de la notificarea selectării cererii până la contractare, în situațiile în care avizele necesare încheierii contractului necesită termene mai lungi</w:t>
      </w:r>
    </w:p>
    <w:p w14:paraId="5184BD16"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Reducerea perioadelor de timp atât în cazul avizării unor modificări în proiecte cât și în cazul avizării dosarelor de achiziții</w:t>
      </w:r>
    </w:p>
    <w:p w14:paraId="6C56D460" w14:textId="77777777" w:rsidR="0049053D" w:rsidRPr="00C1729E" w:rsidRDefault="0049053D" w:rsidP="009941AE">
      <w:pPr>
        <w:numPr>
          <w:ilvl w:val="0"/>
          <w:numId w:val="19"/>
        </w:numPr>
        <w:spacing w:after="60" w:line="240" w:lineRule="auto"/>
        <w:contextualSpacing/>
        <w:jc w:val="both"/>
        <w:rPr>
          <w:bCs/>
          <w:sz w:val="24"/>
          <w:szCs w:val="24"/>
        </w:rPr>
      </w:pPr>
      <w:r w:rsidRPr="00C1729E">
        <w:rPr>
          <w:bCs/>
          <w:sz w:val="24"/>
          <w:szCs w:val="24"/>
        </w:rPr>
        <w:t xml:space="preserve">Lansarea în cursul anului 2018 a platformei prin care să se deruleze apelurile de selecție aferente </w:t>
      </w:r>
      <w:proofErr w:type="spellStart"/>
      <w:r w:rsidRPr="00C1729E">
        <w:rPr>
          <w:bCs/>
          <w:sz w:val="24"/>
          <w:szCs w:val="24"/>
        </w:rPr>
        <w:t>sM</w:t>
      </w:r>
      <w:proofErr w:type="spellEnd"/>
      <w:r w:rsidRPr="00C1729E">
        <w:rPr>
          <w:bCs/>
          <w:sz w:val="24"/>
          <w:szCs w:val="24"/>
        </w:rPr>
        <w:t xml:space="preserve"> 1.1 cu utilizarea opțiunii de cost standard unitar, până la finalul anului 2018, la nivelul AFIR</w:t>
      </w:r>
    </w:p>
    <w:p w14:paraId="5A1E497B" w14:textId="77777777" w:rsidR="0049053D" w:rsidRPr="00C1729E" w:rsidRDefault="0049053D" w:rsidP="009941AE">
      <w:pPr>
        <w:numPr>
          <w:ilvl w:val="0"/>
          <w:numId w:val="20"/>
        </w:numPr>
        <w:spacing w:after="60" w:line="240" w:lineRule="auto"/>
        <w:contextualSpacing/>
        <w:jc w:val="both"/>
        <w:rPr>
          <w:bCs/>
          <w:sz w:val="24"/>
          <w:szCs w:val="24"/>
        </w:rPr>
      </w:pPr>
      <w:r w:rsidRPr="00C1729E">
        <w:rPr>
          <w:bCs/>
          <w:sz w:val="24"/>
          <w:szCs w:val="24"/>
        </w:rPr>
        <w:t xml:space="preserve">Implementarea cerințelor referitoare la asigurarea </w:t>
      </w:r>
      <w:proofErr w:type="spellStart"/>
      <w:r w:rsidRPr="00C1729E">
        <w:rPr>
          <w:bCs/>
          <w:sz w:val="24"/>
          <w:szCs w:val="24"/>
        </w:rPr>
        <w:t>e-cohesion</w:t>
      </w:r>
      <w:proofErr w:type="spellEnd"/>
      <w:r w:rsidRPr="00C1729E">
        <w:rPr>
          <w:bCs/>
          <w:sz w:val="24"/>
          <w:szCs w:val="24"/>
        </w:rPr>
        <w:t xml:space="preserve"> conform art. 125 alineatul (8) din Regulamentul (UE) nr. 1303/2013.</w:t>
      </w:r>
    </w:p>
    <w:p w14:paraId="56F5CF05" w14:textId="77777777" w:rsidR="0049053D" w:rsidRPr="00C1729E" w:rsidRDefault="0049053D" w:rsidP="009941AE">
      <w:pPr>
        <w:spacing w:after="60" w:line="240" w:lineRule="auto"/>
        <w:ind w:left="360"/>
        <w:jc w:val="both"/>
        <w:rPr>
          <w:bCs/>
          <w:sz w:val="24"/>
          <w:szCs w:val="24"/>
        </w:rPr>
      </w:pPr>
      <w:r w:rsidRPr="00C1729E">
        <w:rPr>
          <w:bCs/>
          <w:sz w:val="24"/>
          <w:szCs w:val="24"/>
        </w:rPr>
        <w:t>In iulie 2019 sunt  implementate toate cerințele prevăzute în  Regulamentul de implementare (UE) nr. 821/2014, Sistemul de Înregistrare și Stocare a Datelor SMIS2014+/MySMIS2014 asigurând următoarele funcționalități care determină reducerea sarcinilor administrative:</w:t>
      </w:r>
    </w:p>
    <w:p w14:paraId="2F13DCC4" w14:textId="77777777" w:rsidR="0049053D" w:rsidRPr="00C1729E" w:rsidRDefault="0049053D" w:rsidP="009941AE">
      <w:pPr>
        <w:numPr>
          <w:ilvl w:val="0"/>
          <w:numId w:val="25"/>
        </w:numPr>
        <w:spacing w:after="60" w:line="240" w:lineRule="auto"/>
        <w:jc w:val="both"/>
        <w:rPr>
          <w:bCs/>
          <w:sz w:val="24"/>
          <w:szCs w:val="24"/>
        </w:rPr>
      </w:pPr>
      <w:r w:rsidRPr="00C1729E">
        <w:rPr>
          <w:rFonts w:eastAsia="Times New Roman" w:cstheme="minorHAnsi"/>
          <w:b/>
          <w:sz w:val="24"/>
          <w:szCs w:val="24"/>
          <w:lang w:eastAsia="ro-RO"/>
        </w:rPr>
        <w:t>Protejarea și păstrarea datelor și a documentelor și a integrității acestora</w:t>
      </w:r>
    </w:p>
    <w:p w14:paraId="28091EE6" w14:textId="77777777" w:rsidR="0049053D" w:rsidRPr="00C1729E" w:rsidRDefault="0049053D" w:rsidP="009941AE">
      <w:pPr>
        <w:spacing w:after="0" w:line="240" w:lineRule="auto"/>
        <w:ind w:left="708"/>
        <w:jc w:val="both"/>
        <w:rPr>
          <w:bCs/>
          <w:sz w:val="24"/>
          <w:szCs w:val="24"/>
        </w:rPr>
      </w:pPr>
      <w:r w:rsidRPr="00C1729E">
        <w:rPr>
          <w:rFonts w:cstheme="minorHAnsi"/>
          <w:sz w:val="24"/>
          <w:szCs w:val="24"/>
        </w:rPr>
        <w:t>Utilizatorii</w:t>
      </w:r>
      <w:r w:rsidRPr="00C1729E">
        <w:rPr>
          <w:sz w:val="24"/>
          <w:szCs w:val="24"/>
        </w:rPr>
        <w:t xml:space="preserve"> din cadrul autorităților de management, organismelor intermediare, precum și din cadrul Autorității de certificare, respectiv Autorității de audit, pot solicita/ actualiza/ revoca accesul in Aplicatiile2014 (de tip BackOffice: MySMIS2014/SMIS2014+, SMIS2014Minimal, Art4SMIS2014 etc.) parte a sistemul informatic integrat. </w:t>
      </w:r>
      <w:r w:rsidRPr="00C1729E">
        <w:rPr>
          <w:rFonts w:cstheme="minorHAnsi"/>
          <w:sz w:val="24"/>
          <w:szCs w:val="24"/>
        </w:rPr>
        <w:t>Drepturile de acces respecta principiul segregării funcțiilor (editare/validare).</w:t>
      </w:r>
    </w:p>
    <w:p w14:paraId="00F33347"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Arhitectura SMIS2014+/MySMIS2014, permite jurnalizarea </w:t>
      </w:r>
      <w:proofErr w:type="spellStart"/>
      <w:r w:rsidRPr="00C1729E">
        <w:rPr>
          <w:bCs/>
          <w:sz w:val="24"/>
          <w:szCs w:val="24"/>
        </w:rPr>
        <w:t>oricarei</w:t>
      </w:r>
      <w:proofErr w:type="spellEnd"/>
      <w:r w:rsidRPr="00C1729E">
        <w:rPr>
          <w:bCs/>
          <w:sz w:val="24"/>
          <w:szCs w:val="24"/>
        </w:rPr>
        <w:t xml:space="preserve"> </w:t>
      </w:r>
      <w:proofErr w:type="spellStart"/>
      <w:r w:rsidRPr="00C1729E">
        <w:rPr>
          <w:bCs/>
          <w:sz w:val="24"/>
          <w:szCs w:val="24"/>
        </w:rPr>
        <w:t>operatii</w:t>
      </w:r>
      <w:proofErr w:type="spellEnd"/>
      <w:r w:rsidRPr="00C1729E">
        <w:rPr>
          <w:bCs/>
          <w:sz w:val="24"/>
          <w:szCs w:val="24"/>
        </w:rPr>
        <w:t xml:space="preserve"> efectuate de utilizatori (</w:t>
      </w:r>
      <w:proofErr w:type="spellStart"/>
      <w:r w:rsidRPr="00C1729E">
        <w:rPr>
          <w:bCs/>
          <w:sz w:val="24"/>
          <w:szCs w:val="24"/>
        </w:rPr>
        <w:t>inregistrari</w:t>
      </w:r>
      <w:proofErr w:type="spellEnd"/>
      <w:r w:rsidRPr="00C1729E">
        <w:rPr>
          <w:bCs/>
          <w:sz w:val="24"/>
          <w:szCs w:val="24"/>
        </w:rPr>
        <w:t xml:space="preserve">, </w:t>
      </w:r>
      <w:proofErr w:type="spellStart"/>
      <w:r w:rsidRPr="00C1729E">
        <w:rPr>
          <w:bCs/>
          <w:sz w:val="24"/>
          <w:szCs w:val="24"/>
        </w:rPr>
        <w:t>modificari</w:t>
      </w:r>
      <w:proofErr w:type="spellEnd"/>
      <w:r w:rsidRPr="00C1729E">
        <w:rPr>
          <w:bCs/>
          <w:sz w:val="24"/>
          <w:szCs w:val="24"/>
        </w:rPr>
        <w:t xml:space="preserve"> si </w:t>
      </w:r>
      <w:proofErr w:type="spellStart"/>
      <w:r w:rsidRPr="00C1729E">
        <w:rPr>
          <w:bCs/>
          <w:sz w:val="24"/>
          <w:szCs w:val="24"/>
        </w:rPr>
        <w:t>coletare</w:t>
      </w:r>
      <w:proofErr w:type="spellEnd"/>
      <w:r w:rsidRPr="00C1729E">
        <w:rPr>
          <w:bCs/>
          <w:sz w:val="24"/>
          <w:szCs w:val="24"/>
        </w:rPr>
        <w:t xml:space="preserve"> de date și asigură administrarea datelor aferente proiectelor depuse, pana la finalizarea acestora (gestionarea dosarului unic al proiectului). </w:t>
      </w:r>
    </w:p>
    <w:p w14:paraId="0D02D67B"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Toate documentele </w:t>
      </w:r>
      <w:proofErr w:type="spellStart"/>
      <w:r w:rsidRPr="00C1729E">
        <w:rPr>
          <w:bCs/>
          <w:sz w:val="24"/>
          <w:szCs w:val="24"/>
        </w:rPr>
        <w:t>atasate</w:t>
      </w:r>
      <w:proofErr w:type="spellEnd"/>
      <w:r w:rsidRPr="00C1729E">
        <w:rPr>
          <w:bCs/>
          <w:sz w:val="24"/>
          <w:szCs w:val="24"/>
        </w:rPr>
        <w:t xml:space="preserve"> sunt stocate de sistem, </w:t>
      </w:r>
      <w:proofErr w:type="spellStart"/>
      <w:r w:rsidRPr="00C1729E">
        <w:rPr>
          <w:bCs/>
          <w:sz w:val="24"/>
          <w:szCs w:val="24"/>
        </w:rPr>
        <w:t>functia</w:t>
      </w:r>
      <w:proofErr w:type="spellEnd"/>
      <w:r w:rsidRPr="00C1729E">
        <w:rPr>
          <w:bCs/>
          <w:sz w:val="24"/>
          <w:szCs w:val="24"/>
        </w:rPr>
        <w:t xml:space="preserve"> de </w:t>
      </w:r>
      <w:proofErr w:type="spellStart"/>
      <w:r w:rsidRPr="00C1729E">
        <w:rPr>
          <w:bCs/>
          <w:sz w:val="24"/>
          <w:szCs w:val="24"/>
        </w:rPr>
        <w:t>stergere</w:t>
      </w:r>
      <w:proofErr w:type="spellEnd"/>
      <w:r w:rsidRPr="00C1729E">
        <w:rPr>
          <w:bCs/>
          <w:sz w:val="24"/>
          <w:szCs w:val="24"/>
        </w:rPr>
        <w:t xml:space="preserve"> a acestora nefiind disponibilă la nivel de interfață a utilizatorilor, indiferent de nivelul de acces al acestora. Acesta proprietate a sistemului este aplicabila documentelor transmise in cadrul sistemului informatic intre părțile utilizatoare.</w:t>
      </w:r>
    </w:p>
    <w:p w14:paraId="40EADC31" w14:textId="77777777" w:rsidR="0049053D" w:rsidRPr="00C1729E" w:rsidRDefault="0049053D" w:rsidP="009941AE">
      <w:pPr>
        <w:spacing w:after="60" w:line="240" w:lineRule="auto"/>
        <w:ind w:left="708"/>
        <w:jc w:val="both"/>
        <w:rPr>
          <w:bCs/>
          <w:sz w:val="24"/>
          <w:szCs w:val="24"/>
        </w:rPr>
      </w:pPr>
      <w:r w:rsidRPr="00C1729E">
        <w:rPr>
          <w:bCs/>
          <w:sz w:val="24"/>
          <w:szCs w:val="24"/>
        </w:rPr>
        <w:lastRenderedPageBreak/>
        <w:t xml:space="preserve">Datele fac obiectul unor </w:t>
      </w:r>
      <w:proofErr w:type="spellStart"/>
      <w:r w:rsidRPr="00C1729E">
        <w:rPr>
          <w:bCs/>
          <w:sz w:val="24"/>
          <w:szCs w:val="24"/>
        </w:rPr>
        <w:t>backup-uri</w:t>
      </w:r>
      <w:proofErr w:type="spellEnd"/>
      <w:r w:rsidRPr="00C1729E">
        <w:rPr>
          <w:bCs/>
          <w:sz w:val="24"/>
          <w:szCs w:val="24"/>
        </w:rPr>
        <w:t xml:space="preserve"> periodice. </w:t>
      </w:r>
    </w:p>
    <w:p w14:paraId="0D0E08ED"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La toate nivelurile, sistemul SMIS2014+/MySMIS2014 are redundanță </w:t>
      </w:r>
      <w:proofErr w:type="spellStart"/>
      <w:r w:rsidRPr="00C1729E">
        <w:rPr>
          <w:bCs/>
          <w:i/>
          <w:iCs/>
          <w:sz w:val="24"/>
          <w:szCs w:val="24"/>
        </w:rPr>
        <w:t>failover</w:t>
      </w:r>
      <w:proofErr w:type="spellEnd"/>
      <w:r w:rsidRPr="00C1729E">
        <w:rPr>
          <w:bCs/>
          <w:sz w:val="24"/>
          <w:szCs w:val="24"/>
        </w:rPr>
        <w:t xml:space="preserve">, continuitatea funcționării fiind astfel asigurată. Baza de date folosită de sistemul SMIS2014+/MySMIS2014 este stocată pe un </w:t>
      </w:r>
      <w:proofErr w:type="spellStart"/>
      <w:r w:rsidRPr="00C1729E">
        <w:rPr>
          <w:bCs/>
          <w:sz w:val="24"/>
          <w:szCs w:val="24"/>
        </w:rPr>
        <w:t>Storage</w:t>
      </w:r>
      <w:proofErr w:type="spellEnd"/>
      <w:r w:rsidRPr="00C1729E">
        <w:rPr>
          <w:bCs/>
          <w:sz w:val="24"/>
          <w:szCs w:val="24"/>
        </w:rPr>
        <w:t xml:space="preserve"> </w:t>
      </w:r>
      <w:proofErr w:type="spellStart"/>
      <w:r w:rsidRPr="00C1729E">
        <w:rPr>
          <w:bCs/>
          <w:sz w:val="24"/>
          <w:szCs w:val="24"/>
        </w:rPr>
        <w:t>Area</w:t>
      </w:r>
      <w:proofErr w:type="spellEnd"/>
      <w:r w:rsidRPr="00C1729E">
        <w:rPr>
          <w:bCs/>
          <w:sz w:val="24"/>
          <w:szCs w:val="24"/>
        </w:rPr>
        <w:t xml:space="preserve"> </w:t>
      </w:r>
      <w:proofErr w:type="spellStart"/>
      <w:r w:rsidRPr="00C1729E">
        <w:rPr>
          <w:bCs/>
          <w:sz w:val="24"/>
          <w:szCs w:val="24"/>
        </w:rPr>
        <w:t>Network</w:t>
      </w:r>
      <w:proofErr w:type="spellEnd"/>
      <w:r w:rsidRPr="00C1729E">
        <w:rPr>
          <w:bCs/>
          <w:sz w:val="24"/>
          <w:szCs w:val="24"/>
        </w:rPr>
        <w:t xml:space="preserve">, managementul bazei de date făcându-se cu ajutorul unui sistem de tip cluster. De asemenea, serverele de aplicație funcționează tot în cluster. Ambele clustere sunt proiectate să lucreze după principiul </w:t>
      </w:r>
      <w:proofErr w:type="spellStart"/>
      <w:r w:rsidRPr="00C1729E">
        <w:rPr>
          <w:bCs/>
          <w:i/>
          <w:iCs/>
          <w:sz w:val="24"/>
          <w:szCs w:val="24"/>
        </w:rPr>
        <w:t>failover</w:t>
      </w:r>
      <w:proofErr w:type="spellEnd"/>
      <w:r w:rsidRPr="00C1729E">
        <w:rPr>
          <w:bCs/>
          <w:sz w:val="24"/>
          <w:szCs w:val="24"/>
        </w:rPr>
        <w:t xml:space="preserve">. </w:t>
      </w:r>
    </w:p>
    <w:p w14:paraId="6E79220B"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In cazul unui eveniment de tip </w:t>
      </w:r>
      <w:r w:rsidRPr="00C1729E">
        <w:rPr>
          <w:bCs/>
          <w:i/>
          <w:iCs/>
          <w:sz w:val="24"/>
          <w:szCs w:val="24"/>
        </w:rPr>
        <w:t>dezastru</w:t>
      </w:r>
      <w:r w:rsidRPr="00C1729E">
        <w:rPr>
          <w:bCs/>
          <w:sz w:val="24"/>
          <w:szCs w:val="24"/>
        </w:rPr>
        <w:t xml:space="preserve"> a fost conceput un sistem de tipul </w:t>
      </w:r>
      <w:proofErr w:type="spellStart"/>
      <w:r w:rsidRPr="00C1729E">
        <w:rPr>
          <w:bCs/>
          <w:sz w:val="24"/>
          <w:szCs w:val="24"/>
        </w:rPr>
        <w:t>Disaster</w:t>
      </w:r>
      <w:proofErr w:type="spellEnd"/>
      <w:r w:rsidRPr="00C1729E">
        <w:rPr>
          <w:bCs/>
          <w:sz w:val="24"/>
          <w:szCs w:val="24"/>
        </w:rPr>
        <w:t xml:space="preserve"> </w:t>
      </w:r>
      <w:proofErr w:type="spellStart"/>
      <w:r w:rsidRPr="00C1729E">
        <w:rPr>
          <w:bCs/>
          <w:sz w:val="24"/>
          <w:szCs w:val="24"/>
        </w:rPr>
        <w:t>Recovery</w:t>
      </w:r>
      <w:proofErr w:type="spellEnd"/>
      <w:r w:rsidRPr="00C1729E">
        <w:rPr>
          <w:bCs/>
          <w:sz w:val="24"/>
          <w:szCs w:val="24"/>
        </w:rPr>
        <w:t xml:space="preserve"> Site. Acest sistem este implementat în orașul Brașov şi va constitui, din punct de vedere funcțional, o copie a sistemului original, capabilă să preia toate funcțiile acestuia în caz de dezastru. Protecția fizică si logică a sistemului informatic este asigurata prin găzduirea echipamentelor ce deservesc  in 2 centre de date (unde sunt localizate NODUL CENTRAL SMIS, respectiv Nodul Secundar SMIS). In aceste centre de date ale Serviciului de Telecomunicații Speciale sunt asigurate toate condițiile de siguranță necesare funcționării continue (protecție fizică împotriva nivelurilor de temperatură și de umiditate inadecvate, sisteme de detectare a incendiilor și a furturilor). </w:t>
      </w:r>
    </w:p>
    <w:p w14:paraId="381BF7CF" w14:textId="77777777" w:rsidR="0049053D" w:rsidRPr="00C1729E" w:rsidRDefault="0049053D" w:rsidP="009941AE">
      <w:pPr>
        <w:numPr>
          <w:ilvl w:val="0"/>
          <w:numId w:val="25"/>
        </w:numPr>
        <w:spacing w:after="60" w:line="240" w:lineRule="auto"/>
        <w:jc w:val="both"/>
        <w:rPr>
          <w:bCs/>
          <w:sz w:val="24"/>
          <w:szCs w:val="24"/>
        </w:rPr>
      </w:pPr>
      <w:r w:rsidRPr="00C1729E">
        <w:rPr>
          <w:b/>
          <w:bCs/>
          <w:sz w:val="24"/>
          <w:szCs w:val="24"/>
        </w:rPr>
        <w:t>Interoperabilitate</w:t>
      </w:r>
    </w:p>
    <w:p w14:paraId="23FE84C3"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Sistemul informatic SMIS2014+/MySMIS2014 beneficiază de interoperabilitate cu alte baze de date existente la nivel național. Astfel se creează premisele funcționării conform principiilor sursei unice de </w:t>
      </w:r>
      <w:proofErr w:type="spellStart"/>
      <w:r w:rsidRPr="00C1729E">
        <w:rPr>
          <w:bCs/>
          <w:sz w:val="24"/>
          <w:szCs w:val="24"/>
        </w:rPr>
        <w:t>adevar</w:t>
      </w:r>
      <w:proofErr w:type="spellEnd"/>
      <w:r w:rsidRPr="00C1729E">
        <w:rPr>
          <w:bCs/>
          <w:sz w:val="24"/>
          <w:szCs w:val="24"/>
        </w:rPr>
        <w:t xml:space="preserve"> in zona FESI, context in care cetățenii și întreprinderile pot beneficia, de asemenea, de soluții comune, reutilizabile și interoperabile, precum și de procese administrative interoperabile de tip „</w:t>
      </w:r>
      <w:proofErr w:type="spellStart"/>
      <w:r w:rsidRPr="00C1729E">
        <w:rPr>
          <w:bCs/>
          <w:sz w:val="24"/>
          <w:szCs w:val="24"/>
        </w:rPr>
        <w:t>back-office</w:t>
      </w:r>
      <w:proofErr w:type="spellEnd"/>
      <w:r w:rsidRPr="00C1729E">
        <w:rPr>
          <w:bCs/>
          <w:sz w:val="24"/>
          <w:szCs w:val="24"/>
        </w:rPr>
        <w:t xml:space="preserve">”, întrucât soluțiile și procesele promovează furnizarea </w:t>
      </w:r>
      <w:proofErr w:type="spellStart"/>
      <w:r w:rsidRPr="00C1729E">
        <w:rPr>
          <w:bCs/>
          <w:sz w:val="24"/>
          <w:szCs w:val="24"/>
        </w:rPr>
        <w:t>transesctorială</w:t>
      </w:r>
      <w:proofErr w:type="spellEnd"/>
      <w:r w:rsidRPr="00C1729E">
        <w:rPr>
          <w:bCs/>
          <w:sz w:val="24"/>
          <w:szCs w:val="24"/>
        </w:rPr>
        <w:t xml:space="preserve"> eficientă și eficace, a serviciilor publice către cetățeni și întreprinderi conform </w:t>
      </w:r>
      <w:proofErr w:type="spellStart"/>
      <w:r w:rsidRPr="00C1729E">
        <w:rPr>
          <w:bCs/>
          <w:sz w:val="24"/>
          <w:szCs w:val="24"/>
        </w:rPr>
        <w:t>pct</w:t>
      </w:r>
      <w:proofErr w:type="spellEnd"/>
      <w:r w:rsidRPr="00C1729E">
        <w:rPr>
          <w:bCs/>
          <w:sz w:val="24"/>
          <w:szCs w:val="24"/>
        </w:rPr>
        <w:t xml:space="preserve"> 7 din Decizia nr. 922/2009/CE. </w:t>
      </w:r>
    </w:p>
    <w:p w14:paraId="7637E808" w14:textId="77777777" w:rsidR="0049053D" w:rsidRPr="00C1729E" w:rsidRDefault="0049053D" w:rsidP="009941AE">
      <w:pPr>
        <w:spacing w:after="60" w:line="240" w:lineRule="auto"/>
        <w:ind w:left="708"/>
        <w:jc w:val="both"/>
        <w:rPr>
          <w:bCs/>
          <w:sz w:val="24"/>
          <w:szCs w:val="24"/>
        </w:rPr>
      </w:pPr>
      <w:r w:rsidRPr="00C1729E">
        <w:rPr>
          <w:bCs/>
          <w:sz w:val="24"/>
          <w:szCs w:val="24"/>
        </w:rPr>
        <w:t>In vederea validării informațiilor relevante, completate de către utilizatorii aplicației MySMIS2014 (secțiunea de tip front – office), este funcțională interoperabilitatea cu baze de date ale administrației publice centrale (ANAF, MAI) in baza unor protocoale de colaborare. Schimbul de date este realizat prin format standard  (</w:t>
      </w:r>
      <w:proofErr w:type="spellStart"/>
      <w:r w:rsidRPr="00C1729E">
        <w:rPr>
          <w:bCs/>
          <w:sz w:val="24"/>
          <w:szCs w:val="24"/>
        </w:rPr>
        <w:t>fisier</w:t>
      </w:r>
      <w:proofErr w:type="spellEnd"/>
      <w:r w:rsidRPr="00C1729E">
        <w:rPr>
          <w:bCs/>
          <w:sz w:val="24"/>
          <w:szCs w:val="24"/>
        </w:rPr>
        <w:t xml:space="preserve"> .XML).  Identificarea unică pentru fiecare operație de schimb de date se realizează după CODURI UNICE DE INDENTIFICARE (CIF sau CNP după caz).</w:t>
      </w:r>
    </w:p>
    <w:p w14:paraId="59CD67C7" w14:textId="77777777" w:rsidR="0049053D" w:rsidRPr="00C1729E" w:rsidRDefault="0049053D" w:rsidP="009941AE">
      <w:pPr>
        <w:numPr>
          <w:ilvl w:val="0"/>
          <w:numId w:val="25"/>
        </w:numPr>
        <w:spacing w:after="60" w:line="240" w:lineRule="auto"/>
        <w:jc w:val="both"/>
        <w:rPr>
          <w:bCs/>
          <w:sz w:val="24"/>
          <w:szCs w:val="24"/>
        </w:rPr>
      </w:pPr>
      <w:r w:rsidRPr="00C1729E">
        <w:rPr>
          <w:rFonts w:eastAsia="Times New Roman" w:cstheme="minorHAnsi"/>
          <w:b/>
          <w:sz w:val="24"/>
          <w:szCs w:val="24"/>
          <w:lang w:eastAsia="ro-RO"/>
        </w:rPr>
        <w:t>Funcții de căutare și de raportare</w:t>
      </w:r>
    </w:p>
    <w:p w14:paraId="38131449"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In cazul in care este nevoie de rapoarte detaliate, sistemele informatice SMIS2014+/ </w:t>
      </w:r>
      <w:proofErr w:type="spellStart"/>
      <w:r w:rsidRPr="00C1729E">
        <w:rPr>
          <w:bCs/>
          <w:sz w:val="24"/>
          <w:szCs w:val="24"/>
        </w:rPr>
        <w:t>MySMIS</w:t>
      </w:r>
      <w:proofErr w:type="spellEnd"/>
      <w:r w:rsidRPr="00C1729E">
        <w:rPr>
          <w:bCs/>
          <w:sz w:val="24"/>
          <w:szCs w:val="24"/>
        </w:rPr>
        <w:t xml:space="preserve"> permit utilizarea informațiilor structurate . Majoritatea rapoartelor pot fi </w:t>
      </w:r>
      <w:proofErr w:type="spellStart"/>
      <w:r w:rsidRPr="00C1729E">
        <w:rPr>
          <w:bCs/>
          <w:sz w:val="24"/>
          <w:szCs w:val="24"/>
        </w:rPr>
        <w:t>obtinute</w:t>
      </w:r>
      <w:proofErr w:type="spellEnd"/>
      <w:r w:rsidRPr="00C1729E">
        <w:rPr>
          <w:bCs/>
          <w:sz w:val="24"/>
          <w:szCs w:val="24"/>
        </w:rPr>
        <w:t xml:space="preserve"> din </w:t>
      </w:r>
      <w:proofErr w:type="spellStart"/>
      <w:r w:rsidRPr="00C1729E">
        <w:rPr>
          <w:bCs/>
          <w:sz w:val="24"/>
          <w:szCs w:val="24"/>
        </w:rPr>
        <w:t>interfata</w:t>
      </w:r>
      <w:proofErr w:type="spellEnd"/>
      <w:r w:rsidRPr="00C1729E">
        <w:rPr>
          <w:bCs/>
          <w:sz w:val="24"/>
          <w:szCs w:val="24"/>
        </w:rPr>
        <w:t xml:space="preserve"> de raportate ART4SMIS.</w:t>
      </w:r>
    </w:p>
    <w:p w14:paraId="4EFE09F0" w14:textId="77777777" w:rsidR="0049053D" w:rsidRPr="00C1729E" w:rsidRDefault="0049053D" w:rsidP="009941AE">
      <w:pPr>
        <w:spacing w:after="60" w:line="240" w:lineRule="auto"/>
        <w:ind w:left="708"/>
        <w:jc w:val="both"/>
        <w:rPr>
          <w:bCs/>
          <w:sz w:val="24"/>
          <w:szCs w:val="24"/>
        </w:rPr>
      </w:pPr>
      <w:r w:rsidRPr="00C1729E">
        <w:rPr>
          <w:bCs/>
          <w:sz w:val="24"/>
          <w:szCs w:val="24"/>
        </w:rPr>
        <w:t xml:space="preserve">Sistemele informatice SMIS2014+/ </w:t>
      </w:r>
      <w:proofErr w:type="spellStart"/>
      <w:r w:rsidRPr="00C1729E">
        <w:rPr>
          <w:bCs/>
          <w:sz w:val="24"/>
          <w:szCs w:val="24"/>
        </w:rPr>
        <w:t>MySMIS</w:t>
      </w:r>
      <w:proofErr w:type="spellEnd"/>
      <w:r w:rsidRPr="00C1729E">
        <w:rPr>
          <w:bCs/>
          <w:sz w:val="24"/>
          <w:szCs w:val="24"/>
        </w:rPr>
        <w:t>, oferă posibilitatea de parametrizare pentru colectarea de date structurare care sa permită interogări rapide si facile.</w:t>
      </w:r>
    </w:p>
    <w:p w14:paraId="02D018BA" w14:textId="77777777" w:rsidR="0049053D" w:rsidRPr="00C1729E" w:rsidRDefault="0049053D" w:rsidP="009941AE">
      <w:pPr>
        <w:numPr>
          <w:ilvl w:val="0"/>
          <w:numId w:val="25"/>
        </w:numPr>
        <w:spacing w:after="60" w:line="240" w:lineRule="auto"/>
        <w:jc w:val="both"/>
        <w:rPr>
          <w:bCs/>
          <w:sz w:val="24"/>
          <w:szCs w:val="24"/>
        </w:rPr>
      </w:pPr>
      <w:r w:rsidRPr="00C1729E">
        <w:rPr>
          <w:b/>
          <w:sz w:val="24"/>
          <w:szCs w:val="24"/>
        </w:rPr>
        <w:t>Documentația de utilizare a aplicațiilor</w:t>
      </w:r>
    </w:p>
    <w:p w14:paraId="04515790" w14:textId="77777777" w:rsidR="0049053D" w:rsidRPr="00C1729E" w:rsidRDefault="0049053D" w:rsidP="009941AE">
      <w:pPr>
        <w:spacing w:after="60" w:line="240" w:lineRule="auto"/>
        <w:ind w:left="708"/>
        <w:jc w:val="both"/>
        <w:rPr>
          <w:bCs/>
          <w:sz w:val="24"/>
          <w:szCs w:val="24"/>
        </w:rPr>
      </w:pPr>
      <w:r w:rsidRPr="00C1729E">
        <w:rPr>
          <w:bCs/>
          <w:sz w:val="24"/>
          <w:szCs w:val="24"/>
        </w:rPr>
        <w:t>Sunt disponibile către utilizatorii Aplicațiilor 2014 manuale de utilizarea ale MySMIS2014 (</w:t>
      </w:r>
      <w:proofErr w:type="spellStart"/>
      <w:r w:rsidRPr="00C1729E">
        <w:rPr>
          <w:bCs/>
          <w:sz w:val="24"/>
          <w:szCs w:val="24"/>
        </w:rPr>
        <w:t>FrontOfice</w:t>
      </w:r>
      <w:proofErr w:type="spellEnd"/>
      <w:r w:rsidRPr="00C1729E">
        <w:rPr>
          <w:bCs/>
          <w:sz w:val="24"/>
          <w:szCs w:val="24"/>
        </w:rPr>
        <w:t xml:space="preserve"> disponibil pe INTERNET, BackOffice disponibil pe INTRANET in rețeaua SMIS). Funcționalitățile sistemului informatic pot fi documentate si corelate cu Procedurile operaționale ale  </w:t>
      </w:r>
      <w:proofErr w:type="spellStart"/>
      <w:r w:rsidRPr="00C1729E">
        <w:rPr>
          <w:bCs/>
          <w:sz w:val="24"/>
          <w:szCs w:val="24"/>
        </w:rPr>
        <w:t>AM-urilor</w:t>
      </w:r>
      <w:proofErr w:type="spellEnd"/>
      <w:r w:rsidRPr="00C1729E">
        <w:rPr>
          <w:bCs/>
          <w:sz w:val="24"/>
          <w:szCs w:val="24"/>
        </w:rPr>
        <w:t>/</w:t>
      </w:r>
      <w:proofErr w:type="spellStart"/>
      <w:r w:rsidRPr="00C1729E">
        <w:rPr>
          <w:bCs/>
          <w:sz w:val="24"/>
          <w:szCs w:val="24"/>
        </w:rPr>
        <w:t>OI-urilor</w:t>
      </w:r>
      <w:proofErr w:type="spellEnd"/>
      <w:r w:rsidRPr="00C1729E">
        <w:rPr>
          <w:bCs/>
          <w:sz w:val="24"/>
          <w:szCs w:val="24"/>
        </w:rPr>
        <w:t xml:space="preserve"> pentru fiecare proces din ciclul de viață al proiectului.  Securitatea sistemului informatic este implementata pe patru niveluri: acces, hardware, software și aplicații.</w:t>
      </w:r>
    </w:p>
    <w:p w14:paraId="3F98E770" w14:textId="77777777" w:rsidR="0049053D" w:rsidRPr="00C1729E" w:rsidRDefault="0049053D" w:rsidP="009941AE">
      <w:pPr>
        <w:numPr>
          <w:ilvl w:val="0"/>
          <w:numId w:val="20"/>
        </w:numPr>
        <w:spacing w:after="60" w:line="240" w:lineRule="auto"/>
        <w:contextualSpacing/>
        <w:jc w:val="both"/>
        <w:rPr>
          <w:bCs/>
          <w:sz w:val="24"/>
          <w:szCs w:val="24"/>
        </w:rPr>
      </w:pPr>
      <w:r w:rsidRPr="00C1729E">
        <w:rPr>
          <w:b/>
          <w:bCs/>
          <w:sz w:val="24"/>
          <w:szCs w:val="24"/>
        </w:rPr>
        <w:t>Introducerea costurilor simplificate ca o alternativă la rambursarea cheltuielilor efectuate pe baza costurilor real</w:t>
      </w:r>
      <w:r w:rsidRPr="00C1729E">
        <w:rPr>
          <w:bCs/>
          <w:sz w:val="24"/>
          <w:szCs w:val="24"/>
        </w:rPr>
        <w:t xml:space="preserve">e în cadrul proiectelor finanţate din fonduri europene creează avantaje atât la nivelul beneficiarilor, cât și al autorităților care gestionează programele operaționale. Pe de o parte, este accelerată efectuarea plăților şi se reduce riscul de aplicare a corecţiilor financiare, pe de altă parte permite beneficiarilor să se </w:t>
      </w:r>
      <w:r w:rsidRPr="00C1729E">
        <w:rPr>
          <w:bCs/>
          <w:sz w:val="24"/>
          <w:szCs w:val="24"/>
        </w:rPr>
        <w:lastRenderedPageBreak/>
        <w:t xml:space="preserve">concentreze asupra implementării proiectelor şi realizarea indicatorilor de performanţă prin reducerea numărului de documente solicitate.  </w:t>
      </w:r>
    </w:p>
    <w:p w14:paraId="67F38007" w14:textId="77777777" w:rsidR="0049053D" w:rsidRPr="00C1729E" w:rsidRDefault="0049053D" w:rsidP="009941AE">
      <w:pPr>
        <w:spacing w:after="60" w:line="240" w:lineRule="auto"/>
        <w:ind w:left="709"/>
        <w:jc w:val="both"/>
        <w:rPr>
          <w:bCs/>
          <w:sz w:val="24"/>
          <w:szCs w:val="24"/>
        </w:rPr>
      </w:pPr>
      <w:r w:rsidRPr="00C1729E">
        <w:rPr>
          <w:bCs/>
          <w:sz w:val="24"/>
          <w:szCs w:val="24"/>
        </w:rPr>
        <w:t>Cu excepția POIM și POCA, toate celelalte Programe Operaționale utilizează în prezent o formă sau alta de Opțiuni de Costuri Simplificate. Dintre acestea, ratele forfetare (“</w:t>
      </w:r>
      <w:proofErr w:type="spellStart"/>
      <w:r w:rsidRPr="00C1729E">
        <w:rPr>
          <w:bCs/>
          <w:sz w:val="24"/>
          <w:szCs w:val="24"/>
        </w:rPr>
        <w:t>flat</w:t>
      </w:r>
      <w:proofErr w:type="spellEnd"/>
      <w:r w:rsidRPr="00C1729E">
        <w:rPr>
          <w:bCs/>
          <w:sz w:val="24"/>
          <w:szCs w:val="24"/>
        </w:rPr>
        <w:t xml:space="preserve"> </w:t>
      </w:r>
      <w:proofErr w:type="spellStart"/>
      <w:r w:rsidRPr="00C1729E">
        <w:rPr>
          <w:bCs/>
          <w:sz w:val="24"/>
          <w:szCs w:val="24"/>
        </w:rPr>
        <w:t>rates</w:t>
      </w:r>
      <w:proofErr w:type="spellEnd"/>
      <w:r w:rsidRPr="00C1729E">
        <w:rPr>
          <w:bCs/>
          <w:sz w:val="24"/>
          <w:szCs w:val="24"/>
        </w:rPr>
        <w:t xml:space="preserve">”) sunt cele mai utilizate în cadrul POC, POR, POCA, POCU și </w:t>
      </w:r>
      <w:proofErr w:type="spellStart"/>
      <w:r w:rsidRPr="00C1729E">
        <w:rPr>
          <w:bCs/>
          <w:sz w:val="24"/>
          <w:szCs w:val="24"/>
        </w:rPr>
        <w:t>Interreg</w:t>
      </w:r>
      <w:proofErr w:type="spellEnd"/>
      <w:r w:rsidRPr="00C1729E">
        <w:rPr>
          <w:bCs/>
          <w:sz w:val="24"/>
          <w:szCs w:val="24"/>
        </w:rPr>
        <w:t xml:space="preserve">. Baremele standard pentru costurile unitare (“standard </w:t>
      </w:r>
      <w:proofErr w:type="spellStart"/>
      <w:r w:rsidRPr="00C1729E">
        <w:rPr>
          <w:bCs/>
          <w:sz w:val="24"/>
          <w:szCs w:val="24"/>
        </w:rPr>
        <w:t>scales</w:t>
      </w:r>
      <w:proofErr w:type="spellEnd"/>
      <w:r w:rsidRPr="00C1729E">
        <w:rPr>
          <w:bCs/>
          <w:sz w:val="24"/>
          <w:szCs w:val="24"/>
        </w:rPr>
        <w:t xml:space="preserve"> of unit </w:t>
      </w:r>
      <w:proofErr w:type="spellStart"/>
      <w:r w:rsidRPr="00C1729E">
        <w:rPr>
          <w:bCs/>
          <w:sz w:val="24"/>
          <w:szCs w:val="24"/>
        </w:rPr>
        <w:t>costs</w:t>
      </w:r>
      <w:proofErr w:type="spellEnd"/>
      <w:r w:rsidRPr="00C1729E">
        <w:rPr>
          <w:bCs/>
          <w:sz w:val="24"/>
          <w:szCs w:val="24"/>
        </w:rPr>
        <w:t>”) și sumele forfetare (“</w:t>
      </w:r>
      <w:proofErr w:type="spellStart"/>
      <w:r w:rsidRPr="00C1729E">
        <w:rPr>
          <w:bCs/>
          <w:sz w:val="24"/>
          <w:szCs w:val="24"/>
        </w:rPr>
        <w:t>lump</w:t>
      </w:r>
      <w:proofErr w:type="spellEnd"/>
      <w:r w:rsidRPr="00C1729E">
        <w:rPr>
          <w:bCs/>
          <w:sz w:val="24"/>
          <w:szCs w:val="24"/>
        </w:rPr>
        <w:t xml:space="preserve"> </w:t>
      </w:r>
      <w:proofErr w:type="spellStart"/>
      <w:r w:rsidRPr="00C1729E">
        <w:rPr>
          <w:bCs/>
          <w:sz w:val="24"/>
          <w:szCs w:val="24"/>
        </w:rPr>
        <w:t>sums</w:t>
      </w:r>
      <w:proofErr w:type="spellEnd"/>
      <w:r w:rsidRPr="00C1729E">
        <w:rPr>
          <w:bCs/>
          <w:sz w:val="24"/>
          <w:szCs w:val="24"/>
        </w:rPr>
        <w:t>”) sunt utilizate doar în cadrul POCU.</w:t>
      </w:r>
    </w:p>
    <w:p w14:paraId="038380FC" w14:textId="77777777" w:rsidR="0049053D" w:rsidRPr="00C1729E" w:rsidRDefault="0049053D" w:rsidP="009941AE">
      <w:pPr>
        <w:spacing w:after="60" w:line="240" w:lineRule="auto"/>
        <w:ind w:left="709"/>
        <w:jc w:val="both"/>
        <w:rPr>
          <w:bCs/>
          <w:sz w:val="24"/>
          <w:szCs w:val="24"/>
        </w:rPr>
      </w:pPr>
      <w:r w:rsidRPr="00C1729E">
        <w:rPr>
          <w:bCs/>
          <w:sz w:val="24"/>
          <w:szCs w:val="24"/>
        </w:rPr>
        <w:t xml:space="preserve">În cadrul PNDR a  fost utilizată opțiunea de cost simplificat prin utilizarea costurilor standard pentru costurile legate de înființarea și reconversia plantațiilor pomicole în cadrul sub-măsurii 4.1a, pentru struguri de masă </w:t>
      </w:r>
      <w:proofErr w:type="spellStart"/>
      <w:r w:rsidRPr="00C1729E">
        <w:rPr>
          <w:bCs/>
          <w:sz w:val="24"/>
          <w:szCs w:val="24"/>
        </w:rPr>
        <w:t>ȋn</w:t>
      </w:r>
      <w:proofErr w:type="spellEnd"/>
      <w:r w:rsidRPr="00C1729E">
        <w:rPr>
          <w:bCs/>
          <w:sz w:val="24"/>
          <w:szCs w:val="24"/>
        </w:rPr>
        <w:t xml:space="preserve"> cadrul sub-măsurii 4.1, iar </w:t>
      </w:r>
      <w:proofErr w:type="spellStart"/>
      <w:r w:rsidRPr="00C1729E">
        <w:rPr>
          <w:bCs/>
          <w:sz w:val="24"/>
          <w:szCs w:val="24"/>
        </w:rPr>
        <w:t>ȋn</w:t>
      </w:r>
      <w:proofErr w:type="spellEnd"/>
      <w:r w:rsidRPr="00C1729E">
        <w:rPr>
          <w:bCs/>
          <w:sz w:val="24"/>
          <w:szCs w:val="24"/>
        </w:rPr>
        <w:t xml:space="preserve"> cadrul Submăsurii 8.1 pentru lucrări de împădurire. Costurile standard au condus la eliminarea achizițiilor private și la asigurarea rezonabilității costurilor</w:t>
      </w:r>
    </w:p>
    <w:p w14:paraId="66F8015C" w14:textId="77777777" w:rsidR="0049053D" w:rsidRPr="00C1729E" w:rsidRDefault="0049053D" w:rsidP="009941AE">
      <w:pPr>
        <w:spacing w:after="60" w:line="240" w:lineRule="auto"/>
        <w:ind w:left="709"/>
        <w:jc w:val="both"/>
        <w:rPr>
          <w:bCs/>
          <w:sz w:val="24"/>
          <w:szCs w:val="24"/>
        </w:rPr>
      </w:pPr>
      <w:r w:rsidRPr="00C1729E">
        <w:rPr>
          <w:bCs/>
          <w:sz w:val="24"/>
          <w:szCs w:val="24"/>
        </w:rPr>
        <w:t>Este în analiză extinderea ariei de acoperire a opțiunilor de costuri simplificate pentru următoarele programe operaționale:</w:t>
      </w:r>
    </w:p>
    <w:p w14:paraId="53592101" w14:textId="5BA34B45" w:rsidR="0049053D" w:rsidRPr="00C1729E" w:rsidRDefault="0049053D" w:rsidP="009941AE">
      <w:pPr>
        <w:spacing w:after="60" w:line="240" w:lineRule="auto"/>
        <w:ind w:left="709"/>
        <w:jc w:val="both"/>
        <w:rPr>
          <w:bCs/>
          <w:sz w:val="24"/>
          <w:szCs w:val="24"/>
        </w:rPr>
      </w:pPr>
      <w:r w:rsidRPr="00C1729E">
        <w:rPr>
          <w:bCs/>
          <w:sz w:val="24"/>
          <w:szCs w:val="24"/>
        </w:rPr>
        <w:t>•</w:t>
      </w:r>
      <w:r w:rsidRPr="00C1729E">
        <w:rPr>
          <w:bCs/>
          <w:sz w:val="24"/>
          <w:szCs w:val="24"/>
        </w:rPr>
        <w:tab/>
        <w:t xml:space="preserve">POCA – rate forfetare pentru cheltuieli </w:t>
      </w:r>
      <w:r w:rsidR="00E67E13" w:rsidRPr="00C1729E">
        <w:rPr>
          <w:bCs/>
          <w:sz w:val="24"/>
          <w:szCs w:val="24"/>
        </w:rPr>
        <w:t>generale</w:t>
      </w:r>
      <w:r w:rsidR="00E67E13">
        <w:rPr>
          <w:bCs/>
          <w:sz w:val="24"/>
          <w:szCs w:val="24"/>
        </w:rPr>
        <w:t xml:space="preserve"> de</w:t>
      </w:r>
      <w:r w:rsidR="00E67E13" w:rsidRPr="00C1729E">
        <w:rPr>
          <w:bCs/>
          <w:sz w:val="24"/>
          <w:szCs w:val="24"/>
        </w:rPr>
        <w:t xml:space="preserve"> </w:t>
      </w:r>
      <w:r w:rsidRPr="00C1729E">
        <w:rPr>
          <w:bCs/>
          <w:sz w:val="24"/>
          <w:szCs w:val="24"/>
        </w:rPr>
        <w:t>administra</w:t>
      </w:r>
      <w:r w:rsidR="00E67E13">
        <w:rPr>
          <w:bCs/>
          <w:sz w:val="24"/>
          <w:szCs w:val="24"/>
        </w:rPr>
        <w:t>ție</w:t>
      </w:r>
    </w:p>
    <w:p w14:paraId="1D540380" w14:textId="77777777" w:rsidR="0049053D" w:rsidRPr="00C1729E" w:rsidRDefault="0049053D" w:rsidP="009941AE">
      <w:pPr>
        <w:spacing w:after="60" w:line="240" w:lineRule="auto"/>
        <w:ind w:left="709"/>
        <w:jc w:val="both"/>
        <w:rPr>
          <w:bCs/>
          <w:sz w:val="24"/>
          <w:szCs w:val="24"/>
        </w:rPr>
      </w:pPr>
      <w:r w:rsidRPr="00C1729E">
        <w:rPr>
          <w:bCs/>
          <w:sz w:val="24"/>
          <w:szCs w:val="24"/>
        </w:rPr>
        <w:t>•</w:t>
      </w:r>
      <w:r w:rsidRPr="00C1729E">
        <w:rPr>
          <w:bCs/>
          <w:sz w:val="24"/>
          <w:szCs w:val="24"/>
        </w:rPr>
        <w:tab/>
        <w:t>POCU – pentru toate opțiunile de costuri simplificate, în cadrul apelurilor viitoare referitoare la serviciile de sănătate și învățământ preșcolar.</w:t>
      </w:r>
    </w:p>
    <w:p w14:paraId="3B16FAB3" w14:textId="77777777" w:rsidR="0049053D" w:rsidRPr="00C1729E" w:rsidRDefault="0049053D" w:rsidP="009941AE">
      <w:pPr>
        <w:numPr>
          <w:ilvl w:val="0"/>
          <w:numId w:val="20"/>
        </w:numPr>
        <w:spacing w:after="60" w:line="240" w:lineRule="auto"/>
        <w:contextualSpacing/>
        <w:jc w:val="both"/>
        <w:rPr>
          <w:b/>
          <w:bCs/>
          <w:sz w:val="24"/>
          <w:szCs w:val="24"/>
        </w:rPr>
      </w:pPr>
      <w:r w:rsidRPr="00C1729E">
        <w:rPr>
          <w:bCs/>
          <w:sz w:val="24"/>
          <w:szCs w:val="24"/>
        </w:rPr>
        <w:t xml:space="preserve">Una dintre măsurile prevăzute în AP se referă </w:t>
      </w:r>
      <w:r w:rsidRPr="00C1729E">
        <w:rPr>
          <w:b/>
          <w:bCs/>
          <w:sz w:val="24"/>
          <w:szCs w:val="24"/>
        </w:rPr>
        <w:t>creşterea accesibilităţii la finanţare a potențialilor beneficiari prin activități de informare privind accesarea fondurilor europene</w:t>
      </w:r>
      <w:r w:rsidRPr="00C1729E">
        <w:rPr>
          <w:bCs/>
          <w:sz w:val="24"/>
          <w:szCs w:val="24"/>
        </w:rPr>
        <w:t xml:space="preserve"> structurale și de investiții, precum şi privind </w:t>
      </w:r>
      <w:r w:rsidRPr="00C1729E">
        <w:rPr>
          <w:b/>
          <w:bCs/>
          <w:sz w:val="24"/>
          <w:szCs w:val="24"/>
        </w:rPr>
        <w:t xml:space="preserve">posibilitatea obținerii de către IMM-uri a unor finanțări complementare din surse/programe, naţionale şi europene. </w:t>
      </w:r>
    </w:p>
    <w:p w14:paraId="7B9C7D84" w14:textId="77777777" w:rsidR="0028186E" w:rsidRPr="00C1729E" w:rsidRDefault="0028186E" w:rsidP="009941AE">
      <w:pPr>
        <w:spacing w:after="60" w:line="240" w:lineRule="auto"/>
        <w:ind w:left="709"/>
        <w:jc w:val="both"/>
        <w:rPr>
          <w:bCs/>
          <w:sz w:val="24"/>
          <w:szCs w:val="24"/>
        </w:rPr>
      </w:pPr>
      <w:r w:rsidRPr="00C1729E">
        <w:rPr>
          <w:bCs/>
          <w:sz w:val="24"/>
          <w:szCs w:val="24"/>
        </w:rPr>
        <w:t xml:space="preserve">Progresele înregistrate în zona de comunicare - lansarea noului site </w:t>
      </w:r>
      <w:proofErr w:type="spellStart"/>
      <w:r w:rsidRPr="00C1729E">
        <w:rPr>
          <w:bCs/>
          <w:sz w:val="24"/>
          <w:szCs w:val="24"/>
        </w:rPr>
        <w:t>mfe.gov.ro</w:t>
      </w:r>
      <w:proofErr w:type="spellEnd"/>
      <w:r w:rsidRPr="00C1729E">
        <w:rPr>
          <w:bCs/>
          <w:sz w:val="24"/>
          <w:szCs w:val="24"/>
        </w:rPr>
        <w:t>, valorificarea la maximum a social-media pentru sporirea vizibilității Politicii de Coeziune în România, lansarea primei campanii de comunicare din ultimii 6 ani și  derularea în paralel a altor 9 proiecte ample de informare, au condus la reconsiderarea proiectului „</w:t>
      </w:r>
      <w:r w:rsidRPr="00C1729E">
        <w:rPr>
          <w:bCs/>
          <w:i/>
          <w:sz w:val="24"/>
          <w:szCs w:val="24"/>
        </w:rPr>
        <w:t>Centrul Național de Informare pentru Fonduri Europene Structurale și de Investiții 2014-2020</w:t>
      </w:r>
      <w:r w:rsidRPr="00C1729E">
        <w:rPr>
          <w:bCs/>
          <w:sz w:val="24"/>
          <w:szCs w:val="24"/>
        </w:rPr>
        <w:t>” (cod 1.2.060), care includea și o componentă de Ghișeu unic/“</w:t>
      </w:r>
      <w:proofErr w:type="spellStart"/>
      <w:r w:rsidRPr="00C1729E">
        <w:rPr>
          <w:bCs/>
          <w:sz w:val="24"/>
          <w:szCs w:val="24"/>
        </w:rPr>
        <w:t>one-stop-shop</w:t>
      </w:r>
      <w:proofErr w:type="spellEnd"/>
      <w:r w:rsidRPr="00C1729E">
        <w:rPr>
          <w:bCs/>
          <w:sz w:val="24"/>
          <w:szCs w:val="24"/>
        </w:rPr>
        <w:t>”, inclusiv din punct de vedere al raportului dintre cost și eficiență.</w:t>
      </w:r>
    </w:p>
    <w:p w14:paraId="3D881EA6" w14:textId="77777777" w:rsidR="0028186E" w:rsidRPr="00C1729E" w:rsidRDefault="0028186E" w:rsidP="009941AE">
      <w:pPr>
        <w:spacing w:after="60" w:line="240" w:lineRule="auto"/>
        <w:ind w:left="709"/>
        <w:jc w:val="both"/>
        <w:rPr>
          <w:bCs/>
          <w:sz w:val="24"/>
          <w:szCs w:val="24"/>
        </w:rPr>
      </w:pPr>
      <w:r w:rsidRPr="00C1729E">
        <w:rPr>
          <w:bCs/>
          <w:sz w:val="24"/>
          <w:szCs w:val="24"/>
        </w:rPr>
        <w:t>Un astfel de proiect, creionat în urmă cu câțiva ani, nu și-a mai găsit justificarea în prezent nici din perspectiva cheltuielilor pe care le presupune și nici din perspectiva nevoilor concrete de informare pe care le au beneficiarii de fonduri nerambursabile și care sunt oricum într-o dinamică permanentă.</w:t>
      </w:r>
    </w:p>
    <w:p w14:paraId="2A0C9D26" w14:textId="77777777" w:rsidR="0028186E" w:rsidRPr="00C1729E" w:rsidRDefault="0028186E" w:rsidP="009941AE">
      <w:pPr>
        <w:spacing w:after="60" w:line="240" w:lineRule="auto"/>
        <w:ind w:left="709"/>
        <w:jc w:val="both"/>
        <w:rPr>
          <w:bCs/>
          <w:sz w:val="24"/>
          <w:szCs w:val="24"/>
        </w:rPr>
      </w:pPr>
      <w:r w:rsidRPr="00C1729E">
        <w:rPr>
          <w:bCs/>
          <w:sz w:val="24"/>
          <w:szCs w:val="24"/>
        </w:rPr>
        <w:t>Așadar, pentru a identifica cea mai eficientă manieră de dialog cu beneficiarii și pentru a răspunde nevoilor lor de informare, ținând cont de realitățile și probleme concrete întâmpinate de ei</w:t>
      </w:r>
      <w:r w:rsidR="00EC341E" w:rsidRPr="00C1729E">
        <w:rPr>
          <w:bCs/>
          <w:sz w:val="24"/>
          <w:szCs w:val="24"/>
        </w:rPr>
        <w:t>,</w:t>
      </w:r>
      <w:r w:rsidRPr="00C1729E">
        <w:rPr>
          <w:bCs/>
          <w:sz w:val="24"/>
          <w:szCs w:val="24"/>
        </w:rPr>
        <w:t xml:space="preserve"> dar și de exigențele de comunicare impuse de provocările permanente și de progresul noilor tehnologii în domeniu, actuala echipă de comunicare a demarat, în acest an, cel mai amplu proces de consultare cu reprezentanții beneficiarilor. </w:t>
      </w:r>
    </w:p>
    <w:p w14:paraId="40F58249" w14:textId="77777777" w:rsidR="0028186E" w:rsidRPr="00C1729E" w:rsidRDefault="0028186E" w:rsidP="009941AE">
      <w:pPr>
        <w:spacing w:after="60" w:line="240" w:lineRule="auto"/>
        <w:ind w:left="709"/>
        <w:jc w:val="both"/>
        <w:rPr>
          <w:bCs/>
          <w:sz w:val="24"/>
          <w:szCs w:val="24"/>
        </w:rPr>
      </w:pPr>
      <w:r w:rsidRPr="00C1729E">
        <w:rPr>
          <w:bCs/>
          <w:sz w:val="24"/>
          <w:szCs w:val="24"/>
        </w:rPr>
        <w:t xml:space="preserve">După organizarea a trei reuniuni de lucru, s-a agreat de comun acord cu beneficiarii prezenți înlocuirea proiectului „Centrul Național de Informare pentru Fonduri Europene Structurale și de Investiții 2014-2020” cu un instrument modern de comunicare, ce va permite tuturor părților interesate să aibă acces la informație rapid, simplu, de oriunde. </w:t>
      </w:r>
    </w:p>
    <w:p w14:paraId="25940F4D" w14:textId="77777777" w:rsidR="0028186E" w:rsidRPr="00C1729E" w:rsidRDefault="0028186E" w:rsidP="009941AE">
      <w:pPr>
        <w:spacing w:after="60" w:line="240" w:lineRule="auto"/>
        <w:ind w:left="709"/>
        <w:jc w:val="both"/>
        <w:rPr>
          <w:bCs/>
          <w:sz w:val="24"/>
          <w:szCs w:val="24"/>
        </w:rPr>
      </w:pPr>
      <w:r w:rsidRPr="00C1729E">
        <w:rPr>
          <w:bCs/>
          <w:sz w:val="24"/>
          <w:szCs w:val="24"/>
        </w:rPr>
        <w:t xml:space="preserve">Noua platformă digitală comună de comunicare și consultare va fi completată de un regulament de consultare publică MFE – beneficiari, agreat de asemenea împreună cu beneficiarii. </w:t>
      </w:r>
    </w:p>
    <w:p w14:paraId="3C1BBC36" w14:textId="77777777" w:rsidR="0028186E" w:rsidRPr="00C1729E" w:rsidRDefault="0028186E" w:rsidP="009941AE">
      <w:pPr>
        <w:spacing w:after="60" w:line="240" w:lineRule="auto"/>
        <w:ind w:left="709"/>
        <w:jc w:val="both"/>
        <w:rPr>
          <w:bCs/>
          <w:sz w:val="24"/>
          <w:szCs w:val="24"/>
        </w:rPr>
      </w:pPr>
      <w:r w:rsidRPr="00C1729E">
        <w:rPr>
          <w:bCs/>
          <w:sz w:val="24"/>
          <w:szCs w:val="24"/>
        </w:rPr>
        <w:t>Ambele inițiative au la bază principiile noii viziuni de comunicare în domeniul fondurilor europene  - și anume adaptarea permanentă la nevoile și exigențele pieței, simplificarea limbajului și accesibilizarea informației pentru beneficiar prin intermediul unor instrumente moderne de comunicare, în pas cu evoluția noilor tehnologii.</w:t>
      </w:r>
    </w:p>
    <w:p w14:paraId="0F104926" w14:textId="77777777" w:rsidR="00DB2DE0" w:rsidRPr="00C1729E" w:rsidRDefault="00DB2DE0" w:rsidP="009941AE">
      <w:pPr>
        <w:spacing w:after="60" w:line="240" w:lineRule="auto"/>
        <w:ind w:left="927"/>
        <w:jc w:val="both"/>
        <w:rPr>
          <w:bCs/>
        </w:rPr>
      </w:pPr>
    </w:p>
    <w:p w14:paraId="0F00AA61" w14:textId="4D0B83A3" w:rsidR="00EF7191" w:rsidRPr="00EF7191" w:rsidRDefault="00135A9B" w:rsidP="009941AE">
      <w:pPr>
        <w:pStyle w:val="ListParagraph"/>
        <w:numPr>
          <w:ilvl w:val="0"/>
          <w:numId w:val="20"/>
        </w:numPr>
        <w:spacing w:after="60" w:line="240" w:lineRule="auto"/>
        <w:jc w:val="both"/>
        <w:rPr>
          <w:b/>
          <w:color w:val="548DD4" w:themeColor="text2" w:themeTint="99"/>
        </w:rPr>
      </w:pPr>
      <w:r w:rsidRPr="00EF7191">
        <w:rPr>
          <w:b/>
          <w:color w:val="548DD4" w:themeColor="text2" w:themeTint="99"/>
        </w:rPr>
        <w:lastRenderedPageBreak/>
        <w:t>Rolul partenerilor menționați la articolul 5 din Regulamentul (UE) nr. 1303/2013 în punerea în aplicare a acordului de parteneriat [articolul 52 alineatul (2) litera (h) din Regulamentul (UE) nr. 1303/2013]</w:t>
      </w:r>
    </w:p>
    <w:p w14:paraId="7D27B5AD" w14:textId="77777777" w:rsidR="00E052C2" w:rsidRPr="00C1729E" w:rsidRDefault="001C2D6A" w:rsidP="009941AE">
      <w:pPr>
        <w:spacing w:after="60" w:line="240" w:lineRule="auto"/>
        <w:jc w:val="both"/>
        <w:rPr>
          <w:rFonts w:eastAsia="Calibri" w:cs="Times New Roman"/>
        </w:rPr>
      </w:pPr>
      <w:r w:rsidRPr="00C1729E">
        <w:rPr>
          <w:rFonts w:eastAsia="Calibri" w:cs="Times New Roman"/>
          <w:b/>
          <w:bCs/>
          <w:color w:val="5B9BD5"/>
        </w:rPr>
        <w:t>(a) Descrierea și evaluarea rolului partenerilor selectați în vederea elaborării raportului privind progresele înregistrate, cu trimitere la acordul de parteneriat.</w:t>
      </w:r>
    </w:p>
    <w:p w14:paraId="7771B697" w14:textId="77777777" w:rsidR="00E75285" w:rsidRPr="00C1729E" w:rsidRDefault="00E75285" w:rsidP="009941AE">
      <w:pPr>
        <w:spacing w:after="60" w:line="240" w:lineRule="auto"/>
        <w:jc w:val="both"/>
        <w:rPr>
          <w:rFonts w:eastAsia="Calibri" w:cs="Times New Roman"/>
          <w:sz w:val="24"/>
          <w:szCs w:val="24"/>
        </w:rPr>
      </w:pPr>
      <w:r w:rsidRPr="00C1729E">
        <w:rPr>
          <w:rFonts w:eastAsia="Calibri" w:cs="Times New Roman"/>
          <w:sz w:val="24"/>
          <w:szCs w:val="24"/>
        </w:rPr>
        <w:t>Elaborarea Raportului de Progres s-a realizat în baza informațiilor din Rapoartele de implementare (documente aprobate în cadrul Comitetelor de Monitorizare)</w:t>
      </w:r>
      <w:r w:rsidR="00F9212E" w:rsidRPr="00C1729E">
        <w:rPr>
          <w:rFonts w:eastAsia="Calibri" w:cs="Times New Roman"/>
          <w:sz w:val="24"/>
          <w:szCs w:val="24"/>
        </w:rPr>
        <w:t>, Programul Național de Reformă</w:t>
      </w:r>
      <w:r w:rsidRPr="00C1729E">
        <w:rPr>
          <w:rFonts w:eastAsia="Calibri" w:cs="Times New Roman"/>
          <w:sz w:val="24"/>
          <w:szCs w:val="24"/>
        </w:rPr>
        <w:t xml:space="preserve"> și prin consultare cu autoritățile de management și alți parteneri relevanți (ADI ITI, coordonatorul național SUERD, </w:t>
      </w:r>
      <w:r w:rsidR="00F9212E" w:rsidRPr="00C1729E">
        <w:rPr>
          <w:rFonts w:eastAsia="Calibri" w:cs="Times New Roman"/>
          <w:sz w:val="24"/>
          <w:szCs w:val="24"/>
        </w:rPr>
        <w:t xml:space="preserve">MAE, </w:t>
      </w:r>
      <w:r w:rsidRPr="00C1729E">
        <w:rPr>
          <w:rFonts w:eastAsia="Calibri" w:cs="Times New Roman"/>
          <w:sz w:val="24"/>
          <w:szCs w:val="24"/>
        </w:rPr>
        <w:t>ministere de linie).</w:t>
      </w:r>
    </w:p>
    <w:p w14:paraId="2D57A4D4" w14:textId="165B22F9" w:rsidR="00D455EA" w:rsidRPr="00C1729E" w:rsidRDefault="00E75285" w:rsidP="009941AE">
      <w:pPr>
        <w:spacing w:after="60" w:line="240" w:lineRule="auto"/>
        <w:jc w:val="both"/>
        <w:rPr>
          <w:rFonts w:eastAsia="Calibri" w:cs="Times New Roman"/>
          <w:sz w:val="24"/>
          <w:szCs w:val="24"/>
        </w:rPr>
      </w:pPr>
      <w:r w:rsidRPr="00C1729E">
        <w:rPr>
          <w:rFonts w:eastAsia="Calibri" w:cs="Times New Roman"/>
          <w:sz w:val="24"/>
          <w:szCs w:val="24"/>
        </w:rPr>
        <w:t>Raportul de progres a fost supus dezbaterii CCMAP, prin procedură scrisă</w:t>
      </w:r>
      <w:r w:rsidR="003D1D44" w:rsidRPr="00C1729E">
        <w:rPr>
          <w:rFonts w:eastAsia="Calibri" w:cs="Times New Roman"/>
          <w:sz w:val="24"/>
          <w:szCs w:val="24"/>
        </w:rPr>
        <w:t>.</w:t>
      </w:r>
      <w:r w:rsidR="009066E7" w:rsidRPr="00C1729E">
        <w:rPr>
          <w:rFonts w:eastAsia="Calibri" w:cs="Times New Roman"/>
          <w:sz w:val="24"/>
          <w:szCs w:val="24"/>
        </w:rPr>
        <w:t xml:space="preserve"> </w:t>
      </w:r>
      <w:r w:rsidR="00B0123E" w:rsidRPr="00C1729E">
        <w:rPr>
          <w:rFonts w:eastAsia="Calibri" w:cs="Times New Roman"/>
          <w:sz w:val="24"/>
          <w:szCs w:val="24"/>
        </w:rPr>
        <w:t>Membrii CCMAP și-au exprimat acordul privind conținutul RP, observațiile</w:t>
      </w:r>
      <w:r w:rsidR="007B646D" w:rsidRPr="00C1729E">
        <w:rPr>
          <w:rFonts w:eastAsia="Calibri" w:cs="Times New Roman"/>
          <w:sz w:val="24"/>
          <w:szCs w:val="24"/>
        </w:rPr>
        <w:t>/propunerile primite de la aceștia fiind integrate în text</w:t>
      </w:r>
      <w:r w:rsidR="009066E7" w:rsidRPr="00C1729E">
        <w:rPr>
          <w:rFonts w:eastAsia="Calibri" w:cs="Times New Roman"/>
          <w:sz w:val="24"/>
          <w:szCs w:val="24"/>
        </w:rPr>
        <w:t>, după caz</w:t>
      </w:r>
      <w:r w:rsidR="007B646D" w:rsidRPr="00C1729E">
        <w:rPr>
          <w:rFonts w:eastAsia="Calibri" w:cs="Times New Roman"/>
          <w:sz w:val="24"/>
          <w:szCs w:val="24"/>
        </w:rPr>
        <w:t>.</w:t>
      </w:r>
      <w:r w:rsidR="00D455EA" w:rsidRPr="00D455EA">
        <w:rPr>
          <w:rFonts w:eastAsia="Calibri" w:cs="Times New Roman"/>
          <w:sz w:val="24"/>
          <w:szCs w:val="24"/>
        </w:rPr>
        <w:t xml:space="preserve"> </w:t>
      </w:r>
      <w:r w:rsidR="00D455EA" w:rsidRPr="00C1729E">
        <w:rPr>
          <w:rFonts w:eastAsia="Calibri" w:cs="Times New Roman"/>
          <w:sz w:val="24"/>
          <w:szCs w:val="24"/>
        </w:rPr>
        <w:t xml:space="preserve">Raportul de progres a fost publicat pentru consultare publica pe pagina </w:t>
      </w:r>
      <w:hyperlink r:id="rId11" w:history="1">
        <w:r w:rsidR="00D455EA" w:rsidRPr="00C1729E">
          <w:rPr>
            <w:rFonts w:eastAsia="Calibri" w:cs="Times New Roman"/>
            <w:color w:val="0563C1"/>
            <w:sz w:val="24"/>
            <w:szCs w:val="24"/>
            <w:u w:val="single"/>
          </w:rPr>
          <w:t>www.fonduri-ue.ro</w:t>
        </w:r>
      </w:hyperlink>
      <w:r w:rsidR="00D455EA" w:rsidRPr="00C1729E">
        <w:rPr>
          <w:rFonts w:eastAsia="Calibri" w:cs="Times New Roman"/>
          <w:color w:val="0563C1"/>
          <w:sz w:val="24"/>
          <w:szCs w:val="24"/>
          <w:u w:val="single"/>
        </w:rPr>
        <w:t xml:space="preserve"> (http://www.fonduri-ue.ro/acord-parteneriat)</w:t>
      </w:r>
      <w:r w:rsidR="00D455EA" w:rsidRPr="00C1729E">
        <w:rPr>
          <w:rFonts w:eastAsia="Calibri" w:cs="Times New Roman"/>
          <w:sz w:val="24"/>
          <w:szCs w:val="24"/>
        </w:rPr>
        <w:t>.</w:t>
      </w:r>
    </w:p>
    <w:p w14:paraId="43A6D590" w14:textId="77777777" w:rsidR="00E75285" w:rsidRPr="00C1729E" w:rsidRDefault="00E75285" w:rsidP="009941AE">
      <w:pPr>
        <w:spacing w:after="60" w:line="240" w:lineRule="auto"/>
        <w:jc w:val="both"/>
        <w:rPr>
          <w:rFonts w:eastAsia="Calibri" w:cs="Times New Roman"/>
          <w:sz w:val="24"/>
          <w:szCs w:val="24"/>
        </w:rPr>
      </w:pPr>
    </w:p>
    <w:p w14:paraId="725BCABA" w14:textId="77777777" w:rsidR="003D1D44" w:rsidRPr="00C1729E" w:rsidRDefault="001C2D6A" w:rsidP="009941AE">
      <w:pPr>
        <w:spacing w:after="60" w:line="240" w:lineRule="auto"/>
        <w:jc w:val="both"/>
        <w:rPr>
          <w:rFonts w:eastAsia="Calibri" w:cs="Times New Roman"/>
          <w:b/>
          <w:bCs/>
          <w:color w:val="5B9BD5"/>
        </w:rPr>
      </w:pPr>
      <w:r w:rsidRPr="00C1729E">
        <w:rPr>
          <w:rFonts w:eastAsia="Calibri" w:cs="Times New Roman"/>
          <w:b/>
          <w:bCs/>
          <w:color w:val="5B9BD5"/>
        </w:rPr>
        <w:t>(b) Descrierea și evaluarea implicării partenerilor selectați în procesul de implementare a programelor, inclusiv participarea în comitetele de monitorizare a programelor</w:t>
      </w:r>
      <w:r w:rsidR="00E052C2" w:rsidRPr="00C1729E">
        <w:rPr>
          <w:rFonts w:eastAsia="Calibri" w:cs="Times New Roman"/>
          <w:b/>
          <w:bCs/>
          <w:color w:val="5B9BD5"/>
        </w:rPr>
        <w:t>.</w:t>
      </w:r>
    </w:p>
    <w:p w14:paraId="467D4478"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Organizarea cadrului partenerial la nivelul Acordului de Parteneriat 2014-2020, cât și a celui de la nivelul programelor (comitete de monitorizare) a fost făcută cu respectarea principiului parteneriatului și al reprezentativității în conformitate cu prevederile art. 48, coroborat cu art. 5 din Regulamentul UE nr. 1303/2013, ale art. 4 din Actul delegat UE nr. 240/2014.</w:t>
      </w:r>
    </w:p>
    <w:p w14:paraId="4EB89605" w14:textId="7B048FC0"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Ca </w:t>
      </w:r>
      <w:r w:rsidRPr="00D455EA">
        <w:rPr>
          <w:rFonts w:eastAsia="Trebuchet MS" w:cs="Trebuchet MS"/>
          <w:sz w:val="24"/>
          <w:szCs w:val="24"/>
          <w:lang w:eastAsia="ro-RO"/>
        </w:rPr>
        <w:t>urmare a schimbărilor instituționale de la nivelul Guvernului României, în anul 2018 a fost necesară o re</w:t>
      </w:r>
      <w:r w:rsidR="00FD7ACF">
        <w:rPr>
          <w:rFonts w:eastAsia="Trebuchet MS" w:cs="Trebuchet MS"/>
          <w:sz w:val="24"/>
          <w:szCs w:val="24"/>
          <w:lang w:eastAsia="ro-RO"/>
        </w:rPr>
        <w:t>nominalizare</w:t>
      </w:r>
      <w:r w:rsidRPr="00D455EA">
        <w:rPr>
          <w:rFonts w:eastAsia="Trebuchet MS" w:cs="Trebuchet MS"/>
          <w:sz w:val="24"/>
          <w:szCs w:val="24"/>
          <w:lang w:eastAsia="ro-RO"/>
        </w:rPr>
        <w:t xml:space="preserve"> a structurilor parteneriale</w:t>
      </w:r>
      <w:r w:rsidR="00FD7ACF">
        <w:rPr>
          <w:rFonts w:eastAsia="Trebuchet MS" w:cs="Trebuchet MS"/>
          <w:sz w:val="24"/>
          <w:szCs w:val="24"/>
          <w:lang w:eastAsia="ro-RO"/>
        </w:rPr>
        <w:t>, fiind respectată în continuare</w:t>
      </w:r>
      <w:r w:rsidRPr="00D455EA">
        <w:rPr>
          <w:rFonts w:eastAsia="Trebuchet MS" w:cs="Trebuchet MS"/>
          <w:sz w:val="24"/>
          <w:szCs w:val="24"/>
          <w:lang w:eastAsia="ro-RO"/>
        </w:rPr>
        <w:t xml:space="preserve"> reprezentativitatea tuturor partenerilor relevanți. Astfel, în prezent, CCMAP are în componență 48 de instituții și organizații, dintre care 20 sunt organizații din mediul economic, social şi din societatea civilă. Între acestea, se regăsesc organizații reprezentative pentru mediul</w:t>
      </w:r>
      <w:r w:rsidRPr="00C1729E">
        <w:rPr>
          <w:rFonts w:eastAsia="Trebuchet MS" w:cs="Trebuchet MS"/>
          <w:sz w:val="24"/>
          <w:szCs w:val="24"/>
          <w:lang w:eastAsia="ro-RO"/>
        </w:rPr>
        <w:t xml:space="preserve"> de afaceri, protecția mediului sau domeniul social, cât și organizații reprezentative pentru interesele de la nivel local. Pe lângă membri CCMAP, în funcție de subiectele abordate/ dezbătute, la reuniuni pot participa reprezentanţii CE și ai altor organisme relevante în calitate de invitați. În acest context, o serie de organizații și-au exprimat interesul față de activitatea CCMAP și au solicitat participarea la reuniunile acestui comitet, devenind invitați permanenți ai CCMAP.</w:t>
      </w:r>
    </w:p>
    <w:p w14:paraId="1A602346" w14:textId="46256AEF"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In perioada 2017-2018, au fost organizate 2 reuniuni ale CCMAP (19 octombrie 2017 și 15 noiembrie 2018). În cadrul acestora, au fost supuse dezbaterii parteneriale următoarele teme/ documente: stadiul implementării AP; planul de Evaluare a AP; Politica de coeziune post 2020;  prezentarea prioritarilor României pe perioada asigurării Președinției Consiliului UE; poziția României pe marginea pachetului legislativ pentru Politica de coeziune post 2020; pregătirea documentelor de programare 2021-2027.</w:t>
      </w:r>
    </w:p>
    <w:p w14:paraId="7535E5A8"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În vederea asigurării transparenței activității structurilor parteneriale, pe site-ul oficial al MFE </w:t>
      </w:r>
      <w:hyperlink r:id="rId12">
        <w:r w:rsidRPr="00C1729E">
          <w:rPr>
            <w:rFonts w:eastAsia="Trebuchet MS" w:cs="Trebuchet MS"/>
            <w:color w:val="0563C1"/>
            <w:sz w:val="24"/>
            <w:szCs w:val="24"/>
            <w:u w:val="single"/>
            <w:lang w:eastAsia="ro-RO"/>
          </w:rPr>
          <w:t>www.fonduri-ue.ro</w:t>
        </w:r>
      </w:hyperlink>
      <w:r w:rsidRPr="00C1729E">
        <w:rPr>
          <w:rFonts w:eastAsia="Trebuchet MS" w:cs="Trebuchet MS"/>
          <w:sz w:val="24"/>
          <w:szCs w:val="24"/>
          <w:lang w:eastAsia="ro-RO"/>
        </w:rPr>
        <w:t xml:space="preserve"> se află publicate atât documente care țin de modalitatea de organizare a structurilor (componența CCMAP, ROF), precum și toate documentele prezentate/ dezbătute în cadrul reuniunilor CCMAP.</w:t>
      </w:r>
    </w:p>
    <w:p w14:paraId="2FB844D6"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Pentru a asigura comunicarea cu membrii CCMAP, precum și cu alți parteneri interesați este utilizată adresa de e-mail </w:t>
      </w:r>
      <w:hyperlink r:id="rId13">
        <w:r w:rsidRPr="00C1729E">
          <w:rPr>
            <w:rFonts w:eastAsia="Trebuchet MS" w:cs="Trebuchet MS"/>
            <w:color w:val="0563C1"/>
            <w:sz w:val="24"/>
            <w:szCs w:val="24"/>
            <w:u w:val="single"/>
            <w:lang w:eastAsia="ro-RO"/>
          </w:rPr>
          <w:t>secretariat.ciap@fonduri-ue.ro</w:t>
        </w:r>
      </w:hyperlink>
      <w:r w:rsidRPr="00C1729E">
        <w:rPr>
          <w:rFonts w:eastAsia="Trebuchet MS" w:cs="Trebuchet MS"/>
          <w:sz w:val="24"/>
          <w:szCs w:val="24"/>
          <w:lang w:eastAsia="ro-RO"/>
        </w:rPr>
        <w:t>.</w:t>
      </w:r>
    </w:p>
    <w:p w14:paraId="4B35814F"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În ceea ce privește structurile parteneriale aflate în coordonarea CCMAP, în funcție de necesitățile identificate pentru anumite domenii, activitatea acestora a fost intensificată considerabil. </w:t>
      </w:r>
    </w:p>
    <w:p w14:paraId="5EAE9D0C"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Implementarea intervențiilor care presupun o abordare </w:t>
      </w:r>
      <w:proofErr w:type="spellStart"/>
      <w:r w:rsidRPr="00C1729E">
        <w:rPr>
          <w:rFonts w:eastAsia="Trebuchet MS" w:cs="Trebuchet MS"/>
          <w:sz w:val="24"/>
          <w:szCs w:val="24"/>
          <w:lang w:eastAsia="ro-RO"/>
        </w:rPr>
        <w:t>multi-fond</w:t>
      </w:r>
      <w:proofErr w:type="spellEnd"/>
      <w:r w:rsidRPr="00C1729E">
        <w:rPr>
          <w:rFonts w:eastAsia="Trebuchet MS" w:cs="Trebuchet MS"/>
          <w:sz w:val="24"/>
          <w:szCs w:val="24"/>
          <w:lang w:eastAsia="ro-RO"/>
        </w:rPr>
        <w:t xml:space="preserve">, precum și colaborarea interinstituțională, a reprezentat un proces complex, fiind necesară organizarea a numeroase reuniuni de lucru pentru a asigura complementaritatea și corelarea activităților. </w:t>
      </w:r>
    </w:p>
    <w:p w14:paraId="6BCBBE08"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dat fiind caracterul inovativ și mai ales complex al utilizării instrumentului </w:t>
      </w:r>
      <w:r w:rsidRPr="00C1729E">
        <w:rPr>
          <w:rFonts w:eastAsia="Trebuchet MS" w:cs="Trebuchet MS"/>
          <w:b/>
          <w:sz w:val="24"/>
          <w:szCs w:val="24"/>
          <w:lang w:eastAsia="ro-RO"/>
        </w:rPr>
        <w:t>DLRC</w:t>
      </w:r>
      <w:r w:rsidRPr="00C1729E">
        <w:rPr>
          <w:rFonts w:eastAsia="Trebuchet MS" w:cs="Trebuchet MS"/>
          <w:sz w:val="24"/>
          <w:szCs w:val="24"/>
          <w:lang w:eastAsia="ro-RO"/>
        </w:rPr>
        <w:t xml:space="preserve">, au fost necesare reuniuni tehnice între instituțiile membre CCS în vederea agreării documentelor care au stat la </w:t>
      </w:r>
      <w:r w:rsidRPr="00C1729E">
        <w:rPr>
          <w:rFonts w:eastAsia="Trebuchet MS" w:cs="Trebuchet MS"/>
          <w:sz w:val="24"/>
          <w:szCs w:val="24"/>
          <w:lang w:eastAsia="ro-RO"/>
        </w:rPr>
        <w:lastRenderedPageBreak/>
        <w:t xml:space="preserve">baza elaborării, selecției și implementării SDL, dar și dezbateri publice în vederea diseminării documentelor dar și pentru  clarificarea aspectelor care țin de etapele de implementare a DLRC. Acestea au fost realizate cu participarea instituțiilor CCS și GAL. </w:t>
      </w:r>
    </w:p>
    <w:p w14:paraId="02462F99"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Ca urmare a caracteristicilor deosebite pe care grupul țintă reprezentat de tinerii </w:t>
      </w:r>
      <w:proofErr w:type="spellStart"/>
      <w:r w:rsidRPr="00C1729E">
        <w:rPr>
          <w:rFonts w:eastAsia="Trebuchet MS" w:cs="Trebuchet MS"/>
          <w:sz w:val="24"/>
          <w:szCs w:val="24"/>
          <w:lang w:eastAsia="ro-RO"/>
        </w:rPr>
        <w:t>NEETs</w:t>
      </w:r>
      <w:proofErr w:type="spellEnd"/>
      <w:r w:rsidRPr="00C1729E">
        <w:rPr>
          <w:rFonts w:eastAsia="Trebuchet MS" w:cs="Trebuchet MS"/>
          <w:sz w:val="24"/>
          <w:szCs w:val="24"/>
          <w:lang w:eastAsia="ro-RO"/>
        </w:rPr>
        <w:t xml:space="preserve"> le are, au fost organizate o serie de consultări parteneriale în vederea identificării celor mai bune soluții pentru optimizarea apelurilor de proiecte dedicate intervențiilor </w:t>
      </w:r>
      <w:proofErr w:type="spellStart"/>
      <w:r w:rsidRPr="00C1729E">
        <w:rPr>
          <w:rFonts w:eastAsia="Trebuchet MS" w:cs="Trebuchet MS"/>
          <w:sz w:val="24"/>
          <w:szCs w:val="24"/>
          <w:lang w:eastAsia="ro-RO"/>
        </w:rPr>
        <w:t>NEETs</w:t>
      </w:r>
      <w:proofErr w:type="spellEnd"/>
      <w:r w:rsidRPr="00C1729E">
        <w:rPr>
          <w:rFonts w:eastAsia="Trebuchet MS" w:cs="Trebuchet MS"/>
          <w:sz w:val="24"/>
          <w:szCs w:val="24"/>
          <w:lang w:eastAsia="ro-RO"/>
        </w:rPr>
        <w:t>. Partenerii sociali au fost implicați atât în procesul de concepere a apelurilor aferente AP1, cât și în contexte generale de implementare a programului, aducând plus valoare prin contribuții venite din abordarea directă a grupurilor țintă.</w:t>
      </w:r>
    </w:p>
    <w:p w14:paraId="599CA944"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Implementarea </w:t>
      </w:r>
      <w:r w:rsidRPr="00C1729E">
        <w:rPr>
          <w:rFonts w:eastAsia="Trebuchet MS" w:cs="Trebuchet MS"/>
          <w:b/>
          <w:sz w:val="24"/>
          <w:szCs w:val="24"/>
          <w:lang w:eastAsia="ro-RO"/>
        </w:rPr>
        <w:t xml:space="preserve">ITI </w:t>
      </w:r>
      <w:r w:rsidRPr="00C1729E">
        <w:rPr>
          <w:rFonts w:eastAsia="Trebuchet MS" w:cs="Trebuchet MS"/>
          <w:sz w:val="24"/>
          <w:szCs w:val="24"/>
          <w:lang w:eastAsia="ro-RO"/>
        </w:rPr>
        <w:t xml:space="preserve">se face prin intermediul mai multor Programe Operaționale, fiind o abordare </w:t>
      </w:r>
      <w:proofErr w:type="spellStart"/>
      <w:r w:rsidRPr="00C1729E">
        <w:rPr>
          <w:rFonts w:eastAsia="Trebuchet MS" w:cs="Trebuchet MS"/>
          <w:sz w:val="24"/>
          <w:szCs w:val="24"/>
          <w:lang w:eastAsia="ro-RO"/>
        </w:rPr>
        <w:t>multi-fond</w:t>
      </w:r>
      <w:proofErr w:type="spellEnd"/>
      <w:r w:rsidRPr="00C1729E">
        <w:rPr>
          <w:rFonts w:eastAsia="Trebuchet MS" w:cs="Trebuchet MS"/>
          <w:sz w:val="24"/>
          <w:szCs w:val="24"/>
          <w:lang w:eastAsia="ro-RO"/>
        </w:rPr>
        <w:t xml:space="preserve"> din FSE, FEDR, FC, FEPAM, FEADR. Numeroase întruniri dintre reprezentanții tuturor </w:t>
      </w:r>
      <w:proofErr w:type="spellStart"/>
      <w:r w:rsidRPr="00C1729E">
        <w:rPr>
          <w:rFonts w:eastAsia="Trebuchet MS" w:cs="Trebuchet MS"/>
          <w:sz w:val="24"/>
          <w:szCs w:val="24"/>
          <w:lang w:eastAsia="ro-RO"/>
        </w:rPr>
        <w:t>AM-urilor</w:t>
      </w:r>
      <w:proofErr w:type="spellEnd"/>
      <w:r w:rsidRPr="00C1729E">
        <w:rPr>
          <w:rFonts w:eastAsia="Trebuchet MS" w:cs="Trebuchet MS"/>
          <w:sz w:val="24"/>
          <w:szCs w:val="24"/>
          <w:lang w:eastAsia="ro-RO"/>
        </w:rPr>
        <w:t xml:space="preserve"> implicate, parteneri relevanți din zona ITI și cei ai Asociaţiei pentru Dezvoltare Intercomunitară ITI Delta Dunării au fost necesare în vederea coordonării intervențiilor prevăzute a fi implementate în Delta Dunării.   </w:t>
      </w:r>
    </w:p>
    <w:p w14:paraId="6A1687BE"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b/>
          <w:sz w:val="24"/>
          <w:szCs w:val="24"/>
          <w:lang w:eastAsia="ro-RO"/>
        </w:rPr>
        <w:t>Dezinstituționalizarea</w:t>
      </w:r>
      <w:r w:rsidRPr="00C1729E">
        <w:rPr>
          <w:rFonts w:eastAsia="Trebuchet MS" w:cs="Trebuchet MS"/>
          <w:sz w:val="24"/>
          <w:szCs w:val="24"/>
          <w:lang w:eastAsia="ro-RO"/>
        </w:rPr>
        <w:t xml:space="preserve"> atât a copiilor cât și a persoanelor cu </w:t>
      </w:r>
      <w:proofErr w:type="spellStart"/>
      <w:r w:rsidRPr="00C1729E">
        <w:rPr>
          <w:rFonts w:eastAsia="Trebuchet MS" w:cs="Trebuchet MS"/>
          <w:sz w:val="24"/>
          <w:szCs w:val="24"/>
          <w:lang w:eastAsia="ro-RO"/>
        </w:rPr>
        <w:t>dizabilități</w:t>
      </w:r>
      <w:proofErr w:type="spellEnd"/>
      <w:r w:rsidRPr="00C1729E">
        <w:rPr>
          <w:rFonts w:eastAsia="Trebuchet MS" w:cs="Trebuchet MS"/>
          <w:sz w:val="24"/>
          <w:szCs w:val="24"/>
          <w:lang w:eastAsia="ro-RO"/>
        </w:rPr>
        <w:t xml:space="preserve"> este un proces care presupune un efort instituțional comun atât pentru corelarea activităților cât și pentru identificarea soluțiilor optime pentru asigurarea tranziției de la instituțiile de tip rezidențial la serviciile oferite la nivelul comunității. În acest context, au fost organizate reuniuni de lucru cu participarea reprezentanților AM POR, AM POCU, Autoritatea Națională pentru Persoanele cu </w:t>
      </w:r>
      <w:proofErr w:type="spellStart"/>
      <w:r w:rsidRPr="00C1729E">
        <w:rPr>
          <w:rFonts w:eastAsia="Trebuchet MS" w:cs="Trebuchet MS"/>
          <w:sz w:val="24"/>
          <w:szCs w:val="24"/>
          <w:lang w:eastAsia="ro-RO"/>
        </w:rPr>
        <w:t>Dizabilități</w:t>
      </w:r>
      <w:proofErr w:type="spellEnd"/>
      <w:r w:rsidRPr="00C1729E">
        <w:rPr>
          <w:rFonts w:eastAsia="Trebuchet MS" w:cs="Trebuchet MS"/>
          <w:sz w:val="24"/>
          <w:szCs w:val="24"/>
          <w:lang w:eastAsia="ro-RO"/>
        </w:rPr>
        <w:t xml:space="preserve"> și Autoritatea Națională pentru Protecția Drepturilor Copilului și Adopție care au avut ca scop stabilirea unui calendar comun privind lansarea apelurilor de proiecte de către cele 2 </w:t>
      </w:r>
      <w:proofErr w:type="spellStart"/>
      <w:r w:rsidRPr="00C1729E">
        <w:rPr>
          <w:rFonts w:eastAsia="Trebuchet MS" w:cs="Trebuchet MS"/>
          <w:sz w:val="24"/>
          <w:szCs w:val="24"/>
          <w:lang w:eastAsia="ro-RO"/>
        </w:rPr>
        <w:t>AM-uri</w:t>
      </w:r>
      <w:proofErr w:type="spellEnd"/>
      <w:r w:rsidRPr="00C1729E">
        <w:rPr>
          <w:rFonts w:eastAsia="Trebuchet MS" w:cs="Trebuchet MS"/>
          <w:sz w:val="24"/>
          <w:szCs w:val="24"/>
          <w:lang w:eastAsia="ro-RO"/>
        </w:rPr>
        <w:t xml:space="preserve">, a stabilirii criteriilor de </w:t>
      </w:r>
      <w:proofErr w:type="spellStart"/>
      <w:r w:rsidRPr="00C1729E">
        <w:rPr>
          <w:rFonts w:eastAsia="Trebuchet MS" w:cs="Trebuchet MS"/>
          <w:sz w:val="24"/>
          <w:szCs w:val="24"/>
          <w:lang w:eastAsia="ro-RO"/>
        </w:rPr>
        <w:t>prioritizare</w:t>
      </w:r>
      <w:proofErr w:type="spellEnd"/>
      <w:r w:rsidRPr="00C1729E">
        <w:rPr>
          <w:rFonts w:eastAsia="Trebuchet MS" w:cs="Trebuchet MS"/>
          <w:sz w:val="24"/>
          <w:szCs w:val="24"/>
          <w:lang w:eastAsia="ro-RO"/>
        </w:rPr>
        <w:t xml:space="preserve"> a proiectelor și a altor elemente necesare eficientizării procesului.</w:t>
      </w:r>
    </w:p>
    <w:p w14:paraId="7D628665"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Înființarea </w:t>
      </w:r>
      <w:r w:rsidRPr="00C1729E">
        <w:rPr>
          <w:rFonts w:eastAsia="Trebuchet MS" w:cs="Trebuchet MS"/>
          <w:b/>
          <w:sz w:val="24"/>
          <w:szCs w:val="24"/>
          <w:lang w:eastAsia="ro-RO"/>
        </w:rPr>
        <w:t xml:space="preserve">centrelor comunitare integrate </w:t>
      </w:r>
      <w:r w:rsidRPr="00C1729E">
        <w:rPr>
          <w:rFonts w:eastAsia="Trebuchet MS" w:cs="Trebuchet MS"/>
          <w:sz w:val="24"/>
          <w:szCs w:val="24"/>
          <w:lang w:eastAsia="ro-RO"/>
        </w:rPr>
        <w:t xml:space="preserve">a necesitat, de asemenea, colaborarea instituțională dintre Ministerul Muncii și Justiției Sociale, Ministerul Sănătății, AM POR și AM POCU, având în vedere că în cadrul acestor centre vor fi furnizate servicii aflate în responsabilitatea mai multor instituții.  </w:t>
      </w:r>
    </w:p>
    <w:p w14:paraId="47CAD2FE" w14:textId="77777777" w:rsidR="001C2D6A" w:rsidRPr="00C1729E" w:rsidRDefault="001C2D6A" w:rsidP="009941AE">
      <w:pPr>
        <w:spacing w:after="6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Partenerii sociali au un rol deosebit de important și la nivelul Programelor Operaționale prin Comitetele de Monitorizare constituite la nivelul acestora. CM funcționează pe baza unui Regulament de Organizare și Funcționare, prin care sunt reglementate, de asemenea și atribuțiile acestora. În funcție de PO, membri CM pot fi implicați în activități precum: examinarea progresului în implementarea PO, îndeplinirea obiectivelor de program (inclusiv date financiare, indicatori, modificările valorice cu privire la indicatori); dezbaterea problemelor care afectează implementarea operațiunilor PO dar și a potențialelor soluții pentru rezolvarea acestora; analizarea progreselor înregistrate în implementarea planului de evaluare; implementarea unor planuri de acțiune comune etc. Odată cu publicarea propunerii de pachet legislativ UE pentru perioada de programare 2021-2027 în luna mai 2018, MFE în calitate de coordonator al cadrului partenerial, dar și al procesului de programare, a început consultările privind elaborarea planurilor de masuri pentru îndeplinirea </w:t>
      </w:r>
      <w:r w:rsidRPr="00C1729E">
        <w:rPr>
          <w:rFonts w:eastAsia="Trebuchet MS" w:cs="Trebuchet MS"/>
          <w:b/>
          <w:sz w:val="24"/>
          <w:szCs w:val="24"/>
          <w:lang w:eastAsia="ro-RO"/>
        </w:rPr>
        <w:t>condițiilor prealabile</w:t>
      </w:r>
      <w:r w:rsidR="00607613" w:rsidRPr="00C1729E">
        <w:rPr>
          <w:rFonts w:eastAsia="Trebuchet MS" w:cs="Trebuchet MS"/>
          <w:b/>
          <w:sz w:val="24"/>
          <w:szCs w:val="24"/>
          <w:lang w:eastAsia="ro-RO"/>
        </w:rPr>
        <w:t xml:space="preserve"> și a organizat </w:t>
      </w:r>
      <w:r w:rsidRPr="00C1729E">
        <w:rPr>
          <w:rFonts w:eastAsia="Trebuchet MS" w:cs="Trebuchet MS"/>
          <w:sz w:val="24"/>
          <w:szCs w:val="24"/>
          <w:lang w:eastAsia="ro-RO"/>
        </w:rPr>
        <w:t>cadrul partenerial</w:t>
      </w:r>
      <w:r w:rsidR="00607613" w:rsidRPr="00C1729E">
        <w:rPr>
          <w:rFonts w:eastAsia="Trebuchet MS" w:cs="Trebuchet MS"/>
          <w:sz w:val="24"/>
          <w:szCs w:val="24"/>
          <w:lang w:eastAsia="ro-RO"/>
        </w:rPr>
        <w:t xml:space="preserve"> (Grupuri de lucru)</w:t>
      </w:r>
      <w:r w:rsidRPr="00C1729E">
        <w:rPr>
          <w:rFonts w:eastAsia="Trebuchet MS" w:cs="Trebuchet MS"/>
          <w:sz w:val="24"/>
          <w:szCs w:val="24"/>
          <w:lang w:eastAsia="ro-RO"/>
        </w:rPr>
        <w:t xml:space="preserve"> </w:t>
      </w:r>
      <w:r w:rsidR="00607613" w:rsidRPr="00C1729E">
        <w:rPr>
          <w:rFonts w:eastAsia="Trebuchet MS" w:cs="Trebuchet MS"/>
          <w:sz w:val="24"/>
          <w:szCs w:val="24"/>
          <w:lang w:eastAsia="ro-RO"/>
        </w:rPr>
        <w:t>pentru dezbaterea intervențiilor din cadrul celor</w:t>
      </w:r>
      <w:r w:rsidRPr="00C1729E">
        <w:rPr>
          <w:rFonts w:eastAsia="Trebuchet MS" w:cs="Trebuchet MS"/>
          <w:sz w:val="24"/>
          <w:szCs w:val="24"/>
          <w:lang w:eastAsia="ro-RO"/>
        </w:rPr>
        <w:t xml:space="preserve"> 5 Obiective de Politică</w:t>
      </w:r>
      <w:r w:rsidR="00607613" w:rsidRPr="00C1729E">
        <w:rPr>
          <w:rFonts w:eastAsia="Trebuchet MS" w:cs="Trebuchet MS"/>
          <w:sz w:val="24"/>
          <w:szCs w:val="24"/>
          <w:lang w:eastAsia="ro-RO"/>
        </w:rPr>
        <w:t xml:space="preserve"> 2021-2027</w:t>
      </w:r>
      <w:r w:rsidRPr="00C1729E">
        <w:rPr>
          <w:rFonts w:eastAsia="Trebuchet MS" w:cs="Trebuchet MS"/>
          <w:sz w:val="24"/>
          <w:szCs w:val="24"/>
          <w:lang w:eastAsia="ro-RO"/>
        </w:rPr>
        <w:t xml:space="preserve">. Acesta se bazează pe componența structurilor constituite pentru 2014-2020, inclusiv a Comitetelor de Monitorizare a PO. </w:t>
      </w:r>
    </w:p>
    <w:p w14:paraId="4B0D2F51" w14:textId="77777777" w:rsidR="00E052C2" w:rsidRPr="00C1729E" w:rsidRDefault="00E052C2" w:rsidP="009941AE">
      <w:pPr>
        <w:spacing w:after="60" w:line="240" w:lineRule="auto"/>
        <w:ind w:left="708"/>
        <w:jc w:val="both"/>
        <w:rPr>
          <w:rFonts w:cs="Arial"/>
          <w:i/>
          <w:iCs/>
          <w:color w:val="696969"/>
          <w:sz w:val="17"/>
          <w:szCs w:val="17"/>
          <w:shd w:val="clear" w:color="auto" w:fill="FFFFFF"/>
        </w:rPr>
      </w:pPr>
    </w:p>
    <w:p w14:paraId="53DD167C" w14:textId="77777777" w:rsidR="00E052C2" w:rsidRPr="00C1729E" w:rsidRDefault="00E052C2" w:rsidP="009941AE">
      <w:pPr>
        <w:spacing w:after="60" w:line="240" w:lineRule="auto"/>
        <w:ind w:left="708"/>
        <w:jc w:val="both"/>
        <w:rPr>
          <w:rFonts w:eastAsia="Calibri" w:cs="Times New Roman"/>
          <w:iCs/>
          <w:color w:val="5B9BD5"/>
        </w:rPr>
      </w:pPr>
      <w:r w:rsidRPr="00C1729E">
        <w:rPr>
          <w:rFonts w:eastAsia="Calibri" w:cs="Times New Roman"/>
          <w:iCs/>
          <w:color w:val="5B9BD5"/>
        </w:rPr>
        <w:t xml:space="preserve">(c) </w:t>
      </w:r>
      <w:r w:rsidR="008B6FFA" w:rsidRPr="00C1729E">
        <w:rPr>
          <w:rFonts w:eastAsia="Calibri" w:cs="Times New Roman"/>
          <w:iCs/>
          <w:color w:val="5B9BD5"/>
        </w:rPr>
        <w:t>Alte elemente, dacă este cazul</w:t>
      </w:r>
    </w:p>
    <w:p w14:paraId="63B467A4" w14:textId="77777777" w:rsidR="008B6FFA" w:rsidRPr="00C1729E" w:rsidRDefault="008B6FFA" w:rsidP="009941AE">
      <w:pPr>
        <w:spacing w:after="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În vederea consolidării structurilor parteneriale, MFE prin Direcția Analiză și Programare – Direcția Generală Programare și Coordonare Sistem implementează un proiect (depus în decembrie 2018), finanțat prin POAT, care are ca obiectiv dezvoltarea și implementarea unui cadru partenerial stabil și organizat la nivelul procesului de coordonare și gestionare a fondurilor europene privind </w:t>
      </w:r>
      <w:r w:rsidRPr="00C1729E">
        <w:rPr>
          <w:rFonts w:eastAsia="Trebuchet MS" w:cs="Trebuchet MS"/>
          <w:sz w:val="24"/>
          <w:szCs w:val="24"/>
          <w:lang w:eastAsia="ro-RO"/>
        </w:rPr>
        <w:lastRenderedPageBreak/>
        <w:t>coeziunea și consolidarea culturii parteneriale în procesul de programare si gestionare a fondurilor european.</w:t>
      </w:r>
    </w:p>
    <w:p w14:paraId="1AF8DB31" w14:textId="77777777" w:rsidR="008B6FFA" w:rsidRPr="00C1729E" w:rsidRDefault="008B6FFA" w:rsidP="009941AE">
      <w:pPr>
        <w:spacing w:after="0" w:line="240" w:lineRule="auto"/>
        <w:jc w:val="both"/>
        <w:rPr>
          <w:rFonts w:eastAsia="Trebuchet MS" w:cs="Trebuchet MS"/>
          <w:sz w:val="24"/>
          <w:szCs w:val="24"/>
          <w:lang w:eastAsia="ro-RO"/>
        </w:rPr>
      </w:pPr>
      <w:r w:rsidRPr="00C1729E">
        <w:rPr>
          <w:rFonts w:eastAsia="Trebuchet MS" w:cs="Trebuchet MS"/>
          <w:sz w:val="24"/>
          <w:szCs w:val="24"/>
          <w:lang w:eastAsia="ro-RO"/>
        </w:rPr>
        <w:t xml:space="preserve">Proiectul vizează următoarele activități </w:t>
      </w:r>
    </w:p>
    <w:p w14:paraId="57FDADC2" w14:textId="77777777" w:rsidR="008B6FFA" w:rsidRPr="00C1729E" w:rsidRDefault="008B6FFA" w:rsidP="009941AE">
      <w:pPr>
        <w:numPr>
          <w:ilvl w:val="0"/>
          <w:numId w:val="26"/>
        </w:numPr>
        <w:spacing w:after="0" w:line="240" w:lineRule="auto"/>
        <w:jc w:val="both"/>
        <w:rPr>
          <w:rFonts w:eastAsia="Trebuchet MS" w:cs="Trebuchet MS"/>
          <w:sz w:val="24"/>
          <w:szCs w:val="24"/>
        </w:rPr>
      </w:pPr>
      <w:r w:rsidRPr="00C1729E">
        <w:rPr>
          <w:rFonts w:eastAsia="Trebuchet MS" w:cs="Trebuchet MS"/>
          <w:sz w:val="24"/>
          <w:szCs w:val="24"/>
        </w:rPr>
        <w:t>Elaborarea unui Cod Național de Conduită privind parteneriatul</w:t>
      </w:r>
    </w:p>
    <w:p w14:paraId="39FFC5D7" w14:textId="77777777" w:rsidR="008B6FFA" w:rsidRPr="00C1729E" w:rsidRDefault="008B6FFA" w:rsidP="009941AE">
      <w:pPr>
        <w:numPr>
          <w:ilvl w:val="0"/>
          <w:numId w:val="26"/>
        </w:numPr>
        <w:spacing w:after="0" w:line="240" w:lineRule="auto"/>
        <w:jc w:val="both"/>
        <w:rPr>
          <w:rFonts w:eastAsia="Trebuchet MS" w:cs="Trebuchet MS"/>
          <w:sz w:val="24"/>
          <w:szCs w:val="24"/>
        </w:rPr>
      </w:pPr>
      <w:r w:rsidRPr="00C1729E">
        <w:rPr>
          <w:rFonts w:eastAsia="Trebuchet MS" w:cs="Trebuchet MS"/>
          <w:sz w:val="24"/>
          <w:szCs w:val="24"/>
        </w:rPr>
        <w:t>Sprijin logistic pentru organizarea reuniunilor/evenimentelor aferente structurilor parteneriale</w:t>
      </w:r>
    </w:p>
    <w:p w14:paraId="2455A532" w14:textId="77777777" w:rsidR="008B6FFA" w:rsidRPr="00C1729E" w:rsidRDefault="008B6FFA" w:rsidP="009941AE">
      <w:pPr>
        <w:numPr>
          <w:ilvl w:val="0"/>
          <w:numId w:val="26"/>
        </w:numPr>
        <w:spacing w:after="0" w:line="240" w:lineRule="auto"/>
        <w:jc w:val="both"/>
        <w:rPr>
          <w:rFonts w:eastAsia="Trebuchet MS" w:cs="Trebuchet MS"/>
          <w:sz w:val="24"/>
          <w:szCs w:val="24"/>
        </w:rPr>
      </w:pPr>
      <w:r w:rsidRPr="00C1729E">
        <w:rPr>
          <w:rFonts w:eastAsia="Trebuchet MS" w:cs="Trebuchet MS"/>
          <w:sz w:val="24"/>
          <w:szCs w:val="24"/>
        </w:rPr>
        <w:t>Editarea unei broșuri anuale privind activitatea partenerială</w:t>
      </w:r>
    </w:p>
    <w:p w14:paraId="04AF2BB6" w14:textId="77777777" w:rsidR="008B6FFA" w:rsidRPr="00C1729E" w:rsidRDefault="008B6FFA" w:rsidP="009941AE">
      <w:pPr>
        <w:numPr>
          <w:ilvl w:val="0"/>
          <w:numId w:val="26"/>
        </w:numPr>
        <w:spacing w:after="0" w:line="240" w:lineRule="auto"/>
        <w:jc w:val="both"/>
        <w:rPr>
          <w:rFonts w:eastAsia="Trebuchet MS" w:cs="Trebuchet MS"/>
          <w:sz w:val="24"/>
          <w:szCs w:val="24"/>
        </w:rPr>
      </w:pPr>
      <w:r w:rsidRPr="00C1729E">
        <w:rPr>
          <w:rFonts w:eastAsia="Trebuchet MS" w:cs="Trebuchet MS"/>
          <w:sz w:val="24"/>
          <w:szCs w:val="24"/>
        </w:rPr>
        <w:t>Consolidarea capacității partenerilor, prin:</w:t>
      </w:r>
    </w:p>
    <w:p w14:paraId="4F2C8F9A" w14:textId="77777777" w:rsidR="008B6FFA" w:rsidRPr="00C1729E" w:rsidRDefault="008B6FFA" w:rsidP="009941AE">
      <w:pPr>
        <w:numPr>
          <w:ilvl w:val="0"/>
          <w:numId w:val="26"/>
        </w:numPr>
        <w:spacing w:after="0" w:line="240" w:lineRule="auto"/>
        <w:jc w:val="both"/>
        <w:rPr>
          <w:rFonts w:eastAsia="Trebuchet MS" w:cs="Trebuchet MS"/>
          <w:sz w:val="24"/>
          <w:szCs w:val="24"/>
        </w:rPr>
      </w:pPr>
      <w:r w:rsidRPr="00C1729E">
        <w:rPr>
          <w:rFonts w:eastAsia="Trebuchet MS" w:cs="Trebuchet MS"/>
          <w:sz w:val="24"/>
          <w:szCs w:val="24"/>
        </w:rPr>
        <w:t xml:space="preserve">Analiza de nevoi de formare şi organizarea de cursuri de formare </w:t>
      </w:r>
    </w:p>
    <w:p w14:paraId="7B8DE068" w14:textId="77777777" w:rsidR="008B6FFA" w:rsidRPr="00C1729E" w:rsidRDefault="008B6FFA" w:rsidP="009941AE">
      <w:pPr>
        <w:numPr>
          <w:ilvl w:val="0"/>
          <w:numId w:val="26"/>
        </w:numPr>
        <w:spacing w:after="0" w:line="240" w:lineRule="auto"/>
        <w:jc w:val="both"/>
        <w:rPr>
          <w:rFonts w:eastAsia="Trebuchet MS" w:cs="Trebuchet MS"/>
          <w:sz w:val="24"/>
          <w:szCs w:val="24"/>
        </w:rPr>
      </w:pPr>
      <w:r w:rsidRPr="00C1729E">
        <w:rPr>
          <w:rFonts w:eastAsia="Trebuchet MS" w:cs="Trebuchet MS"/>
          <w:sz w:val="24"/>
          <w:szCs w:val="24"/>
        </w:rPr>
        <w:t>Îmbunătățirea nivelului de cunoștințe a membrilor structurilor parteneriale prin participarea la cursuri de formare, precum si asigurarea deplasării / participării la conferințe/workshop-uri</w:t>
      </w:r>
    </w:p>
    <w:p w14:paraId="12C55E51" w14:textId="4BC3F6F5" w:rsidR="008B6FFA" w:rsidRPr="00C1729E" w:rsidRDefault="008B6FFA" w:rsidP="009941AE">
      <w:pPr>
        <w:spacing w:after="0" w:line="240" w:lineRule="auto"/>
        <w:jc w:val="both"/>
        <w:rPr>
          <w:rFonts w:eastAsia="Trebuchet MS" w:cs="Trebuchet MS"/>
          <w:sz w:val="24"/>
          <w:szCs w:val="24"/>
          <w:lang w:eastAsia="ro-RO"/>
        </w:rPr>
      </w:pPr>
      <w:r w:rsidRPr="00C1729E">
        <w:rPr>
          <w:rFonts w:eastAsia="Trebuchet MS" w:cs="Trebuchet MS"/>
          <w:sz w:val="24"/>
          <w:szCs w:val="24"/>
          <w:lang w:eastAsia="ro-RO"/>
        </w:rPr>
        <w:t>Prin activitățile propuse în cadrul acestui proiect se urmărește creșterea capacității de organizare și funcționare a structurilor parteneriale, întărirea expertizei, întărirea capacității partenerilor de a contribui în mod substanțial la procesul de programare/implementare prin propuneri argumentate și concrete.</w:t>
      </w:r>
      <w:r w:rsidR="009941AE">
        <w:rPr>
          <w:rFonts w:eastAsia="Trebuchet MS" w:cs="Trebuchet MS"/>
          <w:sz w:val="24"/>
          <w:szCs w:val="24"/>
          <w:lang w:eastAsia="ro-RO"/>
        </w:rPr>
        <w:t xml:space="preserve"> </w:t>
      </w:r>
      <w:r w:rsidRPr="00C1729E">
        <w:rPr>
          <w:rFonts w:eastAsia="Trebuchet MS" w:cs="Trebuchet MS"/>
          <w:sz w:val="24"/>
          <w:szCs w:val="24"/>
          <w:lang w:eastAsia="ro-RO"/>
        </w:rPr>
        <w:t>Rezultatele proiectului vor fi relevate și valorificate efectiv în pregătirea și implementarea perioadei de programare 2021-2027.</w:t>
      </w:r>
    </w:p>
    <w:p w14:paraId="38BFF662" w14:textId="77777777" w:rsidR="002B3651" w:rsidRPr="00C1729E" w:rsidRDefault="002B3651" w:rsidP="009941AE">
      <w:pPr>
        <w:spacing w:after="60" w:line="240" w:lineRule="auto"/>
        <w:jc w:val="both"/>
        <w:rPr>
          <w:i/>
          <w:iCs/>
          <w:sz w:val="24"/>
          <w:szCs w:val="24"/>
        </w:rPr>
      </w:pPr>
    </w:p>
    <w:p w14:paraId="375BE6D8" w14:textId="77777777" w:rsidR="003A03AB" w:rsidRPr="00C1729E" w:rsidRDefault="00B61B74" w:rsidP="009941AE">
      <w:pPr>
        <w:pStyle w:val="ListParagraph"/>
        <w:numPr>
          <w:ilvl w:val="0"/>
          <w:numId w:val="29"/>
        </w:numPr>
        <w:tabs>
          <w:tab w:val="left" w:pos="540"/>
          <w:tab w:val="center" w:pos="4320"/>
          <w:tab w:val="left" w:pos="4965"/>
          <w:tab w:val="right" w:pos="8640"/>
          <w:tab w:val="right" w:pos="10773"/>
        </w:tabs>
        <w:spacing w:after="60" w:line="240" w:lineRule="auto"/>
        <w:ind w:left="284" w:hanging="284"/>
        <w:jc w:val="both"/>
        <w:rPr>
          <w:b/>
          <w:color w:val="548DD4" w:themeColor="text2" w:themeTint="99"/>
          <w:szCs w:val="24"/>
        </w:rPr>
      </w:pPr>
      <w:r w:rsidRPr="00C1729E">
        <w:rPr>
          <w:b/>
          <w:color w:val="548DD4" w:themeColor="text2" w:themeTint="99"/>
        </w:rPr>
        <w:t>Un rezumat</w:t>
      </w:r>
      <w:r w:rsidRPr="00C1729E">
        <w:rPr>
          <w:b/>
          <w:color w:val="548DD4" w:themeColor="text2" w:themeTint="99"/>
          <w:szCs w:val="24"/>
        </w:rPr>
        <w:t xml:space="preserve"> al acțiunilor întreprinse în legătură cu aplicarea principiilor orizontale și cu obiectivele de politică pentru implementarea fondurilor ESI [articolul 52 alineatul (2) litera (i) din regulamentul (UE) nr. 1303/2013]</w:t>
      </w:r>
    </w:p>
    <w:p w14:paraId="5BB3ACC2" w14:textId="77777777" w:rsidR="00E052C2" w:rsidRPr="00C1729E" w:rsidRDefault="00B61B74" w:rsidP="009941AE">
      <w:pPr>
        <w:tabs>
          <w:tab w:val="left" w:pos="540"/>
          <w:tab w:val="center" w:pos="4320"/>
          <w:tab w:val="left" w:pos="4965"/>
          <w:tab w:val="right" w:pos="8640"/>
          <w:tab w:val="right" w:pos="10773"/>
        </w:tabs>
        <w:spacing w:after="60" w:line="240" w:lineRule="auto"/>
        <w:jc w:val="both"/>
        <w:rPr>
          <w:rFonts w:eastAsia="Times New Roman" w:cstheme="minorHAnsi"/>
          <w:lang w:eastAsia="ro-RO"/>
        </w:rPr>
      </w:pPr>
      <w:r w:rsidRPr="00C1729E">
        <w:rPr>
          <w:color w:val="548DD4" w:themeColor="text2" w:themeTint="99"/>
        </w:rPr>
        <w:t>(a) Un rezumat al acțiunilor întreprinse în ceea ce privește aplicarea principiilor orizontale pentru a asigura promovarea și monitorizarea acestor principii în diversele tipuri de programe, cu referire la conținutul acordului de parteneriat:</w:t>
      </w:r>
    </w:p>
    <w:p w14:paraId="16F76279" w14:textId="77777777" w:rsidR="00BA6609" w:rsidRPr="00C1729E" w:rsidRDefault="00BA660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Conform prevederilor conținute în articolele 5, 6 și 7 din Regulamentul UE nr. 1303/2013, România s-a asigurat că, în documentele de programare, sprijinul din partea FESI este consecvent cu politicile relevante și cu principiile orizontale. Astfel, ținând cont de impactul pozitiv pe care intervenţiile finanţate îl pot avea asupra egalității de șanse și de tratament, precum şi de potenţialul de a contribui la dezvoltarea durabilă, în AP și în programele operaționale au fost stabilite acțiunile pentru aplicarea principiilor orizontale. </w:t>
      </w:r>
    </w:p>
    <w:p w14:paraId="2B898730" w14:textId="77777777" w:rsidR="00BA6609" w:rsidRPr="00C1729E" w:rsidRDefault="00BA660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Totodată, având în vedere prevederile privind principiile orizontale din Regulamentul 1303/2013, caracterul adecvat al măsurilor planificate pentru promovarea egalității de șanse între bărbați și femei, prevenirea discriminării și promovarea dezvoltării durabile este unul dintre elementele care au fost analizate de evaluarea ex-ante a programelor.</w:t>
      </w:r>
    </w:p>
    <w:p w14:paraId="5613FE00" w14:textId="77777777" w:rsidR="00BA6609" w:rsidRPr="00C1729E" w:rsidRDefault="00BA6609" w:rsidP="009941AE">
      <w:pPr>
        <w:spacing w:after="0" w:line="240" w:lineRule="auto"/>
        <w:ind w:left="1080"/>
        <w:rPr>
          <w:rFonts w:eastAsia="Times New Roman" w:cs="Times New Roman"/>
          <w:i/>
          <w:sz w:val="24"/>
          <w:szCs w:val="24"/>
        </w:rPr>
      </w:pPr>
      <w:r w:rsidRPr="00C1729E">
        <w:rPr>
          <w:rFonts w:eastAsia="Times New Roman" w:cs="Times New Roman"/>
          <w:i/>
          <w:noProof/>
          <w:sz w:val="24"/>
          <w:szCs w:val="24"/>
        </w:rPr>
        <w:t>(1) egalitatea de șanse între femei și bărbați, nediscriminare, accesibilitatea pentru persoanele cu handicap;</w:t>
      </w:r>
    </w:p>
    <w:p w14:paraId="58041D5E"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În vederea asigurării egalității de șanse și de tratament, pornind din faza de programare, organismele naționale responsabile și organizațiile care au ca obiectiv promovarea egalității de șanse au fost implicate in consultările publice care au vizat elaborarea  programelor operaţionale. De asemenea, pentru a se asigura respectarea principiilor orizontale la nivelul implementării programelor operaționale, organismele naționale sunt membri cu statut de observator în Comitetele de Monitorizare.</w:t>
      </w:r>
    </w:p>
    <w:p w14:paraId="39E8A14B" w14:textId="37E5F00B"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C1729E">
        <w:rPr>
          <w:rFonts w:eastAsia="Times New Roman" w:cstheme="minorHAnsi"/>
          <w:sz w:val="24"/>
          <w:szCs w:val="24"/>
          <w:lang w:eastAsia="ro-RO"/>
        </w:rPr>
        <w:t>În vederea asigurării unei înțelegeri comune privind promovarea egalității între bărbați și femei, nediscriminarea și accesibilitatea la nivelul programelor operaționale, a fost elaborat ”</w:t>
      </w:r>
      <w:r w:rsidRPr="00C1729E">
        <w:rPr>
          <w:rFonts w:eastAsia="Times New Roman" w:cstheme="minorHAnsi"/>
          <w:i/>
          <w:sz w:val="24"/>
          <w:szCs w:val="24"/>
          <w:lang w:eastAsia="ro-RO"/>
        </w:rPr>
        <w:t>Ghidul privind integrarea temelor orizontale în cadrul proiectelor finanţate din Fondurile Europene Structurale şi de Investiţii 2014-2020 partea a I – a Egalitatea de şanse și de tratament, ghid general aplicabil tuturor programelor operaționale</w:t>
      </w:r>
      <w:r w:rsidRPr="00C1729E">
        <w:rPr>
          <w:rFonts w:eastAsia="Times New Roman" w:cstheme="minorHAnsi"/>
          <w:sz w:val="24"/>
          <w:szCs w:val="24"/>
          <w:lang w:eastAsia="ro-RO"/>
        </w:rPr>
        <w:t>” (</w:t>
      </w:r>
      <w:hyperlink r:id="rId14" w:history="1">
        <w:r w:rsidRPr="00C1729E">
          <w:rPr>
            <w:rFonts w:eastAsia="Times New Roman" w:cstheme="minorHAnsi"/>
            <w:color w:val="0000FF" w:themeColor="hyperlink"/>
            <w:sz w:val="24"/>
            <w:szCs w:val="24"/>
            <w:u w:val="single"/>
            <w:lang w:eastAsia="ro-RO"/>
          </w:rPr>
          <w:t>http://www.fonduri-ue.ro/orientari-beneficiari</w:t>
        </w:r>
      </w:hyperlink>
      <w:r w:rsidRPr="00C1729E">
        <w:rPr>
          <w:rFonts w:eastAsia="Times New Roman" w:cstheme="minorHAnsi"/>
          <w:sz w:val="24"/>
          <w:szCs w:val="24"/>
          <w:lang w:eastAsia="ro-RO"/>
        </w:rPr>
        <w:t xml:space="preserve">). Pentru a se asigura că principiile sunt aplicare la nivelul fiecărui proiect, Ghidul prevede </w:t>
      </w:r>
      <w:r w:rsidRPr="00C1729E">
        <w:rPr>
          <w:rFonts w:eastAsia="Times New Roman" w:cstheme="minorHAnsi"/>
          <w:sz w:val="24"/>
          <w:szCs w:val="24"/>
          <w:lang w:eastAsia="ro-RO" w:bidi="ne-NP"/>
        </w:rPr>
        <w:t xml:space="preserve">elaborarea unei secțiuni dedicate în cadrul tuturor ghidurilor solicitantului. Astfel, proiectele trebuie să descrie acțiunile specifice de promovare a egalității de șanse și prevenire a </w:t>
      </w:r>
      <w:r w:rsidRPr="00C1729E">
        <w:rPr>
          <w:rFonts w:eastAsia="Times New Roman" w:cstheme="minorHAnsi"/>
          <w:sz w:val="24"/>
          <w:szCs w:val="24"/>
          <w:lang w:eastAsia="ro-RO" w:bidi="ne-NP"/>
        </w:rPr>
        <w:lastRenderedPageBreak/>
        <w:t>discriminării într-o secțiune aferentă în cererea de finanțare,. De asemenea, ghidul prevede acțiuni care vizează monitorizarea  în implementare a modului în care angajamentele asumate prin cererea de finanțare au fost respectate.</w:t>
      </w:r>
    </w:p>
    <w:p w14:paraId="2C807C1C"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C1729E">
        <w:rPr>
          <w:rFonts w:eastAsia="Times New Roman" w:cstheme="minorHAnsi"/>
          <w:sz w:val="24"/>
          <w:szCs w:val="24"/>
          <w:lang w:eastAsia="ro-RO" w:bidi="ne-NP"/>
        </w:rPr>
        <w:t>În POIM, spre exemplu, se monitorizează respectarea prevederilor în cadrul verificărilor administrative a Cererilor de Rambursare, luând în considerare datele/informațiile transmise de beneficiari în raportul de progres lunar..</w:t>
      </w:r>
    </w:p>
    <w:p w14:paraId="58260B0C"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De asemenea, de menționat este faptul că programele care abordează ocuparea, educația, formarea, sprijinul pentru întreprinderi, sănătatea, integrarea socială cuprind acțiuni specifice ce vizează egalitatea de șanse între bărbați și femei, nediscriminarea și accesibilitatea. Spre exemplu, </w:t>
      </w:r>
      <w:r w:rsidRPr="00C1729E">
        <w:rPr>
          <w:rFonts w:eastAsia="Times New Roman" w:cstheme="minorHAnsi"/>
          <w:sz w:val="24"/>
          <w:szCs w:val="24"/>
          <w:lang w:eastAsia="ro-RO" w:bidi="ne-NP"/>
        </w:rPr>
        <w:t xml:space="preserve">POCU a introdus în apelurile de proiecte tema secundară privind nediscriminarea, asigurând procente minimale pentru bugetarea acestora şi acordă un punctaj pentru proiectele care includ măsuri ce promovează egalitatea de şanse şi nediscriminarea. </w:t>
      </w:r>
      <w:r w:rsidRPr="00C1729E">
        <w:rPr>
          <w:rFonts w:eastAsia="Times New Roman" w:cstheme="minorHAnsi"/>
          <w:sz w:val="24"/>
          <w:szCs w:val="24"/>
          <w:lang w:eastAsia="ro-RO"/>
        </w:rPr>
        <w:t xml:space="preserve">Astfel, o parte dintre obiectivele specifice și activitățile proiectelor au fost concepute/formulate astfel încât propun măsuri concrete/instrumente care să contribuie la eliminarea inegalităților și promovează egalitatea de şanse şi tratament, determinând o îmbunătățire a unor situații defavorabile în care se află diverse categorii de persoane. Prin acțiunile întreprinse, s-a asigurat că se abordează în mod adecvat nevoile grupurilor defavorizate, pentru a le permite să se integreze mai bine pe piața forței de muncă și a le facilita, astfel, participarea deplină la viața socială. </w:t>
      </w:r>
    </w:p>
    <w:p w14:paraId="4682B323"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C1729E">
        <w:rPr>
          <w:rFonts w:eastAsia="Times New Roman" w:cstheme="minorHAnsi"/>
          <w:sz w:val="24"/>
          <w:szCs w:val="24"/>
          <w:lang w:eastAsia="ro-RO" w:bidi="ne-NP"/>
        </w:rPr>
        <w:t>În ceea ce privește POR, respectarea legislaţiei în domeniul egalităţii de şanse reprezintă, de asemenea, un criteriu de eligibilitate al proiectelor, menţionat în Ghidurile solicitantului. Totodată, în Cererea de finanţare, în cadrul unui capitol separat, beneficiarii trebuie să facă referire la modul în care principiul egalităţii de a fost luat în considerare în procesul de elaborare şi implementare a proiectului, mai concret în activităţile proiectului, în managementul proiectului, sau la identificarea grupurilor ţintă/beneficiari, cu menţionarea componentelor specifice care arată acest lucru. De asemenea şi prin Contractul de finanţare, beneficiarul este obligat să respecte prevederile cuprinse în cererea de finanţare referitoare la asigurarea conformităţii cu politicile UE şi naţionale privind egalitatea de şanse.</w:t>
      </w:r>
    </w:p>
    <w:p w14:paraId="1F1F0F26"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C1729E">
        <w:rPr>
          <w:rFonts w:eastAsia="Times New Roman" w:cstheme="minorHAnsi"/>
          <w:sz w:val="24"/>
          <w:szCs w:val="24"/>
          <w:lang w:eastAsia="ro-RO" w:bidi="ne-NP"/>
        </w:rPr>
        <w:t xml:space="preserve">În ceea ce priveşte evaluarea proiectelor POR din punct de  vedere al respectării principiului egalităţii de şanse, Grilele de evaluare tehnică şi financiară prevăd un sistem de punctare diferenţiat al proiectelor, în funcţie de gradul de promovare şi respectare de către beneficiari a principiului egalităţii de şanse. </w:t>
      </w:r>
    </w:p>
    <w:p w14:paraId="0594D896" w14:textId="77777777" w:rsidR="00BA660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color w:val="FF0000"/>
          <w:sz w:val="24"/>
          <w:szCs w:val="24"/>
          <w:lang w:eastAsia="ro-RO"/>
        </w:rPr>
      </w:pPr>
      <w:r w:rsidRPr="00C1729E">
        <w:rPr>
          <w:rFonts w:eastAsia="Times New Roman" w:cstheme="minorHAnsi"/>
          <w:sz w:val="24"/>
          <w:szCs w:val="24"/>
          <w:lang w:eastAsia="ro-RO" w:bidi="ne-NP"/>
        </w:rPr>
        <w:t xml:space="preserve">Concomitent, menționăm că, în cadrul MFE, funcționează  Unitatea pentru Politici Europene și de Coeziune Socială (Punct de Contact pentru Implementarea Convenției privind Persoanele cu </w:t>
      </w:r>
      <w:proofErr w:type="spellStart"/>
      <w:r w:rsidRPr="00C1729E">
        <w:rPr>
          <w:rFonts w:eastAsia="Times New Roman" w:cstheme="minorHAnsi"/>
          <w:sz w:val="24"/>
          <w:szCs w:val="24"/>
          <w:lang w:eastAsia="ro-RO" w:bidi="ne-NP"/>
        </w:rPr>
        <w:t>Dizabilități</w:t>
      </w:r>
      <w:proofErr w:type="spellEnd"/>
      <w:r w:rsidRPr="00C1729E">
        <w:rPr>
          <w:rFonts w:eastAsia="Times New Roman" w:cstheme="minorHAnsi"/>
          <w:sz w:val="24"/>
          <w:szCs w:val="24"/>
          <w:lang w:eastAsia="ro-RO" w:bidi="ne-NP"/>
        </w:rPr>
        <w:t>). Obiectivul principal al acestui Compartiment  îl constituie promovarea, protejarea şi asigurarea exercitării depline şi în condiţii de egalitate a tuturor drepturilor şi libertăţilor</w:t>
      </w:r>
      <w:r w:rsidRPr="00C1729E">
        <w:rPr>
          <w:rFonts w:eastAsia="Times New Roman" w:cstheme="minorHAnsi"/>
          <w:sz w:val="24"/>
          <w:szCs w:val="24"/>
          <w:lang w:eastAsia="ro-RO"/>
        </w:rPr>
        <w:t xml:space="preserve"> fundamentale ale omului pentru toate persoanele cu </w:t>
      </w:r>
      <w:proofErr w:type="spellStart"/>
      <w:r w:rsidRPr="00C1729E">
        <w:rPr>
          <w:rFonts w:eastAsia="Times New Roman" w:cstheme="minorHAnsi"/>
          <w:sz w:val="24"/>
          <w:szCs w:val="24"/>
          <w:lang w:eastAsia="ro-RO"/>
        </w:rPr>
        <w:t>dizabilităţi</w:t>
      </w:r>
      <w:proofErr w:type="spellEnd"/>
      <w:r w:rsidRPr="00C1729E">
        <w:rPr>
          <w:rFonts w:eastAsia="Times New Roman" w:cstheme="minorHAnsi"/>
          <w:sz w:val="24"/>
          <w:szCs w:val="24"/>
          <w:lang w:eastAsia="ro-RO"/>
        </w:rPr>
        <w:t xml:space="preserve"> şi promovarea respectului pentru demnitatea lor intrinsecă. Compartimentul este, printre altele, responsabil de verificarea transpunerii prevederilor Convenției ONU privind Drepturile Persoanelor cu </w:t>
      </w:r>
      <w:proofErr w:type="spellStart"/>
      <w:r w:rsidRPr="00C1729E">
        <w:rPr>
          <w:rFonts w:eastAsia="Times New Roman" w:cstheme="minorHAnsi"/>
          <w:sz w:val="24"/>
          <w:szCs w:val="24"/>
          <w:lang w:eastAsia="ro-RO"/>
        </w:rPr>
        <w:t>Dizabilităţi</w:t>
      </w:r>
      <w:proofErr w:type="spellEnd"/>
      <w:r w:rsidRPr="00C1729E">
        <w:rPr>
          <w:rFonts w:eastAsia="Times New Roman" w:cstheme="minorHAnsi"/>
          <w:sz w:val="24"/>
          <w:szCs w:val="24"/>
          <w:lang w:eastAsia="ro-RO"/>
        </w:rPr>
        <w:t xml:space="preserve"> în programele subsecvente AP.</w:t>
      </w:r>
    </w:p>
    <w:p w14:paraId="3A459350" w14:textId="77777777" w:rsidR="00BA6609" w:rsidRPr="00C1729E" w:rsidRDefault="00BA6609" w:rsidP="009941AE">
      <w:pPr>
        <w:pStyle w:val="Text1"/>
        <w:keepNext/>
        <w:keepLines/>
        <w:spacing w:before="0" w:after="0"/>
        <w:ind w:left="1077"/>
        <w:jc w:val="left"/>
        <w:rPr>
          <w:rFonts w:asciiTheme="minorHAnsi" w:hAnsiTheme="minorHAnsi"/>
          <w:i/>
          <w:lang w:val="ro-RO"/>
        </w:rPr>
      </w:pPr>
      <w:r w:rsidRPr="00C1729E">
        <w:rPr>
          <w:rFonts w:asciiTheme="minorHAnsi" w:hAnsiTheme="minorHAnsi"/>
          <w:i/>
          <w:noProof/>
          <w:lang w:val="ro-RO"/>
        </w:rPr>
        <w:t>(2) dezvoltarea durabilă (protecția mediului, utilizarea eficientă a resurselor, atenuarea schimbărilor climatice și adaptarea la acestea, biodiversitatea și prevenirea riscurilor).</w:t>
      </w:r>
    </w:p>
    <w:p w14:paraId="1A312CF8"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Prin documentele de programare, Romania a asigurat integrarea dezvoltării durabile în implementarea FESI, cu respectarea principiului dezvoltării durabile și cu principiul „poluatorul plătește”astfel cum este prevăzut în TFUE. </w:t>
      </w:r>
    </w:p>
    <w:p w14:paraId="6B96F5D1"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Astfel, angajamentul de a conserva și proteja mediul înconjurător împotriva efectelor potențial nocive ale intervențiilor și de a asigura rezultate prin beneficii nete sociale, de mediu, precum  și angajamentul privind clima a fost integrat în AP prin enunțarea priorităților de investiții din cadrul obiectivelor tematice 4, 5, 6 și 7 și prin activități integrate, dedicate protecției mediului, eficienței </w:t>
      </w:r>
      <w:r w:rsidRPr="00C1729E">
        <w:rPr>
          <w:rFonts w:eastAsia="Times New Roman" w:cstheme="minorHAnsi"/>
          <w:sz w:val="24"/>
          <w:szCs w:val="24"/>
          <w:lang w:eastAsia="ro-RO"/>
        </w:rPr>
        <w:lastRenderedPageBreak/>
        <w:t>energetice, atenuării schimbărilor climatice și adaptării la acestea, biodiversității, rezistenței la dezastre, gestionării apei, prevenirii și gestionării riscurilor în alte obiective tematice.</w:t>
      </w:r>
    </w:p>
    <w:p w14:paraId="196136F5"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Programele operaționale au fost subiectul unui proces de Evaluare Strategică de Mediu (ESM), în conformitate Directiva UE 2001/42, acest proces contribuind la respectarea principiului dezvoltării durabile. În rapoartele ESM pentru PO sunt identificate efectele preponderent pozitive şi neutre asupra mediului ca urmare a implementării acestora și sunt precizate o serie de măsuri care să prevină, reducă sau să le contracareze efectele negative asupra mediului care pot apărea ca urmare a unor investiţii specifice. </w:t>
      </w:r>
    </w:p>
    <w:p w14:paraId="41861B5D"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Organismele naționale responsabile de promovarea dezvoltării durabile și a organizațiilor ce reprezintă interesele grupurilor ce au ca obiectiv dezvoltarea durabilă au fost implicate prin consultările publice cu ocazia participării la elaborarea  programelor operaţionale şi au statut de observatori în Comitetele de Monitorizare.</w:t>
      </w:r>
    </w:p>
    <w:p w14:paraId="50D487C4"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Pentru facilitarea aplicării principiului dezvoltării durabile în utilizarea FESI și pentru a încuraja  acțiunile de evitare/reducere a efectelor dăunătoare asupra mediului cu beneficii nete pe plan social și economic a fost elaborat şi publicat ”</w:t>
      </w:r>
      <w:r w:rsidRPr="00C1729E">
        <w:rPr>
          <w:rFonts w:eastAsia="Times New Roman" w:cstheme="minorHAnsi"/>
          <w:i/>
          <w:sz w:val="24"/>
          <w:szCs w:val="24"/>
          <w:lang w:eastAsia="ro-RO"/>
        </w:rPr>
        <w:t>Ghidul privind integrarea temelor orizontale în cadrul proiectelor finanţate din Fondurile Europene Structurale şi de Investiţii 2014-2020 partea a II – a Dezvoltarea durabilă</w:t>
      </w:r>
      <w:r w:rsidRPr="00C1729E">
        <w:rPr>
          <w:rFonts w:eastAsia="Times New Roman" w:cstheme="minorHAnsi"/>
          <w:sz w:val="24"/>
          <w:szCs w:val="24"/>
          <w:lang w:eastAsia="ro-RO"/>
        </w:rPr>
        <w:t>” (</w:t>
      </w:r>
      <w:hyperlink r:id="rId15" w:history="1">
        <w:r w:rsidRPr="00C1729E">
          <w:rPr>
            <w:rStyle w:val="Hyperlink"/>
            <w:rFonts w:eastAsia="Times New Roman" w:cstheme="minorHAnsi"/>
            <w:sz w:val="24"/>
            <w:szCs w:val="24"/>
            <w:lang w:eastAsia="ro-RO"/>
          </w:rPr>
          <w:t>http://www.fonduri-ue.ro/orientari-beneficiari</w:t>
        </w:r>
      </w:hyperlink>
      <w:r w:rsidRPr="00C1729E">
        <w:rPr>
          <w:rFonts w:eastAsia="Times New Roman" w:cstheme="minorHAnsi"/>
          <w:sz w:val="24"/>
          <w:szCs w:val="24"/>
          <w:lang w:eastAsia="ro-RO"/>
        </w:rPr>
        <w:t xml:space="preserve">). </w:t>
      </w:r>
    </w:p>
    <w:p w14:paraId="046940E6"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C1729E">
        <w:rPr>
          <w:rFonts w:eastAsia="Times New Roman" w:cstheme="minorHAnsi"/>
          <w:sz w:val="24"/>
          <w:szCs w:val="24"/>
          <w:lang w:eastAsia="ro-RO"/>
        </w:rPr>
        <w:t xml:space="preserve">Astfel, integrarea dezvoltării durabile în cadrul programelor operaţionale se realizează prin </w:t>
      </w:r>
      <w:r w:rsidRPr="00C1729E">
        <w:rPr>
          <w:rFonts w:eastAsia="Times New Roman" w:cstheme="minorHAnsi"/>
          <w:sz w:val="24"/>
          <w:szCs w:val="24"/>
          <w:lang w:eastAsia="ro-RO" w:bidi="ne-NP"/>
        </w:rPr>
        <w:t xml:space="preserve">elaborarea unei secțiuni dedicate în cadrul tuturor ghidurilor solicitantului în care este prezentat modul de abordare al principiului menționat. Pentru fiecare ghid, această secțiune este particularizată prin furnizarea unor exemple ce pot fi luate în considerare la nivel de proiect. </w:t>
      </w:r>
    </w:p>
    <w:p w14:paraId="54EB7119"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C1729E">
        <w:rPr>
          <w:rFonts w:eastAsia="Times New Roman" w:cstheme="minorHAnsi"/>
          <w:sz w:val="24"/>
          <w:szCs w:val="24"/>
          <w:lang w:eastAsia="ro-RO" w:bidi="ne-NP"/>
        </w:rPr>
        <w:t xml:space="preserve">Pentru implementarea principiului la nivel de proiect, există o secțiune dedicată în cererea de finanțare, care trebuie completată de beneficiari cu informații privind modul de respectare a principiului dezvoltării durabile. </w:t>
      </w:r>
    </w:p>
    <w:p w14:paraId="675EB91A" w14:textId="77777777" w:rsidR="00D933F9" w:rsidRPr="00C1729E" w:rsidRDefault="00D933F9" w:rsidP="009941AE">
      <w:pPr>
        <w:tabs>
          <w:tab w:val="left" w:pos="540"/>
          <w:tab w:val="center" w:pos="4320"/>
          <w:tab w:val="left" w:pos="4965"/>
          <w:tab w:val="right" w:pos="8640"/>
          <w:tab w:val="right" w:pos="10773"/>
        </w:tabs>
        <w:spacing w:after="0" w:line="240" w:lineRule="auto"/>
        <w:jc w:val="both"/>
        <w:rPr>
          <w:rFonts w:eastAsia="Times New Roman" w:cstheme="minorHAnsi"/>
          <w:sz w:val="24"/>
          <w:szCs w:val="24"/>
          <w:lang w:eastAsia="ro-RO"/>
        </w:rPr>
      </w:pPr>
      <w:r w:rsidRPr="00C1729E">
        <w:rPr>
          <w:rFonts w:eastAsia="Times New Roman" w:cstheme="minorHAnsi"/>
          <w:sz w:val="24"/>
          <w:szCs w:val="24"/>
          <w:lang w:eastAsia="ro-RO"/>
        </w:rPr>
        <w:t>Spre exemplu, toate ghidurile aferente POIM solicită completarea cererii de finanțare în formatul solicitat în Regulamentul nr. 207/2015. Aceasta presupune că toate proiectele includ următoarele aspectele:</w:t>
      </w:r>
    </w:p>
    <w:p w14:paraId="37EFFF4D" w14:textId="77777777" w:rsidR="00D933F9" w:rsidRPr="00C1729E" w:rsidRDefault="00D933F9" w:rsidP="009941AE">
      <w:pPr>
        <w:numPr>
          <w:ilvl w:val="0"/>
          <w:numId w:val="3"/>
        </w:numPr>
        <w:tabs>
          <w:tab w:val="left" w:pos="567"/>
          <w:tab w:val="center" w:pos="4320"/>
          <w:tab w:val="left" w:pos="4965"/>
          <w:tab w:val="right" w:pos="8640"/>
          <w:tab w:val="right" w:pos="10773"/>
        </w:tabs>
        <w:spacing w:after="0" w:line="240" w:lineRule="auto"/>
        <w:ind w:left="567" w:hanging="283"/>
        <w:jc w:val="both"/>
        <w:rPr>
          <w:rFonts w:eastAsia="Times New Roman" w:cstheme="minorHAnsi"/>
          <w:sz w:val="24"/>
          <w:szCs w:val="24"/>
          <w:lang w:eastAsia="ro-RO" w:bidi="ne-NP"/>
        </w:rPr>
      </w:pPr>
      <w:r w:rsidRPr="00C1729E">
        <w:rPr>
          <w:rFonts w:eastAsia="Times New Roman" w:cstheme="minorHAnsi"/>
          <w:sz w:val="24"/>
          <w:szCs w:val="24"/>
          <w:lang w:eastAsia="ro-RO" w:bidi="ne-NP"/>
        </w:rPr>
        <w:t>descrierea modului în care proiectul contribuie la obiectivele politicii de mediu și le ia în considerare, inclusiv în ceea ce privește schimbările climatice;</w:t>
      </w:r>
    </w:p>
    <w:p w14:paraId="0D21F32F" w14:textId="77777777" w:rsidR="00D933F9" w:rsidRPr="00C1729E" w:rsidRDefault="00D933F9" w:rsidP="009941AE">
      <w:pPr>
        <w:numPr>
          <w:ilvl w:val="0"/>
          <w:numId w:val="3"/>
        </w:numPr>
        <w:tabs>
          <w:tab w:val="left" w:pos="567"/>
          <w:tab w:val="center" w:pos="4320"/>
          <w:tab w:val="left" w:pos="4965"/>
          <w:tab w:val="right" w:pos="8640"/>
          <w:tab w:val="right" w:pos="10773"/>
        </w:tabs>
        <w:spacing w:after="0" w:line="240" w:lineRule="auto"/>
        <w:ind w:left="567" w:hanging="283"/>
        <w:jc w:val="both"/>
        <w:rPr>
          <w:rFonts w:eastAsia="Times New Roman" w:cstheme="minorHAnsi"/>
          <w:sz w:val="24"/>
          <w:szCs w:val="24"/>
          <w:lang w:eastAsia="ro-RO" w:bidi="ne-NP"/>
        </w:rPr>
      </w:pPr>
      <w:r w:rsidRPr="00C1729E">
        <w:rPr>
          <w:rFonts w:eastAsia="Times New Roman" w:cstheme="minorHAnsi"/>
          <w:sz w:val="24"/>
          <w:szCs w:val="24"/>
          <w:lang w:eastAsia="ro-RO" w:bidi="ne-NP"/>
        </w:rPr>
        <w:t>descrierea principiului poluatorul plătește;</w:t>
      </w:r>
    </w:p>
    <w:p w14:paraId="6A7B0D1E" w14:textId="77777777" w:rsidR="00D933F9" w:rsidRPr="00C1729E" w:rsidRDefault="00D933F9" w:rsidP="009941AE">
      <w:pPr>
        <w:numPr>
          <w:ilvl w:val="0"/>
          <w:numId w:val="3"/>
        </w:numPr>
        <w:tabs>
          <w:tab w:val="left" w:pos="567"/>
          <w:tab w:val="center" w:pos="4320"/>
          <w:tab w:val="left" w:pos="4965"/>
          <w:tab w:val="right" w:pos="8640"/>
          <w:tab w:val="right" w:pos="10773"/>
        </w:tabs>
        <w:spacing w:after="0" w:line="240" w:lineRule="auto"/>
        <w:ind w:left="567" w:hanging="283"/>
        <w:jc w:val="both"/>
        <w:rPr>
          <w:rFonts w:eastAsia="Times New Roman" w:cstheme="minorHAnsi"/>
          <w:sz w:val="24"/>
          <w:szCs w:val="24"/>
          <w:lang w:eastAsia="ro-RO" w:bidi="ne-NP"/>
        </w:rPr>
      </w:pPr>
      <w:r w:rsidRPr="00C1729E">
        <w:rPr>
          <w:rFonts w:eastAsia="Times New Roman" w:cstheme="minorHAnsi"/>
          <w:sz w:val="24"/>
          <w:szCs w:val="24"/>
          <w:lang w:eastAsia="ro-RO" w:bidi="ne-NP"/>
        </w:rPr>
        <w:t>analiza impactului asupra siturilor Natura 2000 (acolo unde există);</w:t>
      </w:r>
    </w:p>
    <w:p w14:paraId="0DB316D6" w14:textId="77777777" w:rsidR="00D933F9" w:rsidRPr="00C1729E" w:rsidRDefault="00D933F9" w:rsidP="009941AE">
      <w:pPr>
        <w:numPr>
          <w:ilvl w:val="0"/>
          <w:numId w:val="3"/>
        </w:numPr>
        <w:tabs>
          <w:tab w:val="left" w:pos="567"/>
          <w:tab w:val="center" w:pos="4320"/>
          <w:tab w:val="left" w:pos="4965"/>
          <w:tab w:val="right" w:pos="8640"/>
          <w:tab w:val="right" w:pos="10773"/>
        </w:tabs>
        <w:spacing w:after="0" w:line="240" w:lineRule="auto"/>
        <w:ind w:left="567" w:hanging="283"/>
        <w:jc w:val="both"/>
        <w:rPr>
          <w:rFonts w:eastAsia="Times New Roman" w:cstheme="minorHAnsi"/>
          <w:sz w:val="24"/>
          <w:szCs w:val="24"/>
          <w:lang w:eastAsia="ro-RO" w:bidi="ne-NP"/>
        </w:rPr>
      </w:pPr>
      <w:r w:rsidRPr="00C1729E">
        <w:rPr>
          <w:rFonts w:eastAsia="Times New Roman" w:cstheme="minorHAnsi"/>
          <w:sz w:val="24"/>
          <w:szCs w:val="24"/>
          <w:lang w:eastAsia="ro-RO" w:bidi="ne-NP"/>
        </w:rPr>
        <w:t>introducerea unor soluţii economice (spre exemplu soluţii bazate pe consum redus de apă în cadrul OS 3.2, AP 3 POIM);</w:t>
      </w:r>
    </w:p>
    <w:p w14:paraId="2A7FC88A"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Respectarea cerințelor in materie de dezvoltare durabila pentru implementarea proiectelor finanțate prin POIM se monitorizează în cadrul verificărilor administrative a Cererilor de Rambursare, luând în considerare datele/informațiile transmise de beneficiari în raportul de progres lunar.</w:t>
      </w:r>
    </w:p>
    <w:p w14:paraId="033D23D6"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De asemenea, la nivelul POR, în procesul de evaluare şi selecţie a cererilor de finanțare depuse pentru finanţare se verifică și secțiunea privind dezvoltarea durabilă. În acest sens, în formularul cererii de finanţare, solicitantul de finanţare trebuie să descrie aspecte privind principiul poluatorul plătește, protecția biodiversității, utilizarea eficientă a resurselor, atenuarea și adaptarea la schimbările climatice, reziliența la dezastre.</w:t>
      </w:r>
    </w:p>
    <w:p w14:paraId="5B948A14" w14:textId="77777777" w:rsidR="00E052C2" w:rsidRPr="00C1729E" w:rsidRDefault="00BA6609" w:rsidP="009941AE">
      <w:pPr>
        <w:spacing w:after="60" w:line="240" w:lineRule="auto"/>
        <w:jc w:val="both"/>
        <w:rPr>
          <w:i/>
          <w:color w:val="548DD4" w:themeColor="text2" w:themeTint="99"/>
          <w:sz w:val="24"/>
          <w:szCs w:val="24"/>
        </w:rPr>
      </w:pPr>
      <w:r w:rsidRPr="009941AE">
        <w:rPr>
          <w:b/>
          <w:i/>
          <w:color w:val="548DD4" w:themeColor="text2" w:themeTint="99"/>
          <w:sz w:val="24"/>
          <w:szCs w:val="24"/>
        </w:rPr>
        <w:t xml:space="preserve"> </w:t>
      </w:r>
      <w:r w:rsidRPr="009941AE">
        <w:rPr>
          <w:b/>
          <w:color w:val="548DD4" w:themeColor="text2" w:themeTint="99"/>
        </w:rPr>
        <w:t>(b) Un rezumat al măsurilor implementate pentru a asigura integrarea obiectivelor de politică orizontală, cu referire la conținutul acordului de parteneriat</w:t>
      </w:r>
      <w:r w:rsidR="00E052C2" w:rsidRPr="00C1729E">
        <w:rPr>
          <w:i/>
          <w:color w:val="548DD4" w:themeColor="text2" w:themeTint="99"/>
          <w:sz w:val="24"/>
          <w:szCs w:val="24"/>
        </w:rPr>
        <w:t>.</w:t>
      </w:r>
    </w:p>
    <w:p w14:paraId="6C820A17"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În vederea aplicării principiilor orizontale menționate la articolele 7 și 8 din Regulamentul UE nr. 1303/2013, următoarele obiective orizontale de politici au fost luate în considerare pentru implementare fondurilor ESI: (1) abordarea schimbărilor demografice și (2) atenuarea schimbărilor climatice și adaptarea la acestea.</w:t>
      </w:r>
    </w:p>
    <w:p w14:paraId="53CA099E"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lastRenderedPageBreak/>
        <w:t xml:space="preserve">În acest sens, strategia programelor operaționale a stabilit cerințe pentru integrarea acestor obiective, după caz. </w:t>
      </w:r>
    </w:p>
    <w:p w14:paraId="08DFD695"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Provocările rezultate din evoluția demografică, mai ales cele legate de reducerea populației active, de creșterea ponderii pensionarilor prin raportare la populația totală și de depopulare, au fost luate în considerare în programarea și implementarea FESI. România a abordat în programarea și implementarea FESI problemele demografice astfel încât să genereze creștere economică într-o societate în curs de îmbătrânire.</w:t>
      </w:r>
    </w:p>
    <w:p w14:paraId="0E37BFFD"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Diversele dimensiuni ale schimbărilor demografice includ diferitele domenii de politici (sănătate, educație, mediu, transport, planificare urbană și rurală etc.) și au necesitat intervenții adaptate la nevoile specifice ale regiunilor geografice sau ale grupurilor-țintă (NEET în regiunile cu o rată de șomaj în rândul tinerilor de peste 25%). </w:t>
      </w:r>
    </w:p>
    <w:p w14:paraId="0BCD06AF"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În acest sens, prin POR se finanțează investiții în infrastructura de învățământ și socială precum și în transporturi, care abordeze condițiile de trai ale populației, pe lângă reducerea izolării comunităților rurale și periferice. Investițiile în TIC (complementare POC-POCU) contribuie la accesibilitatea și conectivitatea populației, iar prin intervenţiile PNDR se urmărește facilitarea intrării în sectorul agricol a unor fermieri calificați corespunzător și, în special, a  reînnoirii generațiilor de fermieri. Atenuarea schimbărilor climatice și adaptarea la acestea este una dintre provocările identificate în diversele domenii de politici, cum ar fi energia, agricultura, silvicultura sau transportul. </w:t>
      </w:r>
    </w:p>
    <w:p w14:paraId="53861CC6"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În ceea ce privește atenuarea schimbărilor climatice și adaptarea la acestea, precum și prevenirea riscurilor, acestea au fost integrate în pregătirea și punerea în aplicare a AP și în pregătirea și implementarea programelor operaționale.</w:t>
      </w:r>
    </w:p>
    <w:p w14:paraId="5B0AB06B"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Integrarea atenuării schimbărilor climatice și adaptării la acestea se realizează prin finanțarea priorităților de investiții în cadrul obiectivului tematic  dedicat, respectiv OT 5, însă acțiuni care vizează schimbările climatice sunt finanțate și în alte obiective tematice precum sprijinirea tranziției către economia cu emisii scăzute de carbon (OT 4), obiectivul tematic care vizează protecția mediului (OT 6) și promovarea transportului durabil (OT 7). Toate aceste obiective contribuie la atenuarea schimbărilor climatice și adaptarea la acestea. </w:t>
      </w:r>
    </w:p>
    <w:p w14:paraId="441EE691"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 xml:space="preserve">Deși unele programe nu finanțează direct activități specifice OT 5 privind schimbările climatice, cum este cazul POR, prin axele prioritare ale acestor programe se finanțează activități care pot contribui la cuantificarea sprijinului programului pentru atingerea obiectivelor legate de schimbările climatice. Astfel, în cazul POR, intervențiile care pot contribui la obiectivul de schimbări climatice vizează eficiența energetică în clădiri rezidențiale și clădiri publice, iluminat public, mobilitate urbană precum și cele destinate dezvoltării urbane durabile din cadrul axei prioritare 4, dezvoltarea durabilă a turismului. </w:t>
      </w:r>
    </w:p>
    <w:p w14:paraId="70801F84" w14:textId="77777777" w:rsidR="00D933F9" w:rsidRPr="00C1729E" w:rsidRDefault="00D933F9"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C1729E">
        <w:rPr>
          <w:rFonts w:eastAsia="Times New Roman" w:cstheme="minorHAnsi"/>
          <w:sz w:val="24"/>
          <w:szCs w:val="24"/>
          <w:lang w:eastAsia="ro-RO"/>
        </w:rPr>
        <w:t>Cheltuielile privind schimbările climatice sunt monitorizate prin SMIS 2014+.</w:t>
      </w:r>
    </w:p>
    <w:p w14:paraId="7E45F8CB" w14:textId="77777777" w:rsidR="00D11CD2" w:rsidRPr="00C1729E" w:rsidRDefault="00D11CD2"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p>
    <w:p w14:paraId="5D668F09" w14:textId="77777777" w:rsidR="00A16710" w:rsidRPr="00C1729E" w:rsidRDefault="00A16710" w:rsidP="009941AE">
      <w:pPr>
        <w:keepNext/>
        <w:spacing w:after="0" w:line="240" w:lineRule="auto"/>
        <w:jc w:val="center"/>
        <w:outlineLvl w:val="0"/>
        <w:rPr>
          <w:rFonts w:eastAsia="Times New Roman" w:cs="Times New Roman"/>
          <w:b/>
          <w:bCs/>
          <w:smallCaps/>
          <w:color w:val="548DD4" w:themeColor="text2" w:themeTint="99"/>
          <w:sz w:val="24"/>
          <w:szCs w:val="32"/>
        </w:rPr>
      </w:pPr>
      <w:bookmarkStart w:id="8" w:name="_Toc256000118"/>
      <w:bookmarkStart w:id="9" w:name="_Toc256000093"/>
      <w:bookmarkStart w:id="10" w:name="_Toc256000058"/>
      <w:bookmarkStart w:id="11" w:name="_Toc256000023"/>
      <w:r w:rsidRPr="00C1729E">
        <w:rPr>
          <w:rFonts w:eastAsia="Times New Roman" w:cs="Times New Roman"/>
          <w:b/>
          <w:bCs/>
          <w:smallCaps/>
          <w:noProof/>
          <w:color w:val="548DD4" w:themeColor="text2" w:themeTint="99"/>
          <w:sz w:val="24"/>
          <w:szCs w:val="32"/>
        </w:rPr>
        <w:t>PARTEA II</w:t>
      </w:r>
      <w:bookmarkEnd w:id="8"/>
      <w:bookmarkEnd w:id="9"/>
      <w:bookmarkEnd w:id="10"/>
      <w:bookmarkEnd w:id="11"/>
    </w:p>
    <w:p w14:paraId="428A3FE2" w14:textId="77777777" w:rsidR="00A16710" w:rsidRPr="00C1729E" w:rsidRDefault="00A16710" w:rsidP="009941AE">
      <w:pPr>
        <w:spacing w:after="0" w:line="240" w:lineRule="auto"/>
        <w:rPr>
          <w:rFonts w:eastAsia="Times New Roman" w:cs="Times New Roman"/>
          <w:b/>
          <w:color w:val="548DD4" w:themeColor="text2" w:themeTint="99"/>
          <w:sz w:val="24"/>
          <w:szCs w:val="24"/>
        </w:rPr>
      </w:pPr>
      <w:r w:rsidRPr="00C1729E">
        <w:rPr>
          <w:rFonts w:eastAsia="Times New Roman" w:cs="Times New Roman"/>
          <w:b/>
          <w:color w:val="548DD4" w:themeColor="text2" w:themeTint="99"/>
          <w:sz w:val="24"/>
          <w:szCs w:val="24"/>
        </w:rPr>
        <w:t xml:space="preserve">Informații și evaluări privind inițiativa </w:t>
      </w:r>
      <w:r w:rsidRPr="00C1729E">
        <w:rPr>
          <w:rFonts w:eastAsia="Times New Roman" w:cs="Times New Roman"/>
          <w:b/>
          <w:color w:val="548DD4" w:themeColor="text2" w:themeTint="99"/>
          <w:sz w:val="24"/>
          <w:szCs w:val="24"/>
          <w:lang w:val="en-GB"/>
        </w:rPr>
        <w:fldChar w:fldCharType="begin"/>
      </w:r>
      <w:r w:rsidRPr="00C1729E">
        <w:rPr>
          <w:rFonts w:eastAsia="Times New Roman" w:cs="Times New Roman"/>
          <w:b/>
          <w:color w:val="548DD4" w:themeColor="text2" w:themeTint="99"/>
          <w:sz w:val="24"/>
          <w:szCs w:val="24"/>
        </w:rPr>
        <w:instrText>QUOTE 34</w:instrText>
      </w:r>
      <w:r w:rsidRPr="00C1729E">
        <w:rPr>
          <w:rFonts w:eastAsia="Times New Roman" w:cs="Times New Roman"/>
          <w:b/>
          <w:color w:val="548DD4" w:themeColor="text2" w:themeTint="99"/>
          <w:sz w:val="24"/>
          <w:szCs w:val="24"/>
          <w:lang w:val="en-GB"/>
        </w:rPr>
        <w:fldChar w:fldCharType="separate"/>
      </w:r>
      <w:r w:rsidRPr="00C1729E">
        <w:rPr>
          <w:rFonts w:eastAsia="Times New Roman" w:cs="Times New Roman"/>
          <w:color w:val="548DD4" w:themeColor="text2" w:themeTint="99"/>
          <w:sz w:val="24"/>
          <w:szCs w:val="24"/>
        </w:rPr>
        <w:t>"</w:t>
      </w:r>
      <w:r w:rsidRPr="00C1729E">
        <w:rPr>
          <w:rFonts w:eastAsia="Times New Roman" w:cs="Times New Roman"/>
          <w:b/>
          <w:color w:val="548DD4" w:themeColor="text2" w:themeTint="99"/>
          <w:sz w:val="24"/>
          <w:szCs w:val="24"/>
          <w:lang w:val="en-GB"/>
        </w:rPr>
        <w:fldChar w:fldCharType="end"/>
      </w:r>
      <w:r w:rsidRPr="00C1729E">
        <w:rPr>
          <w:rFonts w:eastAsia="Times New Roman" w:cs="Times New Roman"/>
          <w:b/>
          <w:color w:val="548DD4" w:themeColor="text2" w:themeTint="99"/>
          <w:sz w:val="24"/>
          <w:szCs w:val="24"/>
        </w:rPr>
        <w:t>Locuri de muncă pentru tineri</w:t>
      </w:r>
      <w:r w:rsidRPr="00C1729E">
        <w:rPr>
          <w:rFonts w:eastAsia="Times New Roman" w:cs="Times New Roman"/>
          <w:b/>
          <w:color w:val="548DD4" w:themeColor="text2" w:themeTint="99"/>
          <w:sz w:val="24"/>
          <w:szCs w:val="24"/>
          <w:lang w:val="en-GB"/>
        </w:rPr>
        <w:fldChar w:fldCharType="begin"/>
      </w:r>
      <w:r w:rsidRPr="00C1729E">
        <w:rPr>
          <w:rFonts w:eastAsia="Times New Roman" w:cs="Times New Roman"/>
          <w:b/>
          <w:color w:val="548DD4" w:themeColor="text2" w:themeTint="99"/>
          <w:sz w:val="24"/>
          <w:szCs w:val="24"/>
        </w:rPr>
        <w:instrText>QUOTE 34</w:instrText>
      </w:r>
      <w:r w:rsidRPr="00C1729E">
        <w:rPr>
          <w:rFonts w:eastAsia="Times New Roman" w:cs="Times New Roman"/>
          <w:b/>
          <w:color w:val="548DD4" w:themeColor="text2" w:themeTint="99"/>
          <w:sz w:val="24"/>
          <w:szCs w:val="24"/>
          <w:lang w:val="en-GB"/>
        </w:rPr>
        <w:fldChar w:fldCharType="separate"/>
      </w:r>
      <w:r w:rsidRPr="00C1729E">
        <w:rPr>
          <w:rFonts w:eastAsia="Times New Roman" w:cs="Times New Roman"/>
          <w:color w:val="548DD4" w:themeColor="text2" w:themeTint="99"/>
          <w:sz w:val="24"/>
          <w:szCs w:val="24"/>
        </w:rPr>
        <w:t>"</w:t>
      </w:r>
      <w:r w:rsidRPr="00C1729E">
        <w:rPr>
          <w:rFonts w:eastAsia="Times New Roman" w:cs="Times New Roman"/>
          <w:b/>
          <w:color w:val="548DD4" w:themeColor="text2" w:themeTint="99"/>
          <w:sz w:val="24"/>
          <w:szCs w:val="24"/>
          <w:lang w:val="en-GB"/>
        </w:rPr>
        <w:fldChar w:fldCharType="end"/>
      </w:r>
      <w:r w:rsidRPr="00C1729E">
        <w:rPr>
          <w:rFonts w:eastAsia="Times New Roman" w:cs="Times New Roman"/>
          <w:b/>
          <w:color w:val="548DD4" w:themeColor="text2" w:themeTint="99"/>
          <w:sz w:val="24"/>
          <w:szCs w:val="24"/>
        </w:rPr>
        <w:t xml:space="preserve"> [în sensul articolului 19 alineatul (5) din Regulamentul (UE) nr. 1304/2013 al Parlamentului European și al Consiliului]</w:t>
      </w:r>
    </w:p>
    <w:p w14:paraId="4CC1A55B" w14:textId="77777777" w:rsidR="00A16710" w:rsidRPr="00C1729E" w:rsidRDefault="00A16710" w:rsidP="009941AE">
      <w:pPr>
        <w:spacing w:after="0" w:line="240" w:lineRule="auto"/>
        <w:jc w:val="both"/>
        <w:rPr>
          <w:rFonts w:eastAsia="Times New Roman" w:cs="Times New Roman"/>
          <w:color w:val="548DD4" w:themeColor="text2" w:themeTint="99"/>
          <w:sz w:val="24"/>
          <w:szCs w:val="24"/>
        </w:rPr>
      </w:pPr>
    </w:p>
    <w:p w14:paraId="3BF16F3F" w14:textId="77777777" w:rsidR="00A16710" w:rsidRPr="00C1729E" w:rsidRDefault="00A16710" w:rsidP="009941AE">
      <w:pPr>
        <w:keepNext/>
        <w:spacing w:after="0" w:line="240" w:lineRule="auto"/>
        <w:jc w:val="both"/>
        <w:outlineLvl w:val="0"/>
        <w:rPr>
          <w:rFonts w:eastAsia="Times New Roman" w:cs="Times New Roman"/>
          <w:b/>
          <w:color w:val="548DD4" w:themeColor="text2" w:themeTint="99"/>
        </w:rPr>
      </w:pPr>
      <w:bookmarkStart w:id="12" w:name="_Toc256000119"/>
      <w:bookmarkStart w:id="13" w:name="_Toc256000094"/>
      <w:bookmarkStart w:id="14" w:name="_Toc256000059"/>
      <w:bookmarkStart w:id="15" w:name="_Toc256000024"/>
      <w:r w:rsidRPr="00C1729E">
        <w:rPr>
          <w:rFonts w:eastAsia="Times New Roman" w:cs="Times New Roman"/>
          <w:b/>
          <w:bCs/>
          <w:smallCaps/>
          <w:color w:val="548DD4" w:themeColor="text2" w:themeTint="99"/>
          <w:lang w:val="fr-FR"/>
        </w:rPr>
        <w:t xml:space="preserve">10. </w:t>
      </w:r>
      <w:r w:rsidRPr="00C1729E">
        <w:rPr>
          <w:rFonts w:eastAsia="Times New Roman" w:cs="Times New Roman"/>
          <w:b/>
          <w:color w:val="548DD4" w:themeColor="text2" w:themeTint="99"/>
        </w:rPr>
        <w:t xml:space="preserve">implementarea inițiativei </w:t>
      </w:r>
      <w:r w:rsidRPr="00C1729E">
        <w:rPr>
          <w:rFonts w:eastAsia="Times New Roman" w:cs="Times New Roman"/>
          <w:b/>
          <w:color w:val="548DD4" w:themeColor="text2" w:themeTint="99"/>
        </w:rPr>
        <w:fldChar w:fldCharType="begin"/>
      </w:r>
      <w:r w:rsidRPr="00C1729E">
        <w:rPr>
          <w:rFonts w:eastAsia="Times New Roman" w:cs="Times New Roman"/>
          <w:b/>
          <w:color w:val="548DD4" w:themeColor="text2" w:themeTint="99"/>
        </w:rPr>
        <w:instrText>QUOTE 34</w:instrText>
      </w:r>
      <w:r w:rsidRPr="00C1729E">
        <w:rPr>
          <w:rFonts w:eastAsia="Times New Roman" w:cs="Times New Roman"/>
          <w:b/>
          <w:color w:val="548DD4" w:themeColor="text2" w:themeTint="99"/>
        </w:rPr>
        <w:fldChar w:fldCharType="separate"/>
      </w:r>
      <w:r w:rsidRPr="00C1729E">
        <w:rPr>
          <w:rFonts w:eastAsia="Times New Roman" w:cs="Times New Roman"/>
          <w:b/>
          <w:color w:val="548DD4" w:themeColor="text2" w:themeTint="99"/>
        </w:rPr>
        <w:t>"</w:t>
      </w:r>
      <w:r w:rsidRPr="00C1729E">
        <w:rPr>
          <w:rFonts w:eastAsia="Times New Roman" w:cs="Times New Roman"/>
          <w:b/>
          <w:color w:val="548DD4" w:themeColor="text2" w:themeTint="99"/>
        </w:rPr>
        <w:fldChar w:fldCharType="end"/>
      </w:r>
      <w:r w:rsidRPr="00C1729E">
        <w:rPr>
          <w:rFonts w:eastAsia="Times New Roman" w:cs="Times New Roman"/>
          <w:b/>
          <w:color w:val="548DD4" w:themeColor="text2" w:themeTint="99"/>
        </w:rPr>
        <w:t>Locuri de muncă pentru tineri</w:t>
      </w:r>
      <w:r w:rsidRPr="00C1729E">
        <w:rPr>
          <w:rFonts w:eastAsia="Times New Roman" w:cs="Times New Roman"/>
          <w:b/>
          <w:color w:val="548DD4" w:themeColor="text2" w:themeTint="99"/>
        </w:rPr>
        <w:fldChar w:fldCharType="begin"/>
      </w:r>
      <w:r w:rsidRPr="00C1729E">
        <w:rPr>
          <w:rFonts w:eastAsia="Times New Roman" w:cs="Times New Roman"/>
          <w:b/>
          <w:color w:val="548DD4" w:themeColor="text2" w:themeTint="99"/>
        </w:rPr>
        <w:instrText>QUOTE 34</w:instrText>
      </w:r>
      <w:r w:rsidRPr="00C1729E">
        <w:rPr>
          <w:rFonts w:eastAsia="Times New Roman" w:cs="Times New Roman"/>
          <w:b/>
          <w:color w:val="548DD4" w:themeColor="text2" w:themeTint="99"/>
        </w:rPr>
        <w:fldChar w:fldCharType="separate"/>
      </w:r>
      <w:r w:rsidRPr="00C1729E">
        <w:rPr>
          <w:rFonts w:eastAsia="Times New Roman" w:cs="Times New Roman"/>
          <w:b/>
          <w:color w:val="548DD4" w:themeColor="text2" w:themeTint="99"/>
        </w:rPr>
        <w:t>"</w:t>
      </w:r>
      <w:r w:rsidRPr="00C1729E">
        <w:rPr>
          <w:rFonts w:eastAsia="Times New Roman" w:cs="Times New Roman"/>
          <w:b/>
          <w:color w:val="548DD4" w:themeColor="text2" w:themeTint="99"/>
        </w:rPr>
        <w:fldChar w:fldCharType="end"/>
      </w:r>
      <w:r w:rsidRPr="00C1729E">
        <w:rPr>
          <w:rFonts w:eastAsia="Times New Roman" w:cs="Times New Roman"/>
          <w:b/>
          <w:color w:val="548DD4" w:themeColor="text2" w:themeTint="99"/>
        </w:rPr>
        <w:t xml:space="preserve"> (YEI) [articolul 19 alineatul (5) din regulamentul (UE) nr. 1304/2013]</w:t>
      </w:r>
      <w:bookmarkEnd w:id="12"/>
      <w:bookmarkEnd w:id="13"/>
      <w:bookmarkEnd w:id="14"/>
      <w:bookmarkEnd w:id="15"/>
    </w:p>
    <w:p w14:paraId="38459FE6" w14:textId="77777777" w:rsidR="00E052C2" w:rsidRPr="00C1729E" w:rsidRDefault="00A16710" w:rsidP="009941AE">
      <w:pPr>
        <w:tabs>
          <w:tab w:val="left" w:pos="540"/>
          <w:tab w:val="center" w:pos="4320"/>
          <w:tab w:val="left" w:pos="4965"/>
          <w:tab w:val="right" w:pos="8640"/>
          <w:tab w:val="right" w:pos="10773"/>
        </w:tabs>
        <w:spacing w:after="60" w:line="240" w:lineRule="auto"/>
        <w:jc w:val="both"/>
        <w:rPr>
          <w:b/>
        </w:rPr>
      </w:pPr>
      <w:r w:rsidRPr="00C1729E">
        <w:rPr>
          <w:b/>
          <w:color w:val="548DD4" w:themeColor="text2" w:themeTint="99"/>
        </w:rPr>
        <w:t>(a) O descriere generală a implementării YEI, inclusiv a modului în care YEI a contribuit la implementarea garanției pentru tineret, cu exemple concrete de intervenții sprijinite în cadrul YEI.</w:t>
      </w:r>
    </w:p>
    <w:p w14:paraId="6214167D"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sz w:val="24"/>
          <w:szCs w:val="24"/>
        </w:rPr>
      </w:pPr>
      <w:r w:rsidRPr="00C1729E">
        <w:rPr>
          <w:sz w:val="24"/>
          <w:szCs w:val="24"/>
        </w:rPr>
        <w:t xml:space="preserve">Implementarea YEI se face prin POCU - AP 1 și sunt prevăzute spre a fi finanțate acțiuni de identificare, înregistrare, informare şi consiliere profesională a tinerilor </w:t>
      </w:r>
      <w:proofErr w:type="spellStart"/>
      <w:r w:rsidRPr="00C1729E">
        <w:rPr>
          <w:sz w:val="24"/>
          <w:szCs w:val="24"/>
        </w:rPr>
        <w:t>NEETs</w:t>
      </w:r>
      <w:proofErr w:type="spellEnd"/>
      <w:r w:rsidRPr="00C1729E">
        <w:rPr>
          <w:sz w:val="24"/>
          <w:szCs w:val="24"/>
        </w:rPr>
        <w:t xml:space="preserve">. În vederea asigurării unei acoperiri naționale pentru reducerea fenomenului </w:t>
      </w:r>
      <w:proofErr w:type="spellStart"/>
      <w:r w:rsidRPr="00C1729E">
        <w:rPr>
          <w:sz w:val="24"/>
          <w:szCs w:val="24"/>
        </w:rPr>
        <w:t>NEETs</w:t>
      </w:r>
      <w:proofErr w:type="spellEnd"/>
      <w:r w:rsidRPr="00C1729E">
        <w:rPr>
          <w:sz w:val="24"/>
          <w:szCs w:val="24"/>
        </w:rPr>
        <w:t xml:space="preserve">, la nivelul AP 2 au fost prevăzute intervenții similare destinate tinerilor </w:t>
      </w:r>
      <w:proofErr w:type="spellStart"/>
      <w:r w:rsidRPr="00C1729E">
        <w:rPr>
          <w:sz w:val="24"/>
          <w:szCs w:val="24"/>
        </w:rPr>
        <w:t>NEETs</w:t>
      </w:r>
      <w:proofErr w:type="spellEnd"/>
      <w:r w:rsidRPr="00C1729E">
        <w:rPr>
          <w:sz w:val="24"/>
          <w:szCs w:val="24"/>
        </w:rPr>
        <w:t xml:space="preserve"> din regiunile neeligibile în cadrul YEI. </w:t>
      </w:r>
    </w:p>
    <w:p w14:paraId="37AFB4BE"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sz w:val="24"/>
          <w:szCs w:val="24"/>
        </w:rPr>
      </w:pPr>
      <w:r w:rsidRPr="00C1729E">
        <w:rPr>
          <w:sz w:val="24"/>
          <w:szCs w:val="24"/>
        </w:rPr>
        <w:lastRenderedPageBreak/>
        <w:t xml:space="preserve">În ceea ce privește eligibilitatea regiunilor, ca urmare a schimbărilor socio-economice de la nivel regional, a fost necesară o reconfigurare a AP1 și, în consecință, a AP2, în ceea ce privește regiunile eligibile. Astfel, regiunea Centru nu a mai îndeplinit criteriile de eligibilitate conform YEI, iar regiunea </w:t>
      </w:r>
      <w:proofErr w:type="spellStart"/>
      <w:r w:rsidRPr="00C1729E">
        <w:rPr>
          <w:sz w:val="24"/>
          <w:szCs w:val="24"/>
        </w:rPr>
        <w:t>Sud-Vest</w:t>
      </w:r>
      <w:proofErr w:type="spellEnd"/>
      <w:r w:rsidRPr="00C1729E">
        <w:rPr>
          <w:sz w:val="24"/>
          <w:szCs w:val="24"/>
        </w:rPr>
        <w:t xml:space="preserve"> Oltenia a devenit eligibilă beneficiind de intervenții pe AP1.</w:t>
      </w:r>
    </w:p>
    <w:p w14:paraId="6AB5B61C"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sz w:val="24"/>
          <w:szCs w:val="24"/>
        </w:rPr>
      </w:pPr>
      <w:r w:rsidRPr="00C1729E">
        <w:rPr>
          <w:sz w:val="24"/>
          <w:szCs w:val="24"/>
        </w:rPr>
        <w:t xml:space="preserve">Ca urmare a suplimentării fondurilor destinate ILMT, AP1 a beneficiat de o finanțare de </w:t>
      </w:r>
      <w:r w:rsidRPr="00C1729E">
        <w:rPr>
          <w:b/>
          <w:sz w:val="24"/>
          <w:szCs w:val="24"/>
        </w:rPr>
        <w:t>328,9 mil. euro</w:t>
      </w:r>
      <w:r w:rsidRPr="00C1729E">
        <w:rPr>
          <w:sz w:val="24"/>
          <w:szCs w:val="24"/>
        </w:rPr>
        <w:t xml:space="preserve"> (dintre care 302,2 mil. euro UE). Deși a fost lansată aproximativ 79% din alocarea disponibilă (UE+BS), valorile contractate sunt sub 2% din totalul alocării, iar plățile reprezintă 18% din valoarea contractată. Au fost lansate 4 apeluri de proiecte cu o valoare totală de aproximativ 253 mil. euro. Din totalul de 13 proiecte depuse,</w:t>
      </w:r>
      <w:r w:rsidRPr="00C1729E">
        <w:rPr>
          <w:b/>
          <w:sz w:val="24"/>
          <w:szCs w:val="24"/>
        </w:rPr>
        <w:t xml:space="preserve"> </w:t>
      </w:r>
      <w:r w:rsidRPr="00C1729E">
        <w:rPr>
          <w:sz w:val="24"/>
          <w:szCs w:val="24"/>
        </w:rPr>
        <w:t>au fost</w:t>
      </w:r>
      <w:r w:rsidRPr="00C1729E">
        <w:rPr>
          <w:b/>
          <w:sz w:val="24"/>
          <w:szCs w:val="24"/>
        </w:rPr>
        <w:t xml:space="preserve"> contractate numai 7 proiecte </w:t>
      </w:r>
      <w:r w:rsidRPr="00C1729E">
        <w:rPr>
          <w:sz w:val="24"/>
          <w:szCs w:val="24"/>
        </w:rPr>
        <w:t>în valoare de</w:t>
      </w:r>
      <w:r w:rsidRPr="00C1729E">
        <w:rPr>
          <w:b/>
          <w:sz w:val="24"/>
          <w:szCs w:val="24"/>
        </w:rPr>
        <w:t xml:space="preserve"> 4,28 milioane euro. </w:t>
      </w:r>
    </w:p>
    <w:p w14:paraId="58184F40"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bCs/>
          <w:sz w:val="24"/>
          <w:szCs w:val="24"/>
        </w:rPr>
      </w:pPr>
      <w:r w:rsidRPr="00C1729E">
        <w:rPr>
          <w:sz w:val="24"/>
          <w:szCs w:val="24"/>
        </w:rPr>
        <w:t>În ceea ce privește AP2, aceasta beneficiază de o alocare de aprox. 374 mil. euro (UE+BS), iar</w:t>
      </w:r>
      <w:r w:rsidRPr="00C1729E">
        <w:rPr>
          <w:bCs/>
          <w:sz w:val="24"/>
          <w:szCs w:val="24"/>
        </w:rPr>
        <w:t xml:space="preserve"> în ceea ce privește valoarea lansată aceasta a depășit cu 23% alocarea disponibilă (UE+BS). Cu toate acestea, valorile contractate rămân la un nivel scăzut, sub 29% din totalul alocării. </w:t>
      </w:r>
    </w:p>
    <w:p w14:paraId="37A5267D"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b/>
          <w:bCs/>
          <w:sz w:val="24"/>
          <w:szCs w:val="24"/>
        </w:rPr>
      </w:pPr>
      <w:r w:rsidRPr="00C1729E">
        <w:rPr>
          <w:bCs/>
          <w:sz w:val="24"/>
          <w:szCs w:val="24"/>
        </w:rPr>
        <w:t xml:space="preserve">În perioada 2017-2018, au fost lansate 11 apeluri de proiecte cu o valoare de aproximativ 532,5 mil. euro, fiind contractate numai </w:t>
      </w:r>
      <w:r w:rsidRPr="00C1729E">
        <w:rPr>
          <w:b/>
          <w:bCs/>
          <w:sz w:val="24"/>
          <w:szCs w:val="24"/>
        </w:rPr>
        <w:t>8 proiecte</w:t>
      </w:r>
      <w:r w:rsidRPr="00C1729E">
        <w:rPr>
          <w:bCs/>
          <w:sz w:val="24"/>
          <w:szCs w:val="24"/>
        </w:rPr>
        <w:t xml:space="preserve"> cu o valoare de aproximativ </w:t>
      </w:r>
      <w:r w:rsidRPr="00C1729E">
        <w:rPr>
          <w:b/>
          <w:bCs/>
          <w:sz w:val="24"/>
          <w:szCs w:val="24"/>
        </w:rPr>
        <w:t xml:space="preserve">140 mil. euro. </w:t>
      </w:r>
    </w:p>
    <w:p w14:paraId="55C253E3"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bCs/>
          <w:iCs/>
          <w:sz w:val="24"/>
          <w:szCs w:val="24"/>
        </w:rPr>
      </w:pPr>
      <w:r w:rsidRPr="00C1729E">
        <w:rPr>
          <w:bCs/>
          <w:iCs/>
          <w:sz w:val="24"/>
          <w:szCs w:val="24"/>
        </w:rPr>
        <w:t xml:space="preserve">Având în vedere complementaritatea intervențiilor AP1 și AP2, precum și similaritatea intervențiilor dedicate </w:t>
      </w:r>
      <w:proofErr w:type="spellStart"/>
      <w:r w:rsidRPr="00C1729E">
        <w:rPr>
          <w:bCs/>
          <w:iCs/>
          <w:sz w:val="24"/>
          <w:szCs w:val="24"/>
        </w:rPr>
        <w:t>NEETs</w:t>
      </w:r>
      <w:proofErr w:type="spellEnd"/>
      <w:r w:rsidRPr="00C1729E">
        <w:rPr>
          <w:bCs/>
          <w:iCs/>
          <w:sz w:val="24"/>
          <w:szCs w:val="24"/>
        </w:rPr>
        <w:t xml:space="preserve"> din POCU și cu cele din Garanția pentru Tineret,</w:t>
      </w:r>
      <w:r w:rsidRPr="00C1729E">
        <w:rPr>
          <w:sz w:val="24"/>
          <w:szCs w:val="24"/>
        </w:rPr>
        <w:t xml:space="preserve"> </w:t>
      </w:r>
      <w:r w:rsidRPr="00C1729E">
        <w:rPr>
          <w:bCs/>
          <w:iCs/>
          <w:sz w:val="24"/>
          <w:szCs w:val="24"/>
        </w:rPr>
        <w:t xml:space="preserve">ILMT ar trebui să contribuie în mod semnificativ la obținerea rezultatelor aferente Garanției pentru Tineret. Cu toate acestea, ca urmare a implementării deficitare a AP 1, contribuția s-a rezumat doar la intervențiile vizate prin cele 7 proiecte contractate: stimularea ocupării pe cont propriu și a </w:t>
      </w:r>
      <w:proofErr w:type="spellStart"/>
      <w:r w:rsidRPr="00C1729E">
        <w:rPr>
          <w:bCs/>
          <w:iCs/>
          <w:sz w:val="24"/>
          <w:szCs w:val="24"/>
        </w:rPr>
        <w:t>antreprenoriatului</w:t>
      </w:r>
      <w:proofErr w:type="spellEnd"/>
      <w:r w:rsidRPr="00C1729E">
        <w:rPr>
          <w:bCs/>
          <w:iCs/>
          <w:sz w:val="24"/>
          <w:szCs w:val="24"/>
        </w:rPr>
        <w:t xml:space="preserve"> pentru tineri, consilierea și orientarea profesională, evaluarea și recunoașterea competențelor profesionale obținute în sistem </w:t>
      </w:r>
      <w:proofErr w:type="spellStart"/>
      <w:r w:rsidRPr="00C1729E">
        <w:rPr>
          <w:bCs/>
          <w:iCs/>
          <w:sz w:val="24"/>
          <w:szCs w:val="24"/>
        </w:rPr>
        <w:t>nonformal</w:t>
      </w:r>
      <w:proofErr w:type="spellEnd"/>
      <w:r w:rsidRPr="00C1729E">
        <w:rPr>
          <w:bCs/>
          <w:iCs/>
          <w:sz w:val="24"/>
          <w:szCs w:val="24"/>
        </w:rPr>
        <w:t xml:space="preserve"> și informal, formarea profesională, acordarea prime de activare.</w:t>
      </w:r>
      <w:r w:rsidRPr="00C1729E">
        <w:rPr>
          <w:sz w:val="24"/>
          <w:szCs w:val="24"/>
        </w:rPr>
        <w:t xml:space="preserve"> </w:t>
      </w:r>
    </w:p>
    <w:p w14:paraId="1B191A70"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bCs/>
          <w:iCs/>
          <w:sz w:val="24"/>
          <w:szCs w:val="24"/>
        </w:rPr>
      </w:pPr>
      <w:r w:rsidRPr="00C1729E">
        <w:rPr>
          <w:bCs/>
          <w:iCs/>
          <w:sz w:val="24"/>
          <w:szCs w:val="24"/>
        </w:rPr>
        <w:t xml:space="preserve">Este de menționat că la nivelul celor 7 proiecte implementate au fost vizați, în total, 2315 tineri </w:t>
      </w:r>
      <w:proofErr w:type="spellStart"/>
      <w:r w:rsidRPr="00C1729E">
        <w:rPr>
          <w:bCs/>
          <w:iCs/>
          <w:sz w:val="24"/>
          <w:szCs w:val="24"/>
        </w:rPr>
        <w:t>NEETs</w:t>
      </w:r>
      <w:proofErr w:type="spellEnd"/>
      <w:r w:rsidRPr="00C1729E">
        <w:rPr>
          <w:bCs/>
          <w:iCs/>
          <w:sz w:val="24"/>
          <w:szCs w:val="24"/>
        </w:rPr>
        <w:t>.</w:t>
      </w:r>
    </w:p>
    <w:p w14:paraId="2D17EE8A"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bCs/>
          <w:iCs/>
          <w:sz w:val="24"/>
          <w:szCs w:val="24"/>
        </w:rPr>
      </w:pPr>
      <w:r w:rsidRPr="00C1729E">
        <w:rPr>
          <w:bCs/>
          <w:iCs/>
          <w:sz w:val="24"/>
          <w:szCs w:val="24"/>
        </w:rPr>
        <w:t xml:space="preserve">Mai mult decât atât, implementarea AP1 a depins și de dezvoltarea în cadrul AP2 a unei bazei de date care să permită înregistrarea și profilarea tinerilor </w:t>
      </w:r>
      <w:proofErr w:type="spellStart"/>
      <w:r w:rsidRPr="00C1729E">
        <w:rPr>
          <w:bCs/>
          <w:iCs/>
          <w:sz w:val="24"/>
          <w:szCs w:val="24"/>
        </w:rPr>
        <w:t>NEETs</w:t>
      </w:r>
      <w:proofErr w:type="spellEnd"/>
      <w:r w:rsidRPr="00C1729E">
        <w:rPr>
          <w:bCs/>
          <w:iCs/>
          <w:sz w:val="24"/>
          <w:szCs w:val="24"/>
        </w:rPr>
        <w:t xml:space="preserve"> de la nivelul tuturor regiunilor. Pentru a putea beneficia de intervenții, înregistrarea și profilarea sunt activități obligatorii, demararea cu întârziere a acestui proiect a avut impact negativ asupra implementării tuturor intervențiilor destinate </w:t>
      </w:r>
      <w:proofErr w:type="spellStart"/>
      <w:r w:rsidRPr="00C1729E">
        <w:rPr>
          <w:bCs/>
          <w:iCs/>
          <w:sz w:val="24"/>
          <w:szCs w:val="24"/>
        </w:rPr>
        <w:t>NEETs</w:t>
      </w:r>
      <w:proofErr w:type="spellEnd"/>
      <w:r w:rsidRPr="00C1729E">
        <w:rPr>
          <w:bCs/>
          <w:iCs/>
          <w:sz w:val="24"/>
          <w:szCs w:val="24"/>
        </w:rPr>
        <w:t xml:space="preserve">. Dezvoltarea acestei baze de date s-a făcut prin proiectul INTESPO, proiect contractat în septembrie 2017, cu o valoare de 47 mil. euro. </w:t>
      </w:r>
    </w:p>
    <w:p w14:paraId="0A26F249" w14:textId="77777777" w:rsidR="00060135" w:rsidRPr="00C1729E" w:rsidRDefault="00060135" w:rsidP="009941AE">
      <w:pPr>
        <w:tabs>
          <w:tab w:val="left" w:pos="540"/>
          <w:tab w:val="center" w:pos="4320"/>
          <w:tab w:val="left" w:pos="4965"/>
          <w:tab w:val="right" w:pos="8640"/>
          <w:tab w:val="right" w:pos="10773"/>
        </w:tabs>
        <w:spacing w:after="60" w:line="240" w:lineRule="auto"/>
        <w:jc w:val="both"/>
        <w:rPr>
          <w:bCs/>
          <w:iCs/>
          <w:sz w:val="24"/>
          <w:szCs w:val="24"/>
        </w:rPr>
      </w:pPr>
      <w:r w:rsidRPr="00C1729E">
        <w:rPr>
          <w:bCs/>
          <w:iCs/>
          <w:sz w:val="24"/>
          <w:szCs w:val="24"/>
        </w:rPr>
        <w:t xml:space="preserve">Dat fiind faptul că proiectul INTESPO a furnizat primele rezultate abia la mijlocul anului 2018, se așteaptă o intensificare a implementării de proiecte dedicate </w:t>
      </w:r>
      <w:proofErr w:type="spellStart"/>
      <w:r w:rsidRPr="00C1729E">
        <w:rPr>
          <w:bCs/>
          <w:iCs/>
          <w:sz w:val="24"/>
          <w:szCs w:val="24"/>
        </w:rPr>
        <w:t>NEETs</w:t>
      </w:r>
      <w:proofErr w:type="spellEnd"/>
      <w:r w:rsidRPr="00C1729E">
        <w:rPr>
          <w:bCs/>
          <w:iCs/>
          <w:sz w:val="24"/>
          <w:szCs w:val="24"/>
        </w:rPr>
        <w:t xml:space="preserve"> în perioada următoare.</w:t>
      </w:r>
    </w:p>
    <w:p w14:paraId="13299F4F" w14:textId="77777777" w:rsidR="003175F7" w:rsidRPr="00C1729E" w:rsidRDefault="003175F7" w:rsidP="009941AE">
      <w:pPr>
        <w:spacing w:after="60" w:line="240" w:lineRule="auto"/>
        <w:jc w:val="both"/>
        <w:rPr>
          <w:color w:val="548DD4" w:themeColor="text2" w:themeTint="99"/>
          <w:sz w:val="24"/>
          <w:szCs w:val="24"/>
        </w:rPr>
      </w:pPr>
    </w:p>
    <w:p w14:paraId="3ED1436F" w14:textId="77777777" w:rsidR="00E052C2" w:rsidRPr="00C1729E" w:rsidRDefault="00A125CC" w:rsidP="009941AE">
      <w:pPr>
        <w:spacing w:after="60" w:line="240" w:lineRule="auto"/>
        <w:jc w:val="both"/>
        <w:rPr>
          <w:b/>
          <w:sz w:val="20"/>
          <w:szCs w:val="20"/>
        </w:rPr>
      </w:pPr>
      <w:r w:rsidRPr="00C1729E">
        <w:rPr>
          <w:i/>
          <w:color w:val="548DD4" w:themeColor="text2" w:themeTint="99"/>
          <w:sz w:val="24"/>
          <w:szCs w:val="24"/>
        </w:rPr>
        <w:t xml:space="preserve"> </w:t>
      </w:r>
      <w:r w:rsidR="00A16710" w:rsidRPr="00C1729E">
        <w:rPr>
          <w:b/>
          <w:color w:val="548DD4" w:themeColor="text2" w:themeTint="99"/>
        </w:rPr>
        <w:t>(b) Descrierea oricăror probleme întâmpinate în implementarea YEI și a măsurilor luate pentru remedierea acestor probleme</w:t>
      </w:r>
    </w:p>
    <w:p w14:paraId="7D14D9D4" w14:textId="77777777" w:rsidR="00060135" w:rsidRPr="00C1729E" w:rsidRDefault="00060135" w:rsidP="009941AE">
      <w:pPr>
        <w:tabs>
          <w:tab w:val="left" w:pos="540"/>
          <w:tab w:val="center" w:pos="4320"/>
          <w:tab w:val="left" w:pos="4965"/>
          <w:tab w:val="right" w:pos="8640"/>
          <w:tab w:val="right" w:pos="10773"/>
        </w:tabs>
        <w:spacing w:before="60" w:after="60" w:line="240" w:lineRule="auto"/>
        <w:jc w:val="both"/>
        <w:rPr>
          <w:sz w:val="24"/>
          <w:szCs w:val="24"/>
        </w:rPr>
      </w:pPr>
      <w:r w:rsidRPr="00C1729E">
        <w:rPr>
          <w:sz w:val="24"/>
          <w:szCs w:val="24"/>
        </w:rPr>
        <w:t xml:space="preserve">Deși găsirea unor soluții optime pentru rezolvarea problemei tinerilor </w:t>
      </w:r>
      <w:proofErr w:type="spellStart"/>
      <w:r w:rsidRPr="00C1729E">
        <w:rPr>
          <w:sz w:val="24"/>
          <w:szCs w:val="24"/>
        </w:rPr>
        <w:t>NEETs</w:t>
      </w:r>
      <w:proofErr w:type="spellEnd"/>
      <w:r w:rsidRPr="00C1729E">
        <w:rPr>
          <w:sz w:val="24"/>
          <w:szCs w:val="24"/>
        </w:rPr>
        <w:t xml:space="preserve"> reprezintă o preocupare pentru autoritățile responsabile cu implementarea măsurilor destinate acestora, punerea în practică a acestora s-a dovedit a fi deficitară. </w:t>
      </w:r>
    </w:p>
    <w:p w14:paraId="23F5986C" w14:textId="77777777" w:rsidR="00060135" w:rsidRPr="00C1729E" w:rsidRDefault="00060135" w:rsidP="009941AE">
      <w:pPr>
        <w:tabs>
          <w:tab w:val="left" w:pos="540"/>
          <w:tab w:val="center" w:pos="4320"/>
          <w:tab w:val="left" w:pos="4965"/>
          <w:tab w:val="right" w:pos="8640"/>
          <w:tab w:val="right" w:pos="10773"/>
        </w:tabs>
        <w:spacing w:before="60" w:after="60" w:line="240" w:lineRule="auto"/>
        <w:jc w:val="both"/>
        <w:rPr>
          <w:sz w:val="24"/>
          <w:szCs w:val="24"/>
        </w:rPr>
      </w:pPr>
      <w:r w:rsidRPr="00C1729E">
        <w:rPr>
          <w:sz w:val="24"/>
          <w:szCs w:val="24"/>
        </w:rPr>
        <w:t>Principalele obstacolele întâmpinate sunt:</w:t>
      </w:r>
    </w:p>
    <w:p w14:paraId="1FE52B32" w14:textId="77777777" w:rsidR="00060135" w:rsidRPr="00C1729E" w:rsidRDefault="00060135" w:rsidP="009941AE">
      <w:pPr>
        <w:numPr>
          <w:ilvl w:val="0"/>
          <w:numId w:val="27"/>
        </w:numPr>
        <w:tabs>
          <w:tab w:val="center" w:pos="4320"/>
          <w:tab w:val="left" w:pos="4965"/>
          <w:tab w:val="right" w:pos="8640"/>
          <w:tab w:val="right" w:pos="10773"/>
        </w:tabs>
        <w:spacing w:before="60" w:after="60" w:line="240" w:lineRule="auto"/>
        <w:jc w:val="both"/>
        <w:rPr>
          <w:sz w:val="24"/>
          <w:szCs w:val="24"/>
        </w:rPr>
      </w:pPr>
      <w:r w:rsidRPr="00C1729E">
        <w:rPr>
          <w:sz w:val="24"/>
          <w:szCs w:val="24"/>
        </w:rPr>
        <w:t>lansarea cu întârziere a apelurilor de proiecte;</w:t>
      </w:r>
    </w:p>
    <w:p w14:paraId="35B6ED57"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sz w:val="24"/>
          <w:szCs w:val="24"/>
        </w:rPr>
      </w:pPr>
      <w:r w:rsidRPr="00C1729E">
        <w:rPr>
          <w:sz w:val="24"/>
          <w:szCs w:val="24"/>
        </w:rPr>
        <w:t>modificarea logicii de intervenție a programului în 2016 prin introducerea schemelor naționale dar și de supraestimarea capacității de absorbție a acestora (instituțional de către Agenția Națională pentru Ocuparea Forței de Muncă și ca și cerere, mai precis a numărului de beneficiari ai schemelor de ucenicie și de mobilitate);</w:t>
      </w:r>
    </w:p>
    <w:p w14:paraId="45BBE3B8"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sz w:val="24"/>
          <w:szCs w:val="24"/>
        </w:rPr>
      </w:pPr>
      <w:r w:rsidRPr="00C1729E">
        <w:rPr>
          <w:sz w:val="24"/>
          <w:szCs w:val="24"/>
        </w:rPr>
        <w:t>migrația</w:t>
      </w:r>
      <w:r w:rsidRPr="00C1729E">
        <w:rPr>
          <w:b/>
          <w:sz w:val="24"/>
          <w:szCs w:val="24"/>
        </w:rPr>
        <w:t>,</w:t>
      </w:r>
      <w:r w:rsidRPr="00C1729E">
        <w:rPr>
          <w:sz w:val="24"/>
          <w:szCs w:val="24"/>
        </w:rPr>
        <w:t xml:space="preserve"> în special cea temporară. Acest fenomen a condus la identificarea cu dificultate a tinerilor </w:t>
      </w:r>
      <w:proofErr w:type="spellStart"/>
      <w:r w:rsidRPr="00C1729E">
        <w:rPr>
          <w:sz w:val="24"/>
          <w:szCs w:val="24"/>
        </w:rPr>
        <w:t>NEETs</w:t>
      </w:r>
      <w:proofErr w:type="spellEnd"/>
      <w:r w:rsidRPr="00C1729E">
        <w:rPr>
          <w:sz w:val="24"/>
          <w:szCs w:val="24"/>
        </w:rPr>
        <w:t xml:space="preserve"> și, prin urmare, a înregistrării acestora pentru ca ulterior să poată beneficia de intervenții. În acest context, potențialii beneficiari au întâmpinat obstacole majore atât </w:t>
      </w:r>
      <w:r w:rsidRPr="00C1729E">
        <w:rPr>
          <w:sz w:val="24"/>
          <w:szCs w:val="24"/>
        </w:rPr>
        <w:lastRenderedPageBreak/>
        <w:t xml:space="preserve">în identificarea grupului țintă cât și în menținerea acestora în intervenție până la finalizarea acesteia; </w:t>
      </w:r>
    </w:p>
    <w:p w14:paraId="541BDDC3"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sz w:val="24"/>
          <w:szCs w:val="24"/>
        </w:rPr>
      </w:pPr>
      <w:r w:rsidRPr="00C1729E">
        <w:rPr>
          <w:rFonts w:eastAsia="Times New Roman" w:cs="Times New Roman"/>
          <w:iCs/>
          <w:sz w:val="24"/>
          <w:szCs w:val="24"/>
        </w:rPr>
        <w:t xml:space="preserve">comunicarea insuficientă cu actorii relevanți, inclusiv cu potențialii beneficiari, în vederea elaborării planurilor de lansare a cererilor de proiecte și a ghidurilor solicitanților; </w:t>
      </w:r>
    </w:p>
    <w:p w14:paraId="4C176C76"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sz w:val="24"/>
          <w:szCs w:val="24"/>
        </w:rPr>
      </w:pPr>
      <w:r w:rsidRPr="00C1729E">
        <w:rPr>
          <w:rFonts w:eastAsia="Times New Roman" w:cs="Times New Roman"/>
          <w:iCs/>
          <w:sz w:val="24"/>
          <w:szCs w:val="24"/>
        </w:rPr>
        <w:t>Din perspectiva strategiei de implementare a Inițiativei Locurilor de Muncă pentru Tineri, lipsa unei continuități directe a exercițiului de pilotare a Garanției de Tineret a contribuit, în ansamblu, la implementarea limitată a Axei Prioritare 1;</w:t>
      </w:r>
    </w:p>
    <w:p w14:paraId="39A8D6EA"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sz w:val="24"/>
          <w:szCs w:val="24"/>
        </w:rPr>
      </w:pPr>
      <w:r w:rsidRPr="00C1729E">
        <w:rPr>
          <w:rFonts w:eastAsia="Times New Roman" w:cs="Times New Roman"/>
          <w:iCs/>
          <w:sz w:val="24"/>
          <w:szCs w:val="24"/>
        </w:rPr>
        <w:t xml:space="preserve">interes scăzut al potențialilor beneficiari ca urmare a țintele ridicate stabilite pentru indicatorii de ocupare la 6 luni a participanților, în contextul unei durate foarte scurte a proiectelor, a unui grup țintă caracterizat de anumite particularități precum motivația redusă în vederea găsirii unui loc de muncă, dar și a unui cuantum scăzut al cheltuielilor. </w:t>
      </w:r>
    </w:p>
    <w:p w14:paraId="1D49A601" w14:textId="77777777" w:rsidR="00060135" w:rsidRPr="00C1729E" w:rsidRDefault="00060135" w:rsidP="009941AE">
      <w:pPr>
        <w:spacing w:after="0" w:line="240" w:lineRule="auto"/>
        <w:jc w:val="both"/>
        <w:rPr>
          <w:rFonts w:eastAsia="Times New Roman" w:cs="Times New Roman"/>
          <w:iCs/>
          <w:sz w:val="24"/>
          <w:szCs w:val="24"/>
        </w:rPr>
      </w:pPr>
      <w:r w:rsidRPr="00C1729E">
        <w:rPr>
          <w:rFonts w:eastAsia="Times New Roman" w:cs="Times New Roman"/>
          <w:iCs/>
          <w:sz w:val="24"/>
          <w:szCs w:val="24"/>
        </w:rPr>
        <w:t xml:space="preserve">Pentru a putea veni în ajutorul potențialilor beneficiari, au fost luate o serie de măsuri menite să eficientizeze dezvoltarea și implementarea proiectelor destinate </w:t>
      </w:r>
      <w:proofErr w:type="spellStart"/>
      <w:r w:rsidRPr="00C1729E">
        <w:rPr>
          <w:rFonts w:eastAsia="Times New Roman" w:cs="Times New Roman"/>
          <w:iCs/>
          <w:sz w:val="24"/>
          <w:szCs w:val="24"/>
        </w:rPr>
        <w:t>NEETs</w:t>
      </w:r>
      <w:proofErr w:type="spellEnd"/>
      <w:r w:rsidRPr="00C1729E">
        <w:rPr>
          <w:rFonts w:eastAsia="Times New Roman" w:cs="Times New Roman"/>
          <w:iCs/>
          <w:sz w:val="24"/>
          <w:szCs w:val="24"/>
        </w:rPr>
        <w:t>, precum:</w:t>
      </w:r>
    </w:p>
    <w:p w14:paraId="2D72236B"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rFonts w:eastAsia="Calibri" w:cs="Times New Roman"/>
          <w:sz w:val="24"/>
          <w:szCs w:val="24"/>
        </w:rPr>
      </w:pPr>
      <w:r w:rsidRPr="00C1729E">
        <w:rPr>
          <w:rFonts w:eastAsia="Calibri" w:cs="Times New Roman"/>
          <w:sz w:val="24"/>
          <w:szCs w:val="24"/>
        </w:rPr>
        <w:t>dezvoltarea unor Ghiduri specifice și șabloane clare</w:t>
      </w:r>
      <w:r w:rsidRPr="00C1729E">
        <w:rPr>
          <w:sz w:val="24"/>
          <w:szCs w:val="24"/>
        </w:rPr>
        <w:t xml:space="preserve"> </w:t>
      </w:r>
      <w:r w:rsidRPr="00C1729E">
        <w:rPr>
          <w:rFonts w:eastAsia="Calibri" w:cs="Times New Roman"/>
          <w:sz w:val="24"/>
          <w:szCs w:val="24"/>
        </w:rPr>
        <w:t xml:space="preserve">pentru a facilita completarea cererii de finanțare; </w:t>
      </w:r>
    </w:p>
    <w:p w14:paraId="0EC59C69"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rFonts w:eastAsia="Calibri" w:cs="Times New Roman"/>
          <w:sz w:val="24"/>
          <w:szCs w:val="24"/>
        </w:rPr>
      </w:pPr>
      <w:r w:rsidRPr="00C1729E">
        <w:rPr>
          <w:rFonts w:eastAsia="Calibri" w:cs="Times New Roman"/>
          <w:sz w:val="24"/>
          <w:szCs w:val="24"/>
        </w:rPr>
        <w:t xml:space="preserve">descentralizarea atribuțiilor către Organismele Intermediare Regionale pentru susținerea beneficiarilor în procesul de implementare;    </w:t>
      </w:r>
    </w:p>
    <w:p w14:paraId="4E0E2822" w14:textId="77777777" w:rsidR="00060135" w:rsidRPr="00C1729E" w:rsidRDefault="00060135" w:rsidP="009941AE">
      <w:pPr>
        <w:numPr>
          <w:ilvl w:val="0"/>
          <w:numId w:val="27"/>
        </w:numPr>
        <w:tabs>
          <w:tab w:val="left" w:pos="-2268"/>
          <w:tab w:val="center" w:pos="4320"/>
          <w:tab w:val="left" w:pos="4965"/>
          <w:tab w:val="right" w:pos="8640"/>
          <w:tab w:val="right" w:pos="10773"/>
        </w:tabs>
        <w:spacing w:before="60" w:after="60" w:line="240" w:lineRule="auto"/>
        <w:jc w:val="both"/>
        <w:rPr>
          <w:rFonts w:eastAsia="Calibri" w:cs="Times New Roman"/>
          <w:sz w:val="24"/>
          <w:szCs w:val="24"/>
        </w:rPr>
      </w:pPr>
      <w:r w:rsidRPr="00C1729E">
        <w:rPr>
          <w:rFonts w:eastAsia="Calibri" w:cs="Times New Roman"/>
          <w:sz w:val="24"/>
          <w:szCs w:val="24"/>
        </w:rPr>
        <w:t>utilizarea opțiunilor simplificate (costuri unitare, rată forfetară pentru cheltuielile indirecte).</w:t>
      </w:r>
    </w:p>
    <w:p w14:paraId="10267ED7" w14:textId="77777777" w:rsidR="00B4650E" w:rsidRPr="00C1729E" w:rsidRDefault="00B4650E" w:rsidP="009941AE">
      <w:pPr>
        <w:tabs>
          <w:tab w:val="left" w:pos="540"/>
          <w:tab w:val="center" w:pos="4320"/>
          <w:tab w:val="left" w:pos="4965"/>
          <w:tab w:val="right" w:pos="8640"/>
          <w:tab w:val="right" w:pos="10773"/>
        </w:tabs>
        <w:spacing w:after="60" w:line="240" w:lineRule="auto"/>
        <w:jc w:val="both"/>
        <w:rPr>
          <w:rFonts w:cs="Arial"/>
          <w:i/>
          <w:iCs/>
          <w:color w:val="696969"/>
          <w:sz w:val="17"/>
          <w:szCs w:val="17"/>
          <w:shd w:val="clear" w:color="auto" w:fill="FFFFFF"/>
        </w:rPr>
      </w:pPr>
    </w:p>
    <w:p w14:paraId="2FDCB375" w14:textId="77777777" w:rsidR="00B4650E" w:rsidRPr="00C1729E" w:rsidRDefault="00803B25" w:rsidP="009941AE">
      <w:pPr>
        <w:tabs>
          <w:tab w:val="left" w:pos="540"/>
          <w:tab w:val="center" w:pos="4320"/>
          <w:tab w:val="left" w:pos="4965"/>
          <w:tab w:val="right" w:pos="8640"/>
          <w:tab w:val="right" w:pos="10773"/>
        </w:tabs>
        <w:spacing w:after="60" w:line="240" w:lineRule="auto"/>
        <w:jc w:val="both"/>
        <w:rPr>
          <w:i/>
          <w:color w:val="548DD4" w:themeColor="text2" w:themeTint="99"/>
          <w:sz w:val="24"/>
          <w:szCs w:val="24"/>
        </w:rPr>
      </w:pPr>
      <w:r w:rsidRPr="00C1729E">
        <w:rPr>
          <w:b/>
          <w:color w:val="548DD4" w:themeColor="text2" w:themeTint="99"/>
        </w:rPr>
        <w:t>(c) O evaluare a implementării YEI cu privire la obiectivele și țintele stabilite și la contribuția pentru implementarea garanției pentru tineret</w:t>
      </w:r>
    </w:p>
    <w:p w14:paraId="40DD4F91" w14:textId="77777777" w:rsidR="00060135" w:rsidRPr="00C1729E" w:rsidRDefault="00060135" w:rsidP="009941AE">
      <w:pPr>
        <w:tabs>
          <w:tab w:val="left" w:pos="540"/>
          <w:tab w:val="center" w:pos="4320"/>
          <w:tab w:val="left" w:pos="4965"/>
          <w:tab w:val="right" w:pos="8640"/>
          <w:tab w:val="right" w:pos="10773"/>
        </w:tabs>
        <w:spacing w:before="60" w:after="60" w:line="240" w:lineRule="auto"/>
        <w:jc w:val="both"/>
        <w:rPr>
          <w:sz w:val="24"/>
          <w:szCs w:val="24"/>
        </w:rPr>
      </w:pPr>
      <w:r w:rsidRPr="00C1729E">
        <w:rPr>
          <w:sz w:val="24"/>
          <w:szCs w:val="24"/>
        </w:rPr>
        <w:t xml:space="preserve">În anul 2019 a fost realizat un Raport de evaluare cu privire la implementarea AP1 „Inițiativa Locuri de Muncă pentru Tineri” de către Direcția Generală Programare și Coordonare Sistem din cadrul Ministerului Fondurilor Europene, prin luarea în considerare a celor 4 regiuni eligibile ILMT începând cu 2014, respectiv: regiunea Centru (până în 2015), regiunea </w:t>
      </w:r>
      <w:proofErr w:type="spellStart"/>
      <w:r w:rsidRPr="00C1729E">
        <w:rPr>
          <w:sz w:val="24"/>
          <w:szCs w:val="24"/>
        </w:rPr>
        <w:t>Sud-Est</w:t>
      </w:r>
      <w:proofErr w:type="spellEnd"/>
      <w:r w:rsidRPr="00C1729E">
        <w:rPr>
          <w:sz w:val="24"/>
          <w:szCs w:val="24"/>
        </w:rPr>
        <w:t xml:space="preserve">, regiunea Sud Muntenia și regiunea </w:t>
      </w:r>
      <w:proofErr w:type="spellStart"/>
      <w:r w:rsidRPr="00C1729E">
        <w:rPr>
          <w:sz w:val="24"/>
          <w:szCs w:val="24"/>
        </w:rPr>
        <w:t>Sud-Vest</w:t>
      </w:r>
      <w:proofErr w:type="spellEnd"/>
      <w:r w:rsidRPr="00C1729E">
        <w:rPr>
          <w:sz w:val="24"/>
          <w:szCs w:val="24"/>
        </w:rPr>
        <w:t xml:space="preserve"> Oltenia (din 2017).</w:t>
      </w:r>
    </w:p>
    <w:p w14:paraId="05425322" w14:textId="77777777" w:rsidR="00060135" w:rsidRPr="00C1729E" w:rsidRDefault="00060135" w:rsidP="009941AE">
      <w:pPr>
        <w:tabs>
          <w:tab w:val="left" w:pos="540"/>
          <w:tab w:val="center" w:pos="4320"/>
          <w:tab w:val="left" w:pos="4965"/>
          <w:tab w:val="right" w:pos="8640"/>
          <w:tab w:val="right" w:pos="10773"/>
        </w:tabs>
        <w:spacing w:before="60" w:after="60" w:line="240" w:lineRule="auto"/>
        <w:jc w:val="both"/>
        <w:rPr>
          <w:sz w:val="24"/>
          <w:szCs w:val="24"/>
        </w:rPr>
      </w:pPr>
      <w:r w:rsidRPr="00C1729E">
        <w:rPr>
          <w:sz w:val="24"/>
          <w:szCs w:val="24"/>
        </w:rPr>
        <w:t>De asemenea, la întocmirea reportului de evaluare s-au avut în vedere următoarele aspecte: analiza situat</w:t>
      </w:r>
      <w:r w:rsidRPr="00C1729E">
        <w:rPr>
          <w:rFonts w:cs="Arial"/>
          <w:sz w:val="24"/>
          <w:szCs w:val="24"/>
        </w:rPr>
        <w:t>̦</w:t>
      </w:r>
      <w:r w:rsidRPr="00C1729E">
        <w:rPr>
          <w:sz w:val="24"/>
          <w:szCs w:val="24"/>
        </w:rPr>
        <w:t xml:space="preserve">iei tinerilor </w:t>
      </w:r>
      <w:proofErr w:type="spellStart"/>
      <w:r w:rsidRPr="00C1729E">
        <w:rPr>
          <w:sz w:val="24"/>
          <w:szCs w:val="24"/>
        </w:rPr>
        <w:t>NEETs</w:t>
      </w:r>
      <w:proofErr w:type="spellEnd"/>
      <w:r w:rsidRPr="00C1729E">
        <w:rPr>
          <w:sz w:val="24"/>
          <w:szCs w:val="24"/>
        </w:rPr>
        <w:t>, strategia de implementare a AP1 (inclusiv relevanța grupurilor țintă și complementaritatea activităților planificate), sistemul de implementare a AP1 (inclusiv activitățile planificate și derulate), eficacitatea și eficiența intervențiilor.</w:t>
      </w:r>
    </w:p>
    <w:p w14:paraId="5C7BF094" w14:textId="77777777" w:rsidR="00060135" w:rsidRPr="00C1729E" w:rsidRDefault="00060135" w:rsidP="009941AE">
      <w:pPr>
        <w:tabs>
          <w:tab w:val="left" w:pos="540"/>
          <w:tab w:val="center" w:pos="4320"/>
          <w:tab w:val="left" w:pos="4965"/>
          <w:tab w:val="right" w:pos="8640"/>
          <w:tab w:val="right" w:pos="10773"/>
        </w:tabs>
        <w:spacing w:before="60" w:after="0" w:line="240" w:lineRule="auto"/>
        <w:jc w:val="both"/>
        <w:rPr>
          <w:sz w:val="24"/>
          <w:szCs w:val="24"/>
        </w:rPr>
      </w:pPr>
      <w:r w:rsidRPr="00C1729E">
        <w:rPr>
          <w:sz w:val="24"/>
          <w:szCs w:val="24"/>
        </w:rPr>
        <w:t xml:space="preserve">Colectarea datelor s-a făcut prin intermediul unor interviurilor și focus grupurilor organizate cu instituțiile centrale relevante (ministere și Serviciul Public de Ocupare), precum și cu </w:t>
      </w:r>
      <w:r w:rsidRPr="00C1729E">
        <w:rPr>
          <w:sz w:val="24"/>
          <w:szCs w:val="24"/>
        </w:rPr>
        <w:tab/>
        <w:t xml:space="preserve">instituțiile regionale și locale relevante. Este de menționat ca au fost avuți în vedere beneficiarii proiectelor aflate în implementare, partenerii din proiectele finalizate, potențialii beneficiari – foștii beneficiari de proiecte similare în cadrul Programului Operațional Sectorial Dezvoltarea Resurselor Umane, </w:t>
      </w:r>
      <w:proofErr w:type="spellStart"/>
      <w:r w:rsidRPr="00C1729E">
        <w:rPr>
          <w:sz w:val="24"/>
          <w:szCs w:val="24"/>
        </w:rPr>
        <w:t>aplicanți</w:t>
      </w:r>
      <w:proofErr w:type="spellEnd"/>
      <w:r w:rsidRPr="00C1729E">
        <w:rPr>
          <w:sz w:val="24"/>
          <w:szCs w:val="24"/>
        </w:rPr>
        <w:t xml:space="preserve"> respinși, dar și focus grupuri cu tineri </w:t>
      </w:r>
      <w:proofErr w:type="spellStart"/>
      <w:r w:rsidRPr="00C1729E">
        <w:rPr>
          <w:sz w:val="24"/>
          <w:szCs w:val="24"/>
        </w:rPr>
        <w:t>NEETs</w:t>
      </w:r>
      <w:proofErr w:type="spellEnd"/>
      <w:r w:rsidRPr="00C1729E">
        <w:rPr>
          <w:sz w:val="24"/>
          <w:szCs w:val="24"/>
        </w:rPr>
        <w:t xml:space="preserve"> sprijiniți, reprezentanții Organismului Intermediar Regional Piatra-Neamț.</w:t>
      </w:r>
    </w:p>
    <w:p w14:paraId="19C94492" w14:textId="77777777" w:rsidR="00060135" w:rsidRPr="00C1729E" w:rsidRDefault="00060135" w:rsidP="009941AE">
      <w:pPr>
        <w:tabs>
          <w:tab w:val="left" w:pos="540"/>
          <w:tab w:val="center" w:pos="4320"/>
          <w:tab w:val="left" w:pos="4965"/>
          <w:tab w:val="right" w:pos="8640"/>
          <w:tab w:val="right" w:pos="10773"/>
        </w:tabs>
        <w:spacing w:before="60" w:after="0" w:line="240" w:lineRule="auto"/>
        <w:jc w:val="both"/>
        <w:rPr>
          <w:sz w:val="24"/>
          <w:szCs w:val="24"/>
        </w:rPr>
      </w:pPr>
      <w:r w:rsidRPr="00C1729E">
        <w:rPr>
          <w:sz w:val="24"/>
          <w:szCs w:val="24"/>
        </w:rPr>
        <w:t xml:space="preserve">Având în vedere implementarea deficitară a AP1 și a unei contractări scăzute, nu au fost atinși indicatorii și a obiectivele de program. La nivelul proiectelor contractate, rata de îndeplinire a indicatorului legat de tineri </w:t>
      </w:r>
      <w:proofErr w:type="spellStart"/>
      <w:r w:rsidRPr="00C1729E">
        <w:rPr>
          <w:sz w:val="24"/>
          <w:szCs w:val="24"/>
        </w:rPr>
        <w:t>NEETs</w:t>
      </w:r>
      <w:proofErr w:type="spellEnd"/>
      <w:r w:rsidRPr="00C1729E">
        <w:rPr>
          <w:sz w:val="24"/>
          <w:szCs w:val="24"/>
        </w:rPr>
        <w:t xml:space="preserve"> șomeri cu vârsta cuprinsă între 16-24 de ani care beneficiază de sprijin a fost depășită.</w:t>
      </w:r>
    </w:p>
    <w:p w14:paraId="5958509B" w14:textId="77777777" w:rsidR="00060135" w:rsidRPr="00C1729E" w:rsidRDefault="00060135" w:rsidP="009941AE">
      <w:pPr>
        <w:tabs>
          <w:tab w:val="left" w:pos="540"/>
          <w:tab w:val="center" w:pos="4320"/>
          <w:tab w:val="left" w:pos="4965"/>
          <w:tab w:val="right" w:pos="8640"/>
          <w:tab w:val="left" w:pos="9639"/>
          <w:tab w:val="right" w:pos="10773"/>
        </w:tabs>
        <w:spacing w:before="60" w:after="60" w:line="240" w:lineRule="auto"/>
        <w:jc w:val="both"/>
        <w:rPr>
          <w:sz w:val="24"/>
          <w:szCs w:val="24"/>
        </w:rPr>
      </w:pPr>
      <w:r w:rsidRPr="00C1729E">
        <w:rPr>
          <w:sz w:val="24"/>
          <w:szCs w:val="24"/>
        </w:rPr>
        <w:t>Ca urmare a acestei evaluări, au fost făcute o serie de recomandări necesar a fi avute în vedere pentru eficientizarea implementării AP1 dar și AP2, dar mai ales pentru viitoarele documente programatice.</w:t>
      </w:r>
    </w:p>
    <w:p w14:paraId="2C1933A9" w14:textId="77777777" w:rsidR="00060135" w:rsidRPr="00C1729E" w:rsidRDefault="00060135" w:rsidP="009941AE">
      <w:p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t>Aceste recomandări s-au referit la următoarele aspecte:</w:t>
      </w:r>
    </w:p>
    <w:p w14:paraId="5DDF9CB4" w14:textId="77777777" w:rsidR="00060135" w:rsidRPr="00C1729E" w:rsidRDefault="00060135" w:rsidP="009941AE">
      <w:pPr>
        <w:numPr>
          <w:ilvl w:val="0"/>
          <w:numId w:val="28"/>
        </w:num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t xml:space="preserve">accelerarea implementării proiectului INTESPO astfel încât să se poată pune la dispoziția potențialilor beneficiari bază de date referitoare la tinerii </w:t>
      </w:r>
      <w:proofErr w:type="spellStart"/>
      <w:r w:rsidRPr="00C1729E">
        <w:rPr>
          <w:sz w:val="24"/>
          <w:szCs w:val="24"/>
        </w:rPr>
        <w:t>NEETs</w:t>
      </w:r>
      <w:proofErr w:type="spellEnd"/>
      <w:r w:rsidRPr="00C1729E">
        <w:rPr>
          <w:sz w:val="24"/>
          <w:szCs w:val="24"/>
        </w:rPr>
        <w:t>;</w:t>
      </w:r>
    </w:p>
    <w:p w14:paraId="668B9C13" w14:textId="77777777" w:rsidR="00060135" w:rsidRPr="00C1729E" w:rsidRDefault="00060135" w:rsidP="009941AE">
      <w:pPr>
        <w:numPr>
          <w:ilvl w:val="0"/>
          <w:numId w:val="28"/>
        </w:num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lastRenderedPageBreak/>
        <w:t xml:space="preserve">modificarea țintelor stabilite ca urmare a scăderii numărului tinerilor </w:t>
      </w:r>
      <w:proofErr w:type="spellStart"/>
      <w:r w:rsidRPr="00C1729E">
        <w:rPr>
          <w:sz w:val="24"/>
          <w:szCs w:val="24"/>
        </w:rPr>
        <w:t>NEETs</w:t>
      </w:r>
      <w:proofErr w:type="spellEnd"/>
      <w:r w:rsidRPr="00C1729E">
        <w:rPr>
          <w:sz w:val="24"/>
          <w:szCs w:val="24"/>
        </w:rPr>
        <w:t xml:space="preserve"> la nivel național;</w:t>
      </w:r>
    </w:p>
    <w:p w14:paraId="14EF7A51" w14:textId="77777777" w:rsidR="00060135" w:rsidRPr="00C1729E" w:rsidRDefault="00060135" w:rsidP="009941AE">
      <w:pPr>
        <w:numPr>
          <w:ilvl w:val="0"/>
          <w:numId w:val="28"/>
        </w:num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t>reanalizarea Planului de Implementare a Garanției pentru Tineri 2017-2020 și ajustarea acestuia în funcție de o planificare realistă a acțiunilor fezabile în cadrul de timp la dispoziție;</w:t>
      </w:r>
    </w:p>
    <w:p w14:paraId="4234411B" w14:textId="77777777" w:rsidR="00060135" w:rsidRPr="00C1729E" w:rsidRDefault="00060135" w:rsidP="009941AE">
      <w:pPr>
        <w:numPr>
          <w:ilvl w:val="0"/>
          <w:numId w:val="28"/>
        </w:num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t xml:space="preserve">organizarea de noi apeluri competitive, în care să fie implicați tinerii </w:t>
      </w:r>
      <w:proofErr w:type="spellStart"/>
      <w:r w:rsidRPr="00C1729E">
        <w:rPr>
          <w:sz w:val="24"/>
          <w:szCs w:val="24"/>
        </w:rPr>
        <w:t>NEETs</w:t>
      </w:r>
      <w:proofErr w:type="spellEnd"/>
      <w:r w:rsidRPr="00C1729E">
        <w:rPr>
          <w:sz w:val="24"/>
          <w:szCs w:val="24"/>
        </w:rPr>
        <w:t xml:space="preserve"> deja înregistrați la Serviciul Public de Ocupare, cu menținerea activității de motivare a grupului țintă drept activitate eligibilă. </w:t>
      </w:r>
    </w:p>
    <w:p w14:paraId="69B26DD1" w14:textId="77777777" w:rsidR="00060135" w:rsidRPr="00C1729E" w:rsidRDefault="00060135" w:rsidP="009941AE">
      <w:pPr>
        <w:numPr>
          <w:ilvl w:val="0"/>
          <w:numId w:val="28"/>
        </w:num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t>reanalizarea metodologiei de formulare a țintelor indicatorilor și a asumpțiilor acestora, având în vedere că istoric rata de angajare a acestui grup țintă a fost de 12-15% în proiectele pilot ale Garanției pentru Tineri, precum și provocările pe care le înregistrează și Agenția Națională pentru Ocuparea Forței de Muncă din aceeași perspectivă.</w:t>
      </w:r>
    </w:p>
    <w:p w14:paraId="7D2BCFED" w14:textId="77777777" w:rsidR="00060135" w:rsidRPr="00C1729E" w:rsidRDefault="00060135" w:rsidP="009941AE">
      <w:pPr>
        <w:numPr>
          <w:ilvl w:val="0"/>
          <w:numId w:val="28"/>
        </w:numPr>
        <w:tabs>
          <w:tab w:val="left" w:pos="540"/>
          <w:tab w:val="center" w:pos="4320"/>
          <w:tab w:val="left" w:pos="4965"/>
          <w:tab w:val="right" w:pos="8640"/>
          <w:tab w:val="left" w:pos="9639"/>
          <w:tab w:val="right" w:pos="10773"/>
        </w:tabs>
        <w:spacing w:after="0" w:line="240" w:lineRule="auto"/>
        <w:jc w:val="both"/>
        <w:rPr>
          <w:sz w:val="24"/>
          <w:szCs w:val="24"/>
        </w:rPr>
      </w:pPr>
      <w:r w:rsidRPr="00C1729E">
        <w:rPr>
          <w:sz w:val="24"/>
          <w:szCs w:val="24"/>
        </w:rPr>
        <w:t>sprijinirea și stimularea suplimentară a inspectoratelor școlare în vederea formulării și implementării de proiecte care să permită reîntoarcerea la școală a celor care nu și-au terminat învățământul obligatoriu.</w:t>
      </w:r>
    </w:p>
    <w:p w14:paraId="14D4B19C" w14:textId="77777777" w:rsidR="003B796A" w:rsidRPr="00C1729E" w:rsidRDefault="003B796A" w:rsidP="009941AE">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p>
    <w:p w14:paraId="3EAE608C" w14:textId="77777777" w:rsidR="007809D7" w:rsidRPr="00C1729E" w:rsidRDefault="007809D7" w:rsidP="009941AE">
      <w:pPr>
        <w:spacing w:after="60" w:line="240" w:lineRule="auto"/>
        <w:jc w:val="center"/>
        <w:rPr>
          <w:rFonts w:cs="Arial"/>
          <w:b/>
          <w:bCs/>
          <w:caps/>
          <w:color w:val="083864"/>
          <w:sz w:val="21"/>
          <w:szCs w:val="21"/>
          <w:shd w:val="clear" w:color="auto" w:fill="FFFFFF"/>
        </w:rPr>
      </w:pPr>
      <w:r w:rsidRPr="00C1729E">
        <w:rPr>
          <w:rFonts w:cs="Arial"/>
          <w:b/>
          <w:bCs/>
          <w:caps/>
          <w:color w:val="083864"/>
          <w:sz w:val="21"/>
          <w:szCs w:val="21"/>
          <w:shd w:val="clear" w:color="auto" w:fill="FFFFFF"/>
        </w:rPr>
        <w:t>PARTEA III</w:t>
      </w:r>
    </w:p>
    <w:p w14:paraId="42BAC183" w14:textId="77777777" w:rsidR="007809D7" w:rsidRPr="00C1729E" w:rsidRDefault="007809D7" w:rsidP="009941AE">
      <w:pPr>
        <w:spacing w:after="60" w:line="240" w:lineRule="auto"/>
        <w:jc w:val="center"/>
        <w:rPr>
          <w:rFonts w:cs="Arial"/>
          <w:b/>
          <w:bCs/>
          <w:caps/>
          <w:color w:val="083864"/>
          <w:shd w:val="clear" w:color="auto" w:fill="FFFFFF"/>
        </w:rPr>
      </w:pPr>
      <w:r w:rsidRPr="00C1729E">
        <w:rPr>
          <w:rFonts w:cs="Arial"/>
          <w:b/>
          <w:bCs/>
          <w:color w:val="083864"/>
          <w:shd w:val="clear" w:color="auto" w:fill="FFFFFF"/>
        </w:rPr>
        <w:t>Informațiile și evaluările care trebuie să fie oferite pentru Politica de coeziune în cazul în care se recurge la opțiunea prevăzută la articolul 111 alineatul (4) din regulamentul (UE) nr. 1303/2013 de a include anumite elemente din rapoartele anuale de implementare în raportul privind progresele înregistrate — care trebuie să fie prezentate în 2017 și 2019</w:t>
      </w:r>
    </w:p>
    <w:p w14:paraId="119E9296" w14:textId="77777777" w:rsidR="007809D7" w:rsidRPr="00C1729E" w:rsidRDefault="007809D7" w:rsidP="009941AE">
      <w:pPr>
        <w:spacing w:after="60" w:line="240" w:lineRule="auto"/>
        <w:jc w:val="both"/>
        <w:rPr>
          <w:rFonts w:cs="Arial"/>
          <w:b/>
          <w:bCs/>
          <w:caps/>
          <w:color w:val="083864"/>
          <w:sz w:val="21"/>
          <w:szCs w:val="21"/>
          <w:shd w:val="clear" w:color="auto" w:fill="FFFFFF"/>
        </w:rPr>
      </w:pPr>
    </w:p>
    <w:p w14:paraId="0B6A4FB9" w14:textId="77777777" w:rsidR="007809D7" w:rsidRPr="00C1729E" w:rsidRDefault="007809D7" w:rsidP="009941AE">
      <w:pPr>
        <w:spacing w:after="60" w:line="240" w:lineRule="auto"/>
        <w:jc w:val="both"/>
        <w:rPr>
          <w:rFonts w:cs="Arial"/>
          <w:b/>
          <w:bCs/>
          <w:caps/>
          <w:color w:val="083864"/>
          <w:shd w:val="clear" w:color="auto" w:fill="FFFFFF"/>
        </w:rPr>
      </w:pPr>
      <w:r w:rsidRPr="00C1729E">
        <w:rPr>
          <w:rFonts w:cs="Arial"/>
          <w:b/>
          <w:bCs/>
          <w:caps/>
          <w:color w:val="083864"/>
          <w:shd w:val="clear" w:color="auto" w:fill="FFFFFF"/>
        </w:rPr>
        <w:t xml:space="preserve">11. </w:t>
      </w:r>
      <w:r w:rsidRPr="00C1729E">
        <w:rPr>
          <w:rFonts w:cs="Arial"/>
          <w:b/>
          <w:bCs/>
          <w:color w:val="083864"/>
          <w:shd w:val="clear" w:color="auto" w:fill="FFFFFF"/>
        </w:rPr>
        <w:t>Informații și evaluări suplimentare care pot fi adăugate în funcție de conținutul și de obiectivele programului operațional [articolul 111 alineatul (4) din regulamentul (UE) nr. 1303/2013, incluse, dacă este necesar, pentru a completa alte secțiuni din raportul privind progresele înregistrate</w:t>
      </w:r>
    </w:p>
    <w:p w14:paraId="08812DC6" w14:textId="77777777" w:rsidR="003D1D44" w:rsidRPr="00C1729E" w:rsidRDefault="003D1D44" w:rsidP="009941AE">
      <w:pPr>
        <w:spacing w:after="60" w:line="240" w:lineRule="auto"/>
        <w:jc w:val="both"/>
        <w:rPr>
          <w:sz w:val="24"/>
          <w:szCs w:val="24"/>
        </w:rPr>
      </w:pPr>
      <w:r w:rsidRPr="00C1729E">
        <w:rPr>
          <w:sz w:val="24"/>
          <w:szCs w:val="24"/>
        </w:rPr>
        <w:t xml:space="preserve">Pentru perioada de programare 2014-2020 au fost  elaborate două tipuri de planuri de evaluare: unul la nivelul Acordului de Parteneriat și la nivelul fiecărui PO, continuând astfel abordarea evaluării utilizată în cadrul financiar precedent. </w:t>
      </w:r>
    </w:p>
    <w:p w14:paraId="5EC5B5EE" w14:textId="77777777" w:rsidR="003D1D44" w:rsidRPr="00C1729E" w:rsidRDefault="003D1D44" w:rsidP="009941AE">
      <w:pPr>
        <w:spacing w:after="60" w:line="240" w:lineRule="auto"/>
        <w:jc w:val="both"/>
        <w:rPr>
          <w:sz w:val="24"/>
          <w:szCs w:val="24"/>
        </w:rPr>
      </w:pPr>
      <w:r w:rsidRPr="00C1729E">
        <w:rPr>
          <w:sz w:val="24"/>
          <w:szCs w:val="24"/>
        </w:rPr>
        <w:t xml:space="preserve">În timp ce planul de evaluare la nivelul AP include teme aferente efectelor la nivelul politicii de nivel înalt (macro), relevanța nevoilor de dezvoltare și eficacitatea mecanismelor de implementare, planurile de evaluare la nivelul PO sunt orientate în mod specific pe nivelurile meso și micro ale cadrului de politici, respectiv la nivel de proiect şi axă prioritară. Pentru toate evaluările sunt avute în vedere patru dimensiuni: spațială, sectorială, instituțională şi grupurile țintă. </w:t>
      </w:r>
    </w:p>
    <w:p w14:paraId="61E163B8" w14:textId="77777777" w:rsidR="003D1D44" w:rsidRPr="00C1729E" w:rsidRDefault="003D1D44" w:rsidP="009941AE">
      <w:pPr>
        <w:spacing w:after="60" w:line="240" w:lineRule="auto"/>
        <w:jc w:val="both"/>
        <w:rPr>
          <w:sz w:val="24"/>
          <w:szCs w:val="24"/>
        </w:rPr>
      </w:pPr>
      <w:r w:rsidRPr="00C1729E">
        <w:rPr>
          <w:sz w:val="24"/>
          <w:szCs w:val="24"/>
        </w:rPr>
        <w:t>Planurile de Evaluare pentru programele operaţionale sunt organizate pe teme de evaluare care acoperă obiectivele specifice ale programelor, precum și o sinteză a evaluărilor. În anumite cazuri, mai multe obiective specifice au fost grupate în cadrul unei teme de evaluare în baza similarității intervențiilor, a grupurilor țintă  sau a rezultatelor preconizate.</w:t>
      </w:r>
    </w:p>
    <w:p w14:paraId="1EBB7824" w14:textId="77777777" w:rsidR="003D1D44" w:rsidRPr="00C1729E" w:rsidRDefault="003D1D44" w:rsidP="009941AE">
      <w:pPr>
        <w:spacing w:after="60" w:line="240" w:lineRule="auto"/>
        <w:jc w:val="both"/>
        <w:rPr>
          <w:sz w:val="24"/>
          <w:szCs w:val="24"/>
        </w:rPr>
      </w:pPr>
      <w:r w:rsidRPr="00C1729E">
        <w:rPr>
          <w:sz w:val="24"/>
          <w:szCs w:val="24"/>
        </w:rPr>
        <w:t xml:space="preserve">Evaluările stabilite la nivelul acordului de parteneriat acoperă următoarele teme: evaluarea contribuției la coeziunea economică, socială și teritorială, evaluarea relevanței nevoilor de dezvoltare și a contribuției la îndeplinirea obiectivelor tematice și recomandărilor specifice de țară, evaluarea aplicării principiilor orizontale, evaluarea mecanismelor și capacității de implementare a Fondurilor ESI, evaluarea progresului în îndeplinirea indicatorilor din cadrul de performanță. </w:t>
      </w:r>
    </w:p>
    <w:p w14:paraId="18FCBEF1" w14:textId="77777777" w:rsidR="003D1D44" w:rsidRPr="00C1729E" w:rsidRDefault="003D1D44" w:rsidP="009941AE">
      <w:pPr>
        <w:spacing w:after="60" w:line="240" w:lineRule="auto"/>
        <w:jc w:val="both"/>
        <w:rPr>
          <w:sz w:val="24"/>
          <w:szCs w:val="24"/>
        </w:rPr>
      </w:pPr>
      <w:r w:rsidRPr="00C1729E">
        <w:rPr>
          <w:sz w:val="24"/>
          <w:szCs w:val="24"/>
        </w:rPr>
        <w:t xml:space="preserve">Planurile de evaluare au fost elaborate și aprobate în cadrul CCMAP, respectiv în Comitetele de monitorizare ale programelor operaţionale. </w:t>
      </w:r>
    </w:p>
    <w:p w14:paraId="3335F06E" w14:textId="77777777" w:rsidR="00FF2004" w:rsidRPr="00C1729E" w:rsidRDefault="003D1D44" w:rsidP="009941AE">
      <w:pPr>
        <w:spacing w:after="60" w:line="240" w:lineRule="auto"/>
        <w:jc w:val="both"/>
        <w:rPr>
          <w:sz w:val="24"/>
          <w:szCs w:val="24"/>
        </w:rPr>
      </w:pPr>
      <w:r w:rsidRPr="00C1729E">
        <w:rPr>
          <w:sz w:val="24"/>
          <w:szCs w:val="24"/>
        </w:rPr>
        <w:t>În vederea susținerii activității de evaluare a fost constituit un Comitetul de Coordonare a Evaluării pentru fiecare program şi pentru acordul de parteneriat.</w:t>
      </w:r>
    </w:p>
    <w:p w14:paraId="37556D60" w14:textId="77777777" w:rsidR="00FF2004" w:rsidRPr="00C1729E" w:rsidRDefault="00FF2004" w:rsidP="009941AE">
      <w:pPr>
        <w:spacing w:after="60" w:line="240" w:lineRule="auto"/>
        <w:jc w:val="both"/>
        <w:rPr>
          <w:sz w:val="24"/>
          <w:szCs w:val="24"/>
        </w:rPr>
      </w:pPr>
      <w:bookmarkStart w:id="16" w:name="_GoBack"/>
      <w:bookmarkEnd w:id="16"/>
    </w:p>
    <w:sectPr w:rsidR="00FF2004" w:rsidRPr="00C1729E" w:rsidSect="006340A3">
      <w:footerReference w:type="default" r:id="rId16"/>
      <w:pgSz w:w="11906" w:h="16838"/>
      <w:pgMar w:top="851" w:right="991" w:bottom="993" w:left="1276" w:header="708" w:footer="42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51C5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BF5A6" w14:textId="77777777" w:rsidR="00D45ADA" w:rsidRDefault="00D45ADA" w:rsidP="0038755F">
      <w:pPr>
        <w:spacing w:after="0" w:line="240" w:lineRule="auto"/>
      </w:pPr>
      <w:r>
        <w:separator/>
      </w:r>
    </w:p>
  </w:endnote>
  <w:endnote w:type="continuationSeparator" w:id="0">
    <w:p w14:paraId="3727FA27" w14:textId="77777777" w:rsidR="00D45ADA" w:rsidRDefault="00D45ADA" w:rsidP="0038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482631"/>
      <w:docPartObj>
        <w:docPartGallery w:val="Page Numbers (Bottom of Page)"/>
        <w:docPartUnique/>
      </w:docPartObj>
    </w:sdtPr>
    <w:sdtEndPr>
      <w:rPr>
        <w:noProof/>
      </w:rPr>
    </w:sdtEndPr>
    <w:sdtContent>
      <w:p w14:paraId="6EE043B4" w14:textId="77777777" w:rsidR="00EF7191" w:rsidRDefault="00EF7191">
        <w:pPr>
          <w:pStyle w:val="Footer"/>
          <w:jc w:val="right"/>
        </w:pPr>
        <w:r>
          <w:fldChar w:fldCharType="begin"/>
        </w:r>
        <w:r>
          <w:instrText xml:space="preserve"> PAGE   \* MERGEFORMAT </w:instrText>
        </w:r>
        <w:r>
          <w:fldChar w:fldCharType="separate"/>
        </w:r>
        <w:r w:rsidR="009941AE">
          <w:rPr>
            <w:noProof/>
          </w:rPr>
          <w:t>49</w:t>
        </w:r>
        <w:r>
          <w:rPr>
            <w:noProof/>
          </w:rPr>
          <w:fldChar w:fldCharType="end"/>
        </w:r>
      </w:p>
    </w:sdtContent>
  </w:sdt>
  <w:p w14:paraId="2C92383E" w14:textId="77777777" w:rsidR="00EF7191" w:rsidRDefault="00EF7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C3BE6" w14:textId="77777777" w:rsidR="00D45ADA" w:rsidRDefault="00D45ADA" w:rsidP="0038755F">
      <w:pPr>
        <w:spacing w:after="0" w:line="240" w:lineRule="auto"/>
      </w:pPr>
      <w:r>
        <w:separator/>
      </w:r>
    </w:p>
  </w:footnote>
  <w:footnote w:type="continuationSeparator" w:id="0">
    <w:p w14:paraId="3A38FBC0" w14:textId="77777777" w:rsidR="00D45ADA" w:rsidRDefault="00D45ADA" w:rsidP="00387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31"/>
    <w:multiLevelType w:val="hybridMultilevel"/>
    <w:tmpl w:val="B690534A"/>
    <w:lvl w:ilvl="0" w:tplc="DC286C40">
      <w:start w:val="1"/>
      <w:numFmt w:val="bullet"/>
      <w:lvlText w:val="-"/>
      <w:lvlJc w:val="left"/>
      <w:pPr>
        <w:ind w:left="720" w:hanging="360"/>
      </w:pPr>
      <w:rPr>
        <w:rFonts w:ascii="Calibri" w:eastAsiaTheme="minorHAnsi" w:hAnsi="Calibri"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0F33A3"/>
    <w:multiLevelType w:val="hybridMultilevel"/>
    <w:tmpl w:val="7B807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15E48"/>
    <w:multiLevelType w:val="hybridMultilevel"/>
    <w:tmpl w:val="62DC0C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2D2840"/>
    <w:multiLevelType w:val="hybridMultilevel"/>
    <w:tmpl w:val="A540FC5A"/>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B696AD9"/>
    <w:multiLevelType w:val="hybridMultilevel"/>
    <w:tmpl w:val="4734E72A"/>
    <w:lvl w:ilvl="0" w:tplc="0BAC23FE">
      <w:numFmt w:val="bullet"/>
      <w:lvlText w:val=""/>
      <w:lvlJc w:val="left"/>
      <w:pPr>
        <w:ind w:left="1065" w:hanging="705"/>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C1067A0"/>
    <w:multiLevelType w:val="hybridMultilevel"/>
    <w:tmpl w:val="9BA491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E563024"/>
    <w:multiLevelType w:val="hybridMultilevel"/>
    <w:tmpl w:val="09484A94"/>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4631CA"/>
    <w:multiLevelType w:val="hybridMultilevel"/>
    <w:tmpl w:val="C12C52A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FB77FF0"/>
    <w:multiLevelType w:val="hybridMultilevel"/>
    <w:tmpl w:val="CC14D8BE"/>
    <w:lvl w:ilvl="0" w:tplc="1B1A0964">
      <w:start w:val="1"/>
      <w:numFmt w:val="decimal"/>
      <w:lvlText w:val="%1."/>
      <w:lvlJc w:val="center"/>
      <w:pPr>
        <w:ind w:left="360" w:hanging="360"/>
      </w:pPr>
      <w:rPr>
        <w:rFonts w:hint="default"/>
      </w:rPr>
    </w:lvl>
    <w:lvl w:ilvl="1" w:tplc="04180019">
      <w:start w:val="1"/>
      <w:numFmt w:val="lowerLetter"/>
      <w:lvlText w:val="%2."/>
      <w:lvlJc w:val="left"/>
      <w:pPr>
        <w:ind w:left="1080" w:hanging="360"/>
      </w:pPr>
    </w:lvl>
    <w:lvl w:ilvl="2" w:tplc="04180019">
      <w:start w:val="1"/>
      <w:numFmt w:val="lowerLetter"/>
      <w:lvlText w:val="%3."/>
      <w:lvlJc w:val="lef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9">
    <w:nsid w:val="11397A15"/>
    <w:multiLevelType w:val="hybridMultilevel"/>
    <w:tmpl w:val="AC12B066"/>
    <w:lvl w:ilvl="0" w:tplc="0BAC23FE">
      <w:numFmt w:val="bullet"/>
      <w:lvlText w:val=""/>
      <w:lvlJc w:val="left"/>
      <w:pPr>
        <w:ind w:left="720" w:hanging="360"/>
      </w:pPr>
      <w:rPr>
        <w:rFonts w:ascii="Symbol" w:eastAsiaTheme="minorHAnsi" w:hAnsi="Symbol"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175783E"/>
    <w:multiLevelType w:val="hybridMultilevel"/>
    <w:tmpl w:val="982C3D76"/>
    <w:lvl w:ilvl="0" w:tplc="04090003">
      <w:start w:val="1"/>
      <w:numFmt w:val="bullet"/>
      <w:lvlText w:val="o"/>
      <w:lvlJc w:val="left"/>
      <w:pPr>
        <w:ind w:left="78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96B4F"/>
    <w:multiLevelType w:val="hybridMultilevel"/>
    <w:tmpl w:val="BA76BEB2"/>
    <w:lvl w:ilvl="0" w:tplc="BD10939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6BF587C"/>
    <w:multiLevelType w:val="hybridMultilevel"/>
    <w:tmpl w:val="A2A2C5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C0F237A"/>
    <w:multiLevelType w:val="hybridMultilevel"/>
    <w:tmpl w:val="7096CA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D4C1FDA"/>
    <w:multiLevelType w:val="hybridMultilevel"/>
    <w:tmpl w:val="CC6023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E2C44B8"/>
    <w:multiLevelType w:val="hybridMultilevel"/>
    <w:tmpl w:val="34228176"/>
    <w:lvl w:ilvl="0" w:tplc="03CE397E">
      <w:start w:val="1"/>
      <w:numFmt w:val="bullet"/>
      <w:lvlText w:val="–"/>
      <w:lvlJc w:val="left"/>
      <w:pPr>
        <w:ind w:left="1068" w:hanging="360"/>
      </w:pPr>
      <w:rPr>
        <w:rFonts w:ascii="Courier New" w:hAnsi="Courier New"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6">
    <w:nsid w:val="1E560EFA"/>
    <w:multiLevelType w:val="hybridMultilevel"/>
    <w:tmpl w:val="06F411AC"/>
    <w:lvl w:ilvl="0" w:tplc="A1548A02">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475632A"/>
    <w:multiLevelType w:val="hybridMultilevel"/>
    <w:tmpl w:val="2D0A40C4"/>
    <w:lvl w:ilvl="0" w:tplc="956E4B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7871E17"/>
    <w:multiLevelType w:val="hybridMultilevel"/>
    <w:tmpl w:val="0B88C46C"/>
    <w:lvl w:ilvl="0" w:tplc="03CE397E">
      <w:start w:val="1"/>
      <w:numFmt w:val="bullet"/>
      <w:lvlText w:val="–"/>
      <w:lvlJc w:val="left"/>
      <w:pPr>
        <w:ind w:left="720" w:hanging="360"/>
      </w:pPr>
      <w:rPr>
        <w:rFonts w:ascii="Courier New" w:hAnsi="Courier New"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7F05A8A"/>
    <w:multiLevelType w:val="hybridMultilevel"/>
    <w:tmpl w:val="32F671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9607A82"/>
    <w:multiLevelType w:val="hybridMultilevel"/>
    <w:tmpl w:val="DFF67D0C"/>
    <w:lvl w:ilvl="0" w:tplc="04180001">
      <w:start w:val="1"/>
      <w:numFmt w:val="bullet"/>
      <w:lvlText w:val=""/>
      <w:lvlJc w:val="left"/>
      <w:pPr>
        <w:ind w:left="1080" w:hanging="360"/>
      </w:pPr>
      <w:rPr>
        <w:rFonts w:ascii="Symbol" w:hAnsi="Symbol" w:hint="default"/>
      </w:rPr>
    </w:lvl>
    <w:lvl w:ilvl="1" w:tplc="9790E9D8">
      <w:numFmt w:val="bullet"/>
      <w:lvlText w:val="–"/>
      <w:lvlJc w:val="left"/>
      <w:pPr>
        <w:ind w:left="2148" w:hanging="708"/>
      </w:pPr>
      <w:rPr>
        <w:rFonts w:ascii="Calibri" w:eastAsiaTheme="minorHAnsi" w:hAnsi="Calibri" w:cstheme="minorBidi"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2F0E66A7"/>
    <w:multiLevelType w:val="hybridMultilevel"/>
    <w:tmpl w:val="9D08B6D2"/>
    <w:lvl w:ilvl="0" w:tplc="03CE397E">
      <w:start w:val="1"/>
      <w:numFmt w:val="bullet"/>
      <w:lvlText w:val="–"/>
      <w:lvlJc w:val="left"/>
      <w:pPr>
        <w:ind w:left="1428" w:hanging="360"/>
      </w:pPr>
      <w:rPr>
        <w:rFonts w:ascii="Courier New" w:hAnsi="Courier New"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
    <w:nsid w:val="307A658F"/>
    <w:multiLevelType w:val="hybridMultilevel"/>
    <w:tmpl w:val="B868EDE4"/>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170CF9"/>
    <w:multiLevelType w:val="hybridMultilevel"/>
    <w:tmpl w:val="B61017E6"/>
    <w:lvl w:ilvl="0" w:tplc="03CE397E">
      <w:start w:val="1"/>
      <w:numFmt w:val="bullet"/>
      <w:lvlText w:val="–"/>
      <w:lvlJc w:val="left"/>
      <w:pPr>
        <w:ind w:left="1440" w:hanging="360"/>
      </w:pPr>
      <w:rPr>
        <w:rFonts w:ascii="Courier New" w:hAnsi="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nsid w:val="388E4E7A"/>
    <w:multiLevelType w:val="hybridMultilevel"/>
    <w:tmpl w:val="4274EA90"/>
    <w:lvl w:ilvl="0" w:tplc="E778ACD6">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98305C3"/>
    <w:multiLevelType w:val="hybridMultilevel"/>
    <w:tmpl w:val="7C0428B8"/>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6">
    <w:nsid w:val="3EF16BB2"/>
    <w:multiLevelType w:val="hybridMultilevel"/>
    <w:tmpl w:val="0C42851A"/>
    <w:lvl w:ilvl="0" w:tplc="5148A98C">
      <w:start w:val="1"/>
      <w:numFmt w:val="upperLetter"/>
      <w:lvlText w:val="%1."/>
      <w:lvlJc w:val="left"/>
      <w:pPr>
        <w:ind w:left="1140" w:hanging="360"/>
      </w:pPr>
      <w:rPr>
        <w:rFonts w:eastAsia="Times New Roman" w:cstheme="minorHAnsi" w:hint="default"/>
        <w:b/>
        <w:sz w:val="22"/>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7">
    <w:nsid w:val="3F514208"/>
    <w:multiLevelType w:val="hybridMultilevel"/>
    <w:tmpl w:val="E1680272"/>
    <w:lvl w:ilvl="0" w:tplc="03CE397E">
      <w:start w:val="1"/>
      <w:numFmt w:val="bullet"/>
      <w:lvlText w:val="–"/>
      <w:lvlJc w:val="left"/>
      <w:pPr>
        <w:ind w:left="1080" w:hanging="360"/>
      </w:pPr>
      <w:rPr>
        <w:rFonts w:ascii="Courier New" w:hAnsi="Courier New"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8">
    <w:nsid w:val="49CA1A02"/>
    <w:multiLevelType w:val="hybridMultilevel"/>
    <w:tmpl w:val="444A2E12"/>
    <w:lvl w:ilvl="0" w:tplc="04180009">
      <w:start w:val="1"/>
      <w:numFmt w:val="bullet"/>
      <w:lvlText w:val=""/>
      <w:lvlJc w:val="left"/>
      <w:pPr>
        <w:ind w:left="720" w:hanging="360"/>
      </w:pPr>
      <w:rPr>
        <w:rFonts w:ascii="Wingdings" w:hAnsi="Wingdings" w:hint="default"/>
      </w:rPr>
    </w:lvl>
    <w:lvl w:ilvl="1" w:tplc="FC48F740">
      <w:numFmt w:val="bullet"/>
      <w:lvlText w:val="•"/>
      <w:lvlJc w:val="left"/>
      <w:pPr>
        <w:ind w:left="1830" w:hanging="750"/>
      </w:pPr>
      <w:rPr>
        <w:rFonts w:ascii="Calibri" w:eastAsiaTheme="minorHAnsi" w:hAnsi="Calibri"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DE8078F"/>
    <w:multiLevelType w:val="hybridMultilevel"/>
    <w:tmpl w:val="435C7A1E"/>
    <w:lvl w:ilvl="0" w:tplc="0418000D">
      <w:start w:val="1"/>
      <w:numFmt w:val="bullet"/>
      <w:lvlText w:val=""/>
      <w:lvlJc w:val="left"/>
      <w:pPr>
        <w:ind w:left="720" w:hanging="360"/>
      </w:pPr>
      <w:rPr>
        <w:rFonts w:ascii="Wingdings" w:hAnsi="Wingdings" w:hint="default"/>
      </w:rPr>
    </w:lvl>
    <w:lvl w:ilvl="1" w:tplc="04180001">
      <w:start w:val="1"/>
      <w:numFmt w:val="bullet"/>
      <w:lvlText w:val=""/>
      <w:lvlJc w:val="left"/>
      <w:pPr>
        <w:ind w:left="1211"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7093054"/>
    <w:multiLevelType w:val="hybridMultilevel"/>
    <w:tmpl w:val="8E3C3460"/>
    <w:lvl w:ilvl="0" w:tplc="0418000D">
      <w:start w:val="1"/>
      <w:numFmt w:val="bullet"/>
      <w:lvlText w:val=""/>
      <w:lvlJc w:val="left"/>
      <w:pPr>
        <w:ind w:left="720" w:hanging="360"/>
      </w:pPr>
      <w:rPr>
        <w:rFonts w:ascii="Wingdings" w:hAnsi="Wingdings" w:hint="default"/>
      </w:rPr>
    </w:lvl>
    <w:lvl w:ilvl="1" w:tplc="03CE397E">
      <w:start w:val="1"/>
      <w:numFmt w:val="bullet"/>
      <w:lvlText w:val="–"/>
      <w:lvlJc w:val="left"/>
      <w:pPr>
        <w:ind w:left="360" w:hanging="360"/>
      </w:pPr>
      <w:rPr>
        <w:rFonts w:ascii="Courier New" w:hAnsi="Courier New" w:hint="default"/>
      </w:rPr>
    </w:lvl>
    <w:lvl w:ilvl="2" w:tplc="03CE397E">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E8E39AE"/>
    <w:multiLevelType w:val="hybridMultilevel"/>
    <w:tmpl w:val="728A94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1F24998"/>
    <w:multiLevelType w:val="hybridMultilevel"/>
    <w:tmpl w:val="3CA4CB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357927"/>
    <w:multiLevelType w:val="hybridMultilevel"/>
    <w:tmpl w:val="49F6C3D4"/>
    <w:lvl w:ilvl="0" w:tplc="03CE397E">
      <w:start w:val="1"/>
      <w:numFmt w:val="bullet"/>
      <w:lvlText w:val="–"/>
      <w:lvlJc w:val="left"/>
      <w:pPr>
        <w:ind w:left="1080" w:hanging="360"/>
      </w:pPr>
      <w:rPr>
        <w:rFonts w:ascii="Courier New" w:hAnsi="Courier New"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4">
    <w:nsid w:val="69BF1323"/>
    <w:multiLevelType w:val="hybridMultilevel"/>
    <w:tmpl w:val="D766FAA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5">
    <w:nsid w:val="6A6613EF"/>
    <w:multiLevelType w:val="hybridMultilevel"/>
    <w:tmpl w:val="EF46E31C"/>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6">
    <w:nsid w:val="6EDF2D20"/>
    <w:multiLevelType w:val="hybridMultilevel"/>
    <w:tmpl w:val="C2ACF12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7">
    <w:nsid w:val="737B7ABB"/>
    <w:multiLevelType w:val="hybridMultilevel"/>
    <w:tmpl w:val="75DAA1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42335C8"/>
    <w:multiLevelType w:val="hybridMultilevel"/>
    <w:tmpl w:val="D3029F24"/>
    <w:lvl w:ilvl="0" w:tplc="19263B6C">
      <w:start w:val="1"/>
      <w:numFmt w:val="bullet"/>
      <w:lvlText w:val="-"/>
      <w:lvlJc w:val="left"/>
      <w:pPr>
        <w:ind w:left="720" w:hanging="360"/>
      </w:pPr>
      <w:rPr>
        <w:rFonts w:ascii="Times New Roman" w:hAnsi="Times New Roman" w:cs="Times New Roman" w:hint="default"/>
      </w:rPr>
    </w:lvl>
    <w:lvl w:ilvl="1" w:tplc="FC48F740">
      <w:numFmt w:val="bullet"/>
      <w:lvlText w:val="•"/>
      <w:lvlJc w:val="left"/>
      <w:pPr>
        <w:ind w:left="1830" w:hanging="750"/>
      </w:pPr>
      <w:rPr>
        <w:rFonts w:ascii="Calibri" w:eastAsiaTheme="minorHAnsi" w:hAnsi="Calibri"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634064F"/>
    <w:multiLevelType w:val="hybridMultilevel"/>
    <w:tmpl w:val="BA76BEB2"/>
    <w:lvl w:ilvl="0" w:tplc="BD10939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8C327DC"/>
    <w:multiLevelType w:val="hybridMultilevel"/>
    <w:tmpl w:val="CEFC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E95D91"/>
    <w:multiLevelType w:val="hybridMultilevel"/>
    <w:tmpl w:val="7BE95D91"/>
    <w:lvl w:ilvl="0" w:tplc="59D0F2DE">
      <w:start w:val="1"/>
      <w:numFmt w:val="bullet"/>
      <w:lvlText w:val=""/>
      <w:lvlJc w:val="left"/>
      <w:pPr>
        <w:ind w:left="720" w:hanging="360"/>
      </w:pPr>
      <w:rPr>
        <w:rFonts w:ascii="Symbol" w:hAnsi="Symbol"/>
      </w:rPr>
    </w:lvl>
    <w:lvl w:ilvl="1" w:tplc="B5982014">
      <w:start w:val="1"/>
      <w:numFmt w:val="bullet"/>
      <w:lvlText w:val="o"/>
      <w:lvlJc w:val="left"/>
      <w:pPr>
        <w:tabs>
          <w:tab w:val="num" w:pos="1440"/>
        </w:tabs>
        <w:ind w:left="1440" w:hanging="360"/>
      </w:pPr>
      <w:rPr>
        <w:rFonts w:ascii="Courier New" w:hAnsi="Courier New"/>
      </w:rPr>
    </w:lvl>
    <w:lvl w:ilvl="2" w:tplc="F71A2150">
      <w:start w:val="1"/>
      <w:numFmt w:val="bullet"/>
      <w:lvlText w:val=""/>
      <w:lvlJc w:val="left"/>
      <w:pPr>
        <w:tabs>
          <w:tab w:val="num" w:pos="2160"/>
        </w:tabs>
        <w:ind w:left="2160" w:hanging="360"/>
      </w:pPr>
      <w:rPr>
        <w:rFonts w:ascii="Wingdings" w:hAnsi="Wingdings"/>
      </w:rPr>
    </w:lvl>
    <w:lvl w:ilvl="3" w:tplc="4022C65A">
      <w:start w:val="1"/>
      <w:numFmt w:val="bullet"/>
      <w:lvlText w:val=""/>
      <w:lvlJc w:val="left"/>
      <w:pPr>
        <w:tabs>
          <w:tab w:val="num" w:pos="2880"/>
        </w:tabs>
        <w:ind w:left="2880" w:hanging="360"/>
      </w:pPr>
      <w:rPr>
        <w:rFonts w:ascii="Symbol" w:hAnsi="Symbol"/>
      </w:rPr>
    </w:lvl>
    <w:lvl w:ilvl="4" w:tplc="FA9E2654">
      <w:start w:val="1"/>
      <w:numFmt w:val="bullet"/>
      <w:lvlText w:val="o"/>
      <w:lvlJc w:val="left"/>
      <w:pPr>
        <w:tabs>
          <w:tab w:val="num" w:pos="3600"/>
        </w:tabs>
        <w:ind w:left="3600" w:hanging="360"/>
      </w:pPr>
      <w:rPr>
        <w:rFonts w:ascii="Courier New" w:hAnsi="Courier New"/>
      </w:rPr>
    </w:lvl>
    <w:lvl w:ilvl="5" w:tplc="D87CB7EE">
      <w:start w:val="1"/>
      <w:numFmt w:val="bullet"/>
      <w:lvlText w:val=""/>
      <w:lvlJc w:val="left"/>
      <w:pPr>
        <w:tabs>
          <w:tab w:val="num" w:pos="4320"/>
        </w:tabs>
        <w:ind w:left="4320" w:hanging="360"/>
      </w:pPr>
      <w:rPr>
        <w:rFonts w:ascii="Wingdings" w:hAnsi="Wingdings"/>
      </w:rPr>
    </w:lvl>
    <w:lvl w:ilvl="6" w:tplc="9B26673C">
      <w:start w:val="1"/>
      <w:numFmt w:val="bullet"/>
      <w:lvlText w:val=""/>
      <w:lvlJc w:val="left"/>
      <w:pPr>
        <w:tabs>
          <w:tab w:val="num" w:pos="5040"/>
        </w:tabs>
        <w:ind w:left="5040" w:hanging="360"/>
      </w:pPr>
      <w:rPr>
        <w:rFonts w:ascii="Symbol" w:hAnsi="Symbol"/>
      </w:rPr>
    </w:lvl>
    <w:lvl w:ilvl="7" w:tplc="F7180FD4">
      <w:start w:val="1"/>
      <w:numFmt w:val="bullet"/>
      <w:lvlText w:val="o"/>
      <w:lvlJc w:val="left"/>
      <w:pPr>
        <w:tabs>
          <w:tab w:val="num" w:pos="5760"/>
        </w:tabs>
        <w:ind w:left="5760" w:hanging="360"/>
      </w:pPr>
      <w:rPr>
        <w:rFonts w:ascii="Courier New" w:hAnsi="Courier New"/>
      </w:rPr>
    </w:lvl>
    <w:lvl w:ilvl="8" w:tplc="74CC5300">
      <w:start w:val="1"/>
      <w:numFmt w:val="bullet"/>
      <w:lvlText w:val=""/>
      <w:lvlJc w:val="left"/>
      <w:pPr>
        <w:tabs>
          <w:tab w:val="num" w:pos="6480"/>
        </w:tabs>
        <w:ind w:left="6480" w:hanging="360"/>
      </w:pPr>
      <w:rPr>
        <w:rFonts w:ascii="Wingdings" w:hAnsi="Wingdings"/>
      </w:rPr>
    </w:lvl>
  </w:abstractNum>
  <w:abstractNum w:abstractNumId="42">
    <w:nsid w:val="7BE95D98"/>
    <w:multiLevelType w:val="hybridMultilevel"/>
    <w:tmpl w:val="7BE95D98"/>
    <w:lvl w:ilvl="0" w:tplc="1C80B34E">
      <w:start w:val="1"/>
      <w:numFmt w:val="bullet"/>
      <w:lvlText w:val=""/>
      <w:lvlJc w:val="left"/>
      <w:pPr>
        <w:ind w:left="720" w:hanging="360"/>
      </w:pPr>
      <w:rPr>
        <w:rFonts w:ascii="Symbol" w:hAnsi="Symbol"/>
      </w:rPr>
    </w:lvl>
    <w:lvl w:ilvl="1" w:tplc="673032A6">
      <w:start w:val="1"/>
      <w:numFmt w:val="bullet"/>
      <w:lvlText w:val="o"/>
      <w:lvlJc w:val="left"/>
      <w:pPr>
        <w:tabs>
          <w:tab w:val="num" w:pos="1440"/>
        </w:tabs>
        <w:ind w:left="1440" w:hanging="360"/>
      </w:pPr>
      <w:rPr>
        <w:rFonts w:ascii="Courier New" w:hAnsi="Courier New"/>
      </w:rPr>
    </w:lvl>
    <w:lvl w:ilvl="2" w:tplc="603AFD12">
      <w:start w:val="1"/>
      <w:numFmt w:val="bullet"/>
      <w:lvlText w:val=""/>
      <w:lvlJc w:val="left"/>
      <w:pPr>
        <w:tabs>
          <w:tab w:val="num" w:pos="2160"/>
        </w:tabs>
        <w:ind w:left="2160" w:hanging="360"/>
      </w:pPr>
      <w:rPr>
        <w:rFonts w:ascii="Wingdings" w:hAnsi="Wingdings"/>
      </w:rPr>
    </w:lvl>
    <w:lvl w:ilvl="3" w:tplc="21EA8A54">
      <w:start w:val="1"/>
      <w:numFmt w:val="bullet"/>
      <w:lvlText w:val=""/>
      <w:lvlJc w:val="left"/>
      <w:pPr>
        <w:tabs>
          <w:tab w:val="num" w:pos="2880"/>
        </w:tabs>
        <w:ind w:left="2880" w:hanging="360"/>
      </w:pPr>
      <w:rPr>
        <w:rFonts w:ascii="Symbol" w:hAnsi="Symbol"/>
      </w:rPr>
    </w:lvl>
    <w:lvl w:ilvl="4" w:tplc="2C7A9EE2">
      <w:start w:val="1"/>
      <w:numFmt w:val="bullet"/>
      <w:lvlText w:val="o"/>
      <w:lvlJc w:val="left"/>
      <w:pPr>
        <w:tabs>
          <w:tab w:val="num" w:pos="3600"/>
        </w:tabs>
        <w:ind w:left="3600" w:hanging="360"/>
      </w:pPr>
      <w:rPr>
        <w:rFonts w:ascii="Courier New" w:hAnsi="Courier New"/>
      </w:rPr>
    </w:lvl>
    <w:lvl w:ilvl="5" w:tplc="EC40DBFA">
      <w:start w:val="1"/>
      <w:numFmt w:val="bullet"/>
      <w:lvlText w:val=""/>
      <w:lvlJc w:val="left"/>
      <w:pPr>
        <w:tabs>
          <w:tab w:val="num" w:pos="4320"/>
        </w:tabs>
        <w:ind w:left="4320" w:hanging="360"/>
      </w:pPr>
      <w:rPr>
        <w:rFonts w:ascii="Wingdings" w:hAnsi="Wingdings"/>
      </w:rPr>
    </w:lvl>
    <w:lvl w:ilvl="6" w:tplc="B2CA63D4">
      <w:start w:val="1"/>
      <w:numFmt w:val="bullet"/>
      <w:lvlText w:val=""/>
      <w:lvlJc w:val="left"/>
      <w:pPr>
        <w:tabs>
          <w:tab w:val="num" w:pos="5040"/>
        </w:tabs>
        <w:ind w:left="5040" w:hanging="360"/>
      </w:pPr>
      <w:rPr>
        <w:rFonts w:ascii="Symbol" w:hAnsi="Symbol"/>
      </w:rPr>
    </w:lvl>
    <w:lvl w:ilvl="7" w:tplc="27322A26">
      <w:start w:val="1"/>
      <w:numFmt w:val="bullet"/>
      <w:lvlText w:val="o"/>
      <w:lvlJc w:val="left"/>
      <w:pPr>
        <w:tabs>
          <w:tab w:val="num" w:pos="5760"/>
        </w:tabs>
        <w:ind w:left="5760" w:hanging="360"/>
      </w:pPr>
      <w:rPr>
        <w:rFonts w:ascii="Courier New" w:hAnsi="Courier New"/>
      </w:rPr>
    </w:lvl>
    <w:lvl w:ilvl="8" w:tplc="81726066">
      <w:start w:val="1"/>
      <w:numFmt w:val="bullet"/>
      <w:lvlText w:val=""/>
      <w:lvlJc w:val="left"/>
      <w:pPr>
        <w:tabs>
          <w:tab w:val="num" w:pos="6480"/>
        </w:tabs>
        <w:ind w:left="6480" w:hanging="360"/>
      </w:pPr>
      <w:rPr>
        <w:rFonts w:ascii="Wingdings" w:hAnsi="Wingdings"/>
      </w:rPr>
    </w:lvl>
  </w:abstractNum>
  <w:abstractNum w:abstractNumId="43">
    <w:nsid w:val="7D6D1B3E"/>
    <w:multiLevelType w:val="hybridMultilevel"/>
    <w:tmpl w:val="068EC8A8"/>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num w:numId="1">
    <w:abstractNumId w:val="7"/>
  </w:num>
  <w:num w:numId="2">
    <w:abstractNumId w:val="29"/>
  </w:num>
  <w:num w:numId="3">
    <w:abstractNumId w:val="6"/>
  </w:num>
  <w:num w:numId="4">
    <w:abstractNumId w:val="8"/>
  </w:num>
  <w:num w:numId="5">
    <w:abstractNumId w:val="17"/>
  </w:num>
  <w:num w:numId="6">
    <w:abstractNumId w:val="39"/>
  </w:num>
  <w:num w:numId="7">
    <w:abstractNumId w:val="30"/>
  </w:num>
  <w:num w:numId="8">
    <w:abstractNumId w:val="9"/>
  </w:num>
  <w:num w:numId="9">
    <w:abstractNumId w:val="24"/>
  </w:num>
  <w:num w:numId="10">
    <w:abstractNumId w:val="11"/>
  </w:num>
  <w:num w:numId="11">
    <w:abstractNumId w:val="21"/>
  </w:num>
  <w:num w:numId="12">
    <w:abstractNumId w:val="41"/>
  </w:num>
  <w:num w:numId="13">
    <w:abstractNumId w:val="32"/>
  </w:num>
  <w:num w:numId="14">
    <w:abstractNumId w:val="40"/>
  </w:num>
  <w:num w:numId="15">
    <w:abstractNumId w:val="20"/>
  </w:num>
  <w:num w:numId="16">
    <w:abstractNumId w:val="15"/>
  </w:num>
  <w:num w:numId="17">
    <w:abstractNumId w:val="31"/>
  </w:num>
  <w:num w:numId="18">
    <w:abstractNumId w:val="23"/>
  </w:num>
  <w:num w:numId="19">
    <w:abstractNumId w:val="18"/>
  </w:num>
  <w:num w:numId="20">
    <w:abstractNumId w:val="12"/>
  </w:num>
  <w:num w:numId="21">
    <w:abstractNumId w:val="5"/>
  </w:num>
  <w:num w:numId="22">
    <w:abstractNumId w:val="33"/>
  </w:num>
  <w:num w:numId="23">
    <w:abstractNumId w:val="27"/>
  </w:num>
  <w:num w:numId="24">
    <w:abstractNumId w:val="22"/>
  </w:num>
  <w:num w:numId="25">
    <w:abstractNumId w:val="26"/>
  </w:num>
  <w:num w:numId="26">
    <w:abstractNumId w:val="3"/>
  </w:num>
  <w:num w:numId="27">
    <w:abstractNumId w:val="37"/>
  </w:num>
  <w:num w:numId="28">
    <w:abstractNumId w:val="25"/>
  </w:num>
  <w:num w:numId="29">
    <w:abstractNumId w:val="16"/>
  </w:num>
  <w:num w:numId="30">
    <w:abstractNumId w:val="0"/>
  </w:num>
  <w:num w:numId="31">
    <w:abstractNumId w:val="14"/>
  </w:num>
  <w:num w:numId="32">
    <w:abstractNumId w:val="13"/>
  </w:num>
  <w:num w:numId="33">
    <w:abstractNumId w:val="19"/>
  </w:num>
  <w:num w:numId="34">
    <w:abstractNumId w:val="10"/>
  </w:num>
  <w:num w:numId="35">
    <w:abstractNumId w:val="35"/>
  </w:num>
  <w:num w:numId="36">
    <w:abstractNumId w:val="43"/>
  </w:num>
  <w:num w:numId="37">
    <w:abstractNumId w:val="1"/>
  </w:num>
  <w:num w:numId="38">
    <w:abstractNumId w:val="2"/>
  </w:num>
  <w:num w:numId="39">
    <w:abstractNumId w:val="4"/>
  </w:num>
  <w:num w:numId="40">
    <w:abstractNumId w:val="34"/>
  </w:num>
  <w:num w:numId="41">
    <w:abstractNumId w:val="36"/>
  </w:num>
  <w:num w:numId="42">
    <w:abstractNumId w:val="28"/>
  </w:num>
  <w:num w:numId="43">
    <w:abstractNumId w:val="38"/>
  </w:num>
  <w:num w:numId="44">
    <w:abstractNumId w:val="4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a Cristina Oncica">
    <w15:presenceInfo w15:providerId="AD" w15:userId="S-1-5-21-1335690349-1632514493-598330653-2549"/>
  </w15:person>
  <w15:person w15:author="Ana Maria Palii">
    <w15:presenceInfo w15:providerId="None" w15:userId="Ana Maria Palii"/>
  </w15:person>
  <w15:person w15:author="Adriana Pacuraru">
    <w15:presenceInfo w15:providerId="None" w15:userId="Adriana Pacura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F5"/>
    <w:rsid w:val="000000C3"/>
    <w:rsid w:val="00010230"/>
    <w:rsid w:val="0001586B"/>
    <w:rsid w:val="00025C34"/>
    <w:rsid w:val="00032FFC"/>
    <w:rsid w:val="00033D44"/>
    <w:rsid w:val="0004340C"/>
    <w:rsid w:val="00046798"/>
    <w:rsid w:val="00047152"/>
    <w:rsid w:val="0005071A"/>
    <w:rsid w:val="000520F7"/>
    <w:rsid w:val="000541A6"/>
    <w:rsid w:val="00056108"/>
    <w:rsid w:val="000566EB"/>
    <w:rsid w:val="00060135"/>
    <w:rsid w:val="0006595B"/>
    <w:rsid w:val="00073CCC"/>
    <w:rsid w:val="00074B3A"/>
    <w:rsid w:val="00075509"/>
    <w:rsid w:val="00075878"/>
    <w:rsid w:val="0007707B"/>
    <w:rsid w:val="00095F22"/>
    <w:rsid w:val="000A7584"/>
    <w:rsid w:val="000B0CCE"/>
    <w:rsid w:val="000B45FC"/>
    <w:rsid w:val="000B6DC9"/>
    <w:rsid w:val="000C0DF5"/>
    <w:rsid w:val="000C11C8"/>
    <w:rsid w:val="000C602E"/>
    <w:rsid w:val="000D01FF"/>
    <w:rsid w:val="000D2667"/>
    <w:rsid w:val="000D7874"/>
    <w:rsid w:val="000E5E01"/>
    <w:rsid w:val="000F1DE1"/>
    <w:rsid w:val="000F2C3D"/>
    <w:rsid w:val="000F3AFD"/>
    <w:rsid w:val="000F462D"/>
    <w:rsid w:val="001045C5"/>
    <w:rsid w:val="0010658F"/>
    <w:rsid w:val="00114E18"/>
    <w:rsid w:val="001153F4"/>
    <w:rsid w:val="00121279"/>
    <w:rsid w:val="00121349"/>
    <w:rsid w:val="001231C7"/>
    <w:rsid w:val="00135A9B"/>
    <w:rsid w:val="001443F1"/>
    <w:rsid w:val="00147470"/>
    <w:rsid w:val="001507FE"/>
    <w:rsid w:val="00154503"/>
    <w:rsid w:val="00155027"/>
    <w:rsid w:val="00161C8F"/>
    <w:rsid w:val="00166997"/>
    <w:rsid w:val="001712FA"/>
    <w:rsid w:val="00176D2F"/>
    <w:rsid w:val="00180FD6"/>
    <w:rsid w:val="00181E8E"/>
    <w:rsid w:val="00197715"/>
    <w:rsid w:val="001A73BD"/>
    <w:rsid w:val="001B168E"/>
    <w:rsid w:val="001B24B4"/>
    <w:rsid w:val="001C2D6A"/>
    <w:rsid w:val="001C54B0"/>
    <w:rsid w:val="001D13B1"/>
    <w:rsid w:val="001E33A5"/>
    <w:rsid w:val="001F2B95"/>
    <w:rsid w:val="001F33DE"/>
    <w:rsid w:val="001F6290"/>
    <w:rsid w:val="0021055B"/>
    <w:rsid w:val="00215746"/>
    <w:rsid w:val="00215D70"/>
    <w:rsid w:val="00216B38"/>
    <w:rsid w:val="00223309"/>
    <w:rsid w:val="00233518"/>
    <w:rsid w:val="0023726A"/>
    <w:rsid w:val="00242BB5"/>
    <w:rsid w:val="00244F8E"/>
    <w:rsid w:val="0024523F"/>
    <w:rsid w:val="0026080B"/>
    <w:rsid w:val="00276E2D"/>
    <w:rsid w:val="0028186E"/>
    <w:rsid w:val="00284C8F"/>
    <w:rsid w:val="0028582D"/>
    <w:rsid w:val="00285FE2"/>
    <w:rsid w:val="00286924"/>
    <w:rsid w:val="002909B6"/>
    <w:rsid w:val="002968EF"/>
    <w:rsid w:val="0029765C"/>
    <w:rsid w:val="002A01CC"/>
    <w:rsid w:val="002A3ABF"/>
    <w:rsid w:val="002A59FF"/>
    <w:rsid w:val="002B3651"/>
    <w:rsid w:val="002B52F1"/>
    <w:rsid w:val="002C06A1"/>
    <w:rsid w:val="002C27F2"/>
    <w:rsid w:val="002C3BF8"/>
    <w:rsid w:val="002C5802"/>
    <w:rsid w:val="002D0709"/>
    <w:rsid w:val="002D2756"/>
    <w:rsid w:val="002D29DE"/>
    <w:rsid w:val="002D4EE9"/>
    <w:rsid w:val="002D50EC"/>
    <w:rsid w:val="002D510C"/>
    <w:rsid w:val="002E1C15"/>
    <w:rsid w:val="002F1BDB"/>
    <w:rsid w:val="002F4E15"/>
    <w:rsid w:val="00301B9E"/>
    <w:rsid w:val="00310246"/>
    <w:rsid w:val="00310274"/>
    <w:rsid w:val="00310FD8"/>
    <w:rsid w:val="00313B39"/>
    <w:rsid w:val="00317397"/>
    <w:rsid w:val="003175F7"/>
    <w:rsid w:val="003260AD"/>
    <w:rsid w:val="00342DB5"/>
    <w:rsid w:val="0034469F"/>
    <w:rsid w:val="003506E4"/>
    <w:rsid w:val="003523A6"/>
    <w:rsid w:val="00355D76"/>
    <w:rsid w:val="00355DB7"/>
    <w:rsid w:val="0036080C"/>
    <w:rsid w:val="00364FC6"/>
    <w:rsid w:val="003653CA"/>
    <w:rsid w:val="00371451"/>
    <w:rsid w:val="00372AAD"/>
    <w:rsid w:val="00374EDF"/>
    <w:rsid w:val="003751D7"/>
    <w:rsid w:val="003756AB"/>
    <w:rsid w:val="00377367"/>
    <w:rsid w:val="00380AB8"/>
    <w:rsid w:val="0038755F"/>
    <w:rsid w:val="00392D91"/>
    <w:rsid w:val="003A03AB"/>
    <w:rsid w:val="003A77BA"/>
    <w:rsid w:val="003B62C9"/>
    <w:rsid w:val="003B796A"/>
    <w:rsid w:val="003D170A"/>
    <w:rsid w:val="003D1D44"/>
    <w:rsid w:val="003D30F3"/>
    <w:rsid w:val="003E6FA5"/>
    <w:rsid w:val="003F07C5"/>
    <w:rsid w:val="003F55D0"/>
    <w:rsid w:val="003F6021"/>
    <w:rsid w:val="003F74AC"/>
    <w:rsid w:val="0040476A"/>
    <w:rsid w:val="00405E43"/>
    <w:rsid w:val="0041075D"/>
    <w:rsid w:val="0041194F"/>
    <w:rsid w:val="00421E2A"/>
    <w:rsid w:val="00424376"/>
    <w:rsid w:val="00426347"/>
    <w:rsid w:val="004376F9"/>
    <w:rsid w:val="00452ECA"/>
    <w:rsid w:val="004541BC"/>
    <w:rsid w:val="00460265"/>
    <w:rsid w:val="00472A14"/>
    <w:rsid w:val="004802D8"/>
    <w:rsid w:val="00481D57"/>
    <w:rsid w:val="00484382"/>
    <w:rsid w:val="0049053D"/>
    <w:rsid w:val="00495057"/>
    <w:rsid w:val="00496FA3"/>
    <w:rsid w:val="0049700C"/>
    <w:rsid w:val="004A049F"/>
    <w:rsid w:val="004A0892"/>
    <w:rsid w:val="004A3083"/>
    <w:rsid w:val="004B069D"/>
    <w:rsid w:val="004B5B21"/>
    <w:rsid w:val="004C30F0"/>
    <w:rsid w:val="004C68CD"/>
    <w:rsid w:val="004D0794"/>
    <w:rsid w:val="004D7505"/>
    <w:rsid w:val="004E070B"/>
    <w:rsid w:val="004E3A2B"/>
    <w:rsid w:val="004E51F8"/>
    <w:rsid w:val="004F0784"/>
    <w:rsid w:val="004F4F92"/>
    <w:rsid w:val="004F727F"/>
    <w:rsid w:val="005046B0"/>
    <w:rsid w:val="00505C22"/>
    <w:rsid w:val="00506564"/>
    <w:rsid w:val="00511463"/>
    <w:rsid w:val="00522695"/>
    <w:rsid w:val="00522D40"/>
    <w:rsid w:val="00523349"/>
    <w:rsid w:val="005260BB"/>
    <w:rsid w:val="00527FB7"/>
    <w:rsid w:val="00540DCD"/>
    <w:rsid w:val="005428BE"/>
    <w:rsid w:val="00543294"/>
    <w:rsid w:val="00545F13"/>
    <w:rsid w:val="00552F99"/>
    <w:rsid w:val="00560B23"/>
    <w:rsid w:val="00563B26"/>
    <w:rsid w:val="00563EAD"/>
    <w:rsid w:val="00574BD3"/>
    <w:rsid w:val="005808B4"/>
    <w:rsid w:val="00592783"/>
    <w:rsid w:val="0059445C"/>
    <w:rsid w:val="005945A7"/>
    <w:rsid w:val="005A3C06"/>
    <w:rsid w:val="005B012F"/>
    <w:rsid w:val="005B7258"/>
    <w:rsid w:val="005C2D13"/>
    <w:rsid w:val="005C3379"/>
    <w:rsid w:val="005C42A1"/>
    <w:rsid w:val="005C4F38"/>
    <w:rsid w:val="005C6404"/>
    <w:rsid w:val="005D6318"/>
    <w:rsid w:val="005E0AFA"/>
    <w:rsid w:val="005E180E"/>
    <w:rsid w:val="005F3490"/>
    <w:rsid w:val="005F56D2"/>
    <w:rsid w:val="005F7F29"/>
    <w:rsid w:val="006043EA"/>
    <w:rsid w:val="006061F9"/>
    <w:rsid w:val="006075BB"/>
    <w:rsid w:val="00607613"/>
    <w:rsid w:val="00613DC3"/>
    <w:rsid w:val="00614B0E"/>
    <w:rsid w:val="00623D32"/>
    <w:rsid w:val="006340A3"/>
    <w:rsid w:val="00634BCB"/>
    <w:rsid w:val="006357D5"/>
    <w:rsid w:val="00643A6A"/>
    <w:rsid w:val="00656D00"/>
    <w:rsid w:val="006616AD"/>
    <w:rsid w:val="0066516D"/>
    <w:rsid w:val="00671AB4"/>
    <w:rsid w:val="00672074"/>
    <w:rsid w:val="00674BFD"/>
    <w:rsid w:val="006817DD"/>
    <w:rsid w:val="006819DB"/>
    <w:rsid w:val="00681FA9"/>
    <w:rsid w:val="00682852"/>
    <w:rsid w:val="00697E25"/>
    <w:rsid w:val="006A3ABB"/>
    <w:rsid w:val="006B63BD"/>
    <w:rsid w:val="006C16F0"/>
    <w:rsid w:val="006C1B0F"/>
    <w:rsid w:val="006D224A"/>
    <w:rsid w:val="006D2B2A"/>
    <w:rsid w:val="006D2B43"/>
    <w:rsid w:val="006D4D3D"/>
    <w:rsid w:val="006D4EDE"/>
    <w:rsid w:val="006E13A0"/>
    <w:rsid w:val="006E475A"/>
    <w:rsid w:val="006E66B2"/>
    <w:rsid w:val="006E6EED"/>
    <w:rsid w:val="006F716C"/>
    <w:rsid w:val="00701F81"/>
    <w:rsid w:val="007041D8"/>
    <w:rsid w:val="00713749"/>
    <w:rsid w:val="00717156"/>
    <w:rsid w:val="00721ED1"/>
    <w:rsid w:val="00722EDF"/>
    <w:rsid w:val="00724F25"/>
    <w:rsid w:val="00727F06"/>
    <w:rsid w:val="00734E87"/>
    <w:rsid w:val="007500F2"/>
    <w:rsid w:val="00754CC3"/>
    <w:rsid w:val="0075637A"/>
    <w:rsid w:val="007572A0"/>
    <w:rsid w:val="00765A09"/>
    <w:rsid w:val="007674E2"/>
    <w:rsid w:val="0077386C"/>
    <w:rsid w:val="007809D7"/>
    <w:rsid w:val="0078217D"/>
    <w:rsid w:val="00791278"/>
    <w:rsid w:val="00795F57"/>
    <w:rsid w:val="007A0DC1"/>
    <w:rsid w:val="007A4948"/>
    <w:rsid w:val="007A7DC9"/>
    <w:rsid w:val="007B0729"/>
    <w:rsid w:val="007B119D"/>
    <w:rsid w:val="007B1AC5"/>
    <w:rsid w:val="007B2E60"/>
    <w:rsid w:val="007B3B34"/>
    <w:rsid w:val="007B5D4E"/>
    <w:rsid w:val="007B646D"/>
    <w:rsid w:val="007B6858"/>
    <w:rsid w:val="007B7225"/>
    <w:rsid w:val="007D613B"/>
    <w:rsid w:val="007E097F"/>
    <w:rsid w:val="00801D03"/>
    <w:rsid w:val="0080223C"/>
    <w:rsid w:val="00803B25"/>
    <w:rsid w:val="008174B2"/>
    <w:rsid w:val="00824261"/>
    <w:rsid w:val="0082767B"/>
    <w:rsid w:val="00831236"/>
    <w:rsid w:val="00833D3D"/>
    <w:rsid w:val="00837322"/>
    <w:rsid w:val="00851668"/>
    <w:rsid w:val="00852643"/>
    <w:rsid w:val="00862502"/>
    <w:rsid w:val="00865417"/>
    <w:rsid w:val="0086582D"/>
    <w:rsid w:val="008669E3"/>
    <w:rsid w:val="00870179"/>
    <w:rsid w:val="00871E90"/>
    <w:rsid w:val="008804BA"/>
    <w:rsid w:val="00882959"/>
    <w:rsid w:val="00883FD0"/>
    <w:rsid w:val="00885CC0"/>
    <w:rsid w:val="00891BFF"/>
    <w:rsid w:val="008A4ED0"/>
    <w:rsid w:val="008A5100"/>
    <w:rsid w:val="008B05D4"/>
    <w:rsid w:val="008B1A62"/>
    <w:rsid w:val="008B39B8"/>
    <w:rsid w:val="008B6DE3"/>
    <w:rsid w:val="008B6FFA"/>
    <w:rsid w:val="008D20B3"/>
    <w:rsid w:val="008D4B48"/>
    <w:rsid w:val="008D57A0"/>
    <w:rsid w:val="008E14BE"/>
    <w:rsid w:val="008E20CE"/>
    <w:rsid w:val="008F3378"/>
    <w:rsid w:val="00901988"/>
    <w:rsid w:val="00902922"/>
    <w:rsid w:val="00902E96"/>
    <w:rsid w:val="00904D0B"/>
    <w:rsid w:val="009066E7"/>
    <w:rsid w:val="009313AD"/>
    <w:rsid w:val="00932463"/>
    <w:rsid w:val="0093309E"/>
    <w:rsid w:val="0096295A"/>
    <w:rsid w:val="00963489"/>
    <w:rsid w:val="009720D3"/>
    <w:rsid w:val="00973160"/>
    <w:rsid w:val="009826AF"/>
    <w:rsid w:val="00985292"/>
    <w:rsid w:val="009941AE"/>
    <w:rsid w:val="00995263"/>
    <w:rsid w:val="00996AD7"/>
    <w:rsid w:val="009A2F7A"/>
    <w:rsid w:val="009A4AB6"/>
    <w:rsid w:val="009B1474"/>
    <w:rsid w:val="009B1A4E"/>
    <w:rsid w:val="009B3BF5"/>
    <w:rsid w:val="009C2A87"/>
    <w:rsid w:val="009D3BC3"/>
    <w:rsid w:val="009D6792"/>
    <w:rsid w:val="009E273F"/>
    <w:rsid w:val="009E4FB4"/>
    <w:rsid w:val="009F07C4"/>
    <w:rsid w:val="009F1C60"/>
    <w:rsid w:val="009F31E6"/>
    <w:rsid w:val="009F5AB2"/>
    <w:rsid w:val="00A007B1"/>
    <w:rsid w:val="00A125CC"/>
    <w:rsid w:val="00A14D4C"/>
    <w:rsid w:val="00A16710"/>
    <w:rsid w:val="00A200AC"/>
    <w:rsid w:val="00A2042E"/>
    <w:rsid w:val="00A20587"/>
    <w:rsid w:val="00A20D15"/>
    <w:rsid w:val="00A30885"/>
    <w:rsid w:val="00A3293A"/>
    <w:rsid w:val="00A36758"/>
    <w:rsid w:val="00A4327F"/>
    <w:rsid w:val="00A52E10"/>
    <w:rsid w:val="00A56E31"/>
    <w:rsid w:val="00A637AA"/>
    <w:rsid w:val="00A63A19"/>
    <w:rsid w:val="00A65800"/>
    <w:rsid w:val="00A67C4D"/>
    <w:rsid w:val="00A868C0"/>
    <w:rsid w:val="00A876E5"/>
    <w:rsid w:val="00A93825"/>
    <w:rsid w:val="00A93CB3"/>
    <w:rsid w:val="00A95944"/>
    <w:rsid w:val="00A97C0B"/>
    <w:rsid w:val="00AA2FF1"/>
    <w:rsid w:val="00AA7043"/>
    <w:rsid w:val="00AB2755"/>
    <w:rsid w:val="00AB5502"/>
    <w:rsid w:val="00AB77E2"/>
    <w:rsid w:val="00AC01B0"/>
    <w:rsid w:val="00AC1408"/>
    <w:rsid w:val="00AC6E75"/>
    <w:rsid w:val="00AD240C"/>
    <w:rsid w:val="00AD3B62"/>
    <w:rsid w:val="00AF0468"/>
    <w:rsid w:val="00AF1DAF"/>
    <w:rsid w:val="00B0123E"/>
    <w:rsid w:val="00B05BAC"/>
    <w:rsid w:val="00B06E0A"/>
    <w:rsid w:val="00B11F9C"/>
    <w:rsid w:val="00B13207"/>
    <w:rsid w:val="00B13300"/>
    <w:rsid w:val="00B15E08"/>
    <w:rsid w:val="00B17D9C"/>
    <w:rsid w:val="00B2105B"/>
    <w:rsid w:val="00B26988"/>
    <w:rsid w:val="00B30E0A"/>
    <w:rsid w:val="00B314E6"/>
    <w:rsid w:val="00B318A4"/>
    <w:rsid w:val="00B35C16"/>
    <w:rsid w:val="00B40027"/>
    <w:rsid w:val="00B4650E"/>
    <w:rsid w:val="00B47017"/>
    <w:rsid w:val="00B60185"/>
    <w:rsid w:val="00B61B74"/>
    <w:rsid w:val="00B64338"/>
    <w:rsid w:val="00B74A9E"/>
    <w:rsid w:val="00B76A4C"/>
    <w:rsid w:val="00B76DF6"/>
    <w:rsid w:val="00B77D59"/>
    <w:rsid w:val="00B82499"/>
    <w:rsid w:val="00B84F3C"/>
    <w:rsid w:val="00B91A69"/>
    <w:rsid w:val="00B93C7E"/>
    <w:rsid w:val="00BA1D32"/>
    <w:rsid w:val="00BA3B18"/>
    <w:rsid w:val="00BA6609"/>
    <w:rsid w:val="00BA6AD3"/>
    <w:rsid w:val="00BB7483"/>
    <w:rsid w:val="00BC05F4"/>
    <w:rsid w:val="00BD2E1A"/>
    <w:rsid w:val="00BD63C1"/>
    <w:rsid w:val="00BE3AFC"/>
    <w:rsid w:val="00BE6581"/>
    <w:rsid w:val="00BE75A7"/>
    <w:rsid w:val="00BF1E7B"/>
    <w:rsid w:val="00BF301B"/>
    <w:rsid w:val="00BF33EF"/>
    <w:rsid w:val="00BF5A80"/>
    <w:rsid w:val="00BF79EB"/>
    <w:rsid w:val="00C0510C"/>
    <w:rsid w:val="00C06DC3"/>
    <w:rsid w:val="00C1729E"/>
    <w:rsid w:val="00C2203B"/>
    <w:rsid w:val="00C25942"/>
    <w:rsid w:val="00C261E8"/>
    <w:rsid w:val="00C31419"/>
    <w:rsid w:val="00C31AB8"/>
    <w:rsid w:val="00C320B4"/>
    <w:rsid w:val="00C33A3C"/>
    <w:rsid w:val="00C33EA8"/>
    <w:rsid w:val="00C35643"/>
    <w:rsid w:val="00C405FF"/>
    <w:rsid w:val="00C51DC7"/>
    <w:rsid w:val="00C52443"/>
    <w:rsid w:val="00C53B4B"/>
    <w:rsid w:val="00C74A9F"/>
    <w:rsid w:val="00C753FD"/>
    <w:rsid w:val="00C75F4E"/>
    <w:rsid w:val="00C83BA8"/>
    <w:rsid w:val="00C8518F"/>
    <w:rsid w:val="00C94D07"/>
    <w:rsid w:val="00CA334E"/>
    <w:rsid w:val="00CA3FFD"/>
    <w:rsid w:val="00CA4CAC"/>
    <w:rsid w:val="00CA68A8"/>
    <w:rsid w:val="00CB55F9"/>
    <w:rsid w:val="00CB762C"/>
    <w:rsid w:val="00CC2616"/>
    <w:rsid w:val="00CC4DBF"/>
    <w:rsid w:val="00CC61A1"/>
    <w:rsid w:val="00CD16D6"/>
    <w:rsid w:val="00CE55CA"/>
    <w:rsid w:val="00CE5F3A"/>
    <w:rsid w:val="00CF2B16"/>
    <w:rsid w:val="00CF2D88"/>
    <w:rsid w:val="00CF3479"/>
    <w:rsid w:val="00CF42ED"/>
    <w:rsid w:val="00D00AA7"/>
    <w:rsid w:val="00D1045C"/>
    <w:rsid w:val="00D10A58"/>
    <w:rsid w:val="00D11506"/>
    <w:rsid w:val="00D11CD2"/>
    <w:rsid w:val="00D1548A"/>
    <w:rsid w:val="00D21FA8"/>
    <w:rsid w:val="00D23C06"/>
    <w:rsid w:val="00D26727"/>
    <w:rsid w:val="00D268BF"/>
    <w:rsid w:val="00D27694"/>
    <w:rsid w:val="00D3539E"/>
    <w:rsid w:val="00D36DA7"/>
    <w:rsid w:val="00D40BEC"/>
    <w:rsid w:val="00D433B9"/>
    <w:rsid w:val="00D455EA"/>
    <w:rsid w:val="00D45ADA"/>
    <w:rsid w:val="00D50370"/>
    <w:rsid w:val="00D540C6"/>
    <w:rsid w:val="00D65208"/>
    <w:rsid w:val="00D65883"/>
    <w:rsid w:val="00D65A03"/>
    <w:rsid w:val="00D73238"/>
    <w:rsid w:val="00D73BB2"/>
    <w:rsid w:val="00D74A37"/>
    <w:rsid w:val="00D77D3C"/>
    <w:rsid w:val="00D836CD"/>
    <w:rsid w:val="00D84417"/>
    <w:rsid w:val="00D87506"/>
    <w:rsid w:val="00D9239E"/>
    <w:rsid w:val="00D933F9"/>
    <w:rsid w:val="00D95720"/>
    <w:rsid w:val="00DA45A6"/>
    <w:rsid w:val="00DA7549"/>
    <w:rsid w:val="00DB2DE0"/>
    <w:rsid w:val="00DB34F5"/>
    <w:rsid w:val="00DB53D6"/>
    <w:rsid w:val="00DB756D"/>
    <w:rsid w:val="00DC6D79"/>
    <w:rsid w:val="00DD1523"/>
    <w:rsid w:val="00DD53BE"/>
    <w:rsid w:val="00DE21DA"/>
    <w:rsid w:val="00DF3E2D"/>
    <w:rsid w:val="00E002D9"/>
    <w:rsid w:val="00E052C2"/>
    <w:rsid w:val="00E07520"/>
    <w:rsid w:val="00E10A61"/>
    <w:rsid w:val="00E13D48"/>
    <w:rsid w:val="00E24108"/>
    <w:rsid w:val="00E276C5"/>
    <w:rsid w:val="00E30F3C"/>
    <w:rsid w:val="00E33E89"/>
    <w:rsid w:val="00E35F29"/>
    <w:rsid w:val="00E36375"/>
    <w:rsid w:val="00E3712E"/>
    <w:rsid w:val="00E40691"/>
    <w:rsid w:val="00E44477"/>
    <w:rsid w:val="00E51C40"/>
    <w:rsid w:val="00E5201F"/>
    <w:rsid w:val="00E52172"/>
    <w:rsid w:val="00E539BB"/>
    <w:rsid w:val="00E67E13"/>
    <w:rsid w:val="00E75285"/>
    <w:rsid w:val="00E75A7F"/>
    <w:rsid w:val="00E76166"/>
    <w:rsid w:val="00E7622E"/>
    <w:rsid w:val="00E810FC"/>
    <w:rsid w:val="00E85DE2"/>
    <w:rsid w:val="00E86315"/>
    <w:rsid w:val="00E8734D"/>
    <w:rsid w:val="00E936DC"/>
    <w:rsid w:val="00E94FFE"/>
    <w:rsid w:val="00E95006"/>
    <w:rsid w:val="00EA3D91"/>
    <w:rsid w:val="00EA6207"/>
    <w:rsid w:val="00EA7123"/>
    <w:rsid w:val="00EB6CAA"/>
    <w:rsid w:val="00EC09E9"/>
    <w:rsid w:val="00EC2359"/>
    <w:rsid w:val="00EC341E"/>
    <w:rsid w:val="00EC49FD"/>
    <w:rsid w:val="00ED0CAC"/>
    <w:rsid w:val="00EE48DF"/>
    <w:rsid w:val="00EE49F6"/>
    <w:rsid w:val="00EE5BF4"/>
    <w:rsid w:val="00EF0ABA"/>
    <w:rsid w:val="00EF25D6"/>
    <w:rsid w:val="00EF6C10"/>
    <w:rsid w:val="00EF7191"/>
    <w:rsid w:val="00EF7A65"/>
    <w:rsid w:val="00F014FC"/>
    <w:rsid w:val="00F13CAE"/>
    <w:rsid w:val="00F14161"/>
    <w:rsid w:val="00F2244D"/>
    <w:rsid w:val="00F30211"/>
    <w:rsid w:val="00F35CC4"/>
    <w:rsid w:val="00F36DB4"/>
    <w:rsid w:val="00F45C81"/>
    <w:rsid w:val="00F51308"/>
    <w:rsid w:val="00F6315E"/>
    <w:rsid w:val="00F67091"/>
    <w:rsid w:val="00F74FB2"/>
    <w:rsid w:val="00F8790A"/>
    <w:rsid w:val="00F9129C"/>
    <w:rsid w:val="00F9212E"/>
    <w:rsid w:val="00F95098"/>
    <w:rsid w:val="00F9571C"/>
    <w:rsid w:val="00F977C0"/>
    <w:rsid w:val="00FA3D99"/>
    <w:rsid w:val="00FA479F"/>
    <w:rsid w:val="00FA7B3C"/>
    <w:rsid w:val="00FB3EB4"/>
    <w:rsid w:val="00FC6DC7"/>
    <w:rsid w:val="00FD2805"/>
    <w:rsid w:val="00FD5A18"/>
    <w:rsid w:val="00FD7ACF"/>
    <w:rsid w:val="00FD7D9B"/>
    <w:rsid w:val="00FE7E13"/>
    <w:rsid w:val="00FF2004"/>
    <w:rsid w:val="00FF549E"/>
    <w:rsid w:val="00FF6EDD"/>
  </w:rsids>
  <m:mathPr>
    <m:mathFont m:val="Cambria Math"/>
    <m:brkBin m:val="before"/>
    <m:brkBinSub m:val="--"/>
    <m:smallFrac m:val="0"/>
    <m:dispDef/>
    <m:lMargin m:val="0"/>
    <m:rMargin m:val="0"/>
    <m:defJc m:val="centerGroup"/>
    <m:wrapIndent m:val="1440"/>
    <m:intLim m:val="subSup"/>
    <m:naryLim m:val="undOvr"/>
  </m:mathPr>
  <w:themeFontLang w:val="ro-RO"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Table of contents numbered,body 2,List_Paragraph,Multilevel para_II,List Paragraph1,Forth level,Colorful List - Accent 11,Medium Grid 1 - Accent 21,Paragraph,Citation List,ANNEX,Bullet,bullet,bu,b,bullet1,B,b1,Bullet 1"/>
    <w:basedOn w:val="Normal"/>
    <w:link w:val="ListParagraphChar"/>
    <w:uiPriority w:val="99"/>
    <w:qFormat/>
    <w:rsid w:val="005F3490"/>
    <w:pPr>
      <w:ind w:left="720"/>
      <w:contextualSpacing/>
    </w:pPr>
  </w:style>
  <w:style w:type="paragraph" w:styleId="Header">
    <w:name w:val="header"/>
    <w:basedOn w:val="Normal"/>
    <w:link w:val="HeaderChar"/>
    <w:uiPriority w:val="99"/>
    <w:unhideWhenUsed/>
    <w:rsid w:val="00387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55F"/>
  </w:style>
  <w:style w:type="paragraph" w:styleId="Footer">
    <w:name w:val="footer"/>
    <w:basedOn w:val="Normal"/>
    <w:link w:val="FooterChar"/>
    <w:uiPriority w:val="99"/>
    <w:unhideWhenUsed/>
    <w:rsid w:val="00387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55F"/>
  </w:style>
  <w:style w:type="paragraph" w:styleId="NormalWeb">
    <w:name w:val="Normal (Web)"/>
    <w:basedOn w:val="Normal"/>
    <w:uiPriority w:val="99"/>
    <w:semiHidden/>
    <w:unhideWhenUsed/>
    <w:rsid w:val="00EB6CA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EB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AA"/>
    <w:rPr>
      <w:rFonts w:ascii="Tahoma" w:hAnsi="Tahoma" w:cs="Tahoma"/>
      <w:sz w:val="16"/>
      <w:szCs w:val="16"/>
    </w:rPr>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stile 1,ft"/>
    <w:basedOn w:val="Normal"/>
    <w:link w:val="FootnoteTextChar"/>
    <w:semiHidden/>
    <w:unhideWhenUsed/>
    <w:rsid w:val="00871E90"/>
    <w:pPr>
      <w:spacing w:after="0" w:line="240" w:lineRule="auto"/>
    </w:pPr>
    <w:rPr>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stile 1 Char"/>
    <w:basedOn w:val="DefaultParagraphFont"/>
    <w:link w:val="FootnoteText"/>
    <w:semiHidden/>
    <w:rsid w:val="00871E90"/>
    <w:rPr>
      <w:sz w:val="20"/>
      <w:szCs w:val="20"/>
    </w:rPr>
  </w:style>
  <w:style w:type="character" w:styleId="FootnoteReference">
    <w:name w:val="footnote reference"/>
    <w:aliases w:val="BVI fnr, BVI fnr,Footnote Reference Number,Odwołanie przypisu,Footnote Reference_LVL6,Footnote Reference_LVL61,Footnote Reference_LVL62,Footnote Reference_LVL63,Footnote Reference_LVL64,fr,Odwo&lt;0142&gt;anie przypisu,Footnote symbol,SUPER"/>
    <w:link w:val="BVIfnrChar1Char"/>
    <w:unhideWhenUsed/>
    <w:rsid w:val="00871E90"/>
    <w:rPr>
      <w:vertAlign w:val="superscript"/>
      <w:lang w:bidi="ar-SA"/>
    </w:rPr>
  </w:style>
  <w:style w:type="character" w:styleId="Hyperlink">
    <w:name w:val="Hyperlink"/>
    <w:rsid w:val="006D4D3D"/>
    <w:rPr>
      <w:color w:val="0000FF"/>
      <w:u w:val="single"/>
    </w:rPr>
  </w:style>
  <w:style w:type="character" w:customStyle="1" w:styleId="FootnoteTextChar1">
    <w:name w:val="Footnote Text Char1"/>
    <w:aliases w:val="Podrozdział Char1,Footnote Char1,Footnote Text Char Char Char1,Footnote Text Char Char2,Fußnote Char2,single space Char1,footnote text Char1,FOOTNOTES Char1,fn Char2,fn Char Char Char Char1,fn Char Char Char2,fn Char Char2,ft Char"/>
    <w:semiHidden/>
    <w:rsid w:val="006D4D3D"/>
    <w:rPr>
      <w:rFonts w:ascii="Calibri" w:eastAsia="Calibri" w:hAnsi="Calibri"/>
      <w:lang w:val="en-US" w:eastAsia="en-US"/>
    </w:rPr>
  </w:style>
  <w:style w:type="paragraph" w:customStyle="1" w:styleId="BVIfnrChar1Char">
    <w:name w:val="BVI fnr Char1 Char"/>
    <w:aliases w:val=" BVI fnr Char1 Char,Footnote Reference Number Char Char,Odwołanie przypisu Char Char,Footnote Reference_LVL6 Char Char,Footnote Reference_LVL61 Char Char,Footnote Reference_LVL62 Char Char,BVI fnr Char Char, BVI fnr Char Char"/>
    <w:basedOn w:val="Normal"/>
    <w:next w:val="Normal"/>
    <w:link w:val="FootnoteReference"/>
    <w:rsid w:val="006D4D3D"/>
    <w:pPr>
      <w:spacing w:after="160" w:line="240" w:lineRule="exact"/>
    </w:pPr>
    <w:rPr>
      <w:vertAlign w:val="superscript"/>
    </w:rPr>
  </w:style>
  <w:style w:type="character" w:styleId="Strong">
    <w:name w:val="Strong"/>
    <w:qFormat/>
    <w:rsid w:val="0024523F"/>
    <w:rPr>
      <w:b/>
      <w:bCs/>
    </w:rPr>
  </w:style>
  <w:style w:type="character" w:styleId="CommentReference">
    <w:name w:val="annotation reference"/>
    <w:basedOn w:val="DefaultParagraphFont"/>
    <w:uiPriority w:val="99"/>
    <w:semiHidden/>
    <w:unhideWhenUsed/>
    <w:rsid w:val="00A93CB3"/>
    <w:rPr>
      <w:sz w:val="16"/>
      <w:szCs w:val="16"/>
    </w:rPr>
  </w:style>
  <w:style w:type="paragraph" w:styleId="CommentText">
    <w:name w:val="annotation text"/>
    <w:basedOn w:val="Normal"/>
    <w:link w:val="CommentTextChar"/>
    <w:uiPriority w:val="99"/>
    <w:semiHidden/>
    <w:unhideWhenUsed/>
    <w:rsid w:val="00A93CB3"/>
    <w:pPr>
      <w:spacing w:line="240" w:lineRule="auto"/>
    </w:pPr>
    <w:rPr>
      <w:sz w:val="20"/>
      <w:szCs w:val="20"/>
    </w:rPr>
  </w:style>
  <w:style w:type="character" w:customStyle="1" w:styleId="CommentTextChar">
    <w:name w:val="Comment Text Char"/>
    <w:basedOn w:val="DefaultParagraphFont"/>
    <w:link w:val="CommentText"/>
    <w:uiPriority w:val="99"/>
    <w:semiHidden/>
    <w:rsid w:val="00A93CB3"/>
    <w:rPr>
      <w:sz w:val="20"/>
      <w:szCs w:val="20"/>
    </w:rPr>
  </w:style>
  <w:style w:type="paragraph" w:styleId="CommentSubject">
    <w:name w:val="annotation subject"/>
    <w:basedOn w:val="CommentText"/>
    <w:next w:val="CommentText"/>
    <w:link w:val="CommentSubjectChar"/>
    <w:uiPriority w:val="99"/>
    <w:semiHidden/>
    <w:unhideWhenUsed/>
    <w:rsid w:val="00A93CB3"/>
    <w:rPr>
      <w:b/>
      <w:bCs/>
    </w:rPr>
  </w:style>
  <w:style w:type="character" w:customStyle="1" w:styleId="CommentSubjectChar">
    <w:name w:val="Comment Subject Char"/>
    <w:basedOn w:val="CommentTextChar"/>
    <w:link w:val="CommentSubject"/>
    <w:uiPriority w:val="99"/>
    <w:semiHidden/>
    <w:rsid w:val="00A93CB3"/>
    <w:rPr>
      <w:b/>
      <w:bCs/>
      <w:sz w:val="20"/>
      <w:szCs w:val="20"/>
    </w:rPr>
  </w:style>
  <w:style w:type="character" w:customStyle="1" w:styleId="ListParagraphChar">
    <w:name w:val="List Paragraph Char"/>
    <w:aliases w:val="Normal bullet 2 Char,Table of contents numbered Char,body 2 Char,List_Paragraph Char,Multilevel para_II Char,List Paragraph1 Char,Forth level Char,Colorful List - Accent 11 Char,Medium Grid 1 - Accent 21 Char,Paragraph Char,bu Char"/>
    <w:basedOn w:val="DefaultParagraphFont"/>
    <w:link w:val="ListParagraph"/>
    <w:uiPriority w:val="99"/>
    <w:locked/>
    <w:rsid w:val="00FE7E13"/>
  </w:style>
  <w:style w:type="table" w:customStyle="1" w:styleId="TableGrid1">
    <w:name w:val="Table Grid1"/>
    <w:basedOn w:val="TableNormal"/>
    <w:next w:val="TableGrid"/>
    <w:uiPriority w:val="59"/>
    <w:rsid w:val="00C3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E75285"/>
    <w:pPr>
      <w:autoSpaceDE w:val="0"/>
      <w:autoSpaceDN w:val="0"/>
      <w:adjustRightInd w:val="0"/>
      <w:spacing w:after="0" w:line="240" w:lineRule="auto"/>
    </w:pPr>
    <w:rPr>
      <w:rFonts w:ascii="EUAlbertina" w:hAnsi="EUAlbertina"/>
      <w:sz w:val="24"/>
      <w:szCs w:val="24"/>
    </w:rPr>
  </w:style>
  <w:style w:type="paragraph" w:customStyle="1" w:styleId="Text1">
    <w:name w:val="Text 1"/>
    <w:basedOn w:val="Normal"/>
    <w:link w:val="Text1Char"/>
    <w:rsid w:val="00BA6609"/>
    <w:pPr>
      <w:spacing w:before="120" w:after="120" w:line="240" w:lineRule="auto"/>
      <w:ind w:left="850"/>
      <w:jc w:val="both"/>
    </w:pPr>
    <w:rPr>
      <w:rFonts w:ascii="Times New Roman" w:eastAsia="Times New Roman" w:hAnsi="Times New Roman" w:cs="Times New Roman"/>
      <w:sz w:val="24"/>
      <w:szCs w:val="24"/>
      <w:lang w:val="en-GB"/>
    </w:rPr>
  </w:style>
  <w:style w:type="character" w:customStyle="1" w:styleId="Text1Char">
    <w:name w:val="Text 1 Char"/>
    <w:link w:val="Text1"/>
    <w:locked/>
    <w:rsid w:val="00BA6609"/>
    <w:rPr>
      <w:rFonts w:ascii="Times New Roman" w:eastAsia="Times New Roman" w:hAnsi="Times New Roman" w:cs="Times New Roman"/>
      <w:sz w:val="24"/>
      <w:szCs w:val="24"/>
      <w:lang w:val="en-GB"/>
    </w:rPr>
  </w:style>
  <w:style w:type="paragraph" w:styleId="Revision">
    <w:name w:val="Revision"/>
    <w:hidden/>
    <w:uiPriority w:val="99"/>
    <w:semiHidden/>
    <w:rsid w:val="00AB77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Table of contents numbered,body 2,List_Paragraph,Multilevel para_II,List Paragraph1,Forth level,Colorful List - Accent 11,Medium Grid 1 - Accent 21,Paragraph,Citation List,ANNEX,Bullet,bullet,bu,b,bullet1,B,b1,Bullet 1"/>
    <w:basedOn w:val="Normal"/>
    <w:link w:val="ListParagraphChar"/>
    <w:uiPriority w:val="99"/>
    <w:qFormat/>
    <w:rsid w:val="005F3490"/>
    <w:pPr>
      <w:ind w:left="720"/>
      <w:contextualSpacing/>
    </w:pPr>
  </w:style>
  <w:style w:type="paragraph" w:styleId="Header">
    <w:name w:val="header"/>
    <w:basedOn w:val="Normal"/>
    <w:link w:val="HeaderChar"/>
    <w:uiPriority w:val="99"/>
    <w:unhideWhenUsed/>
    <w:rsid w:val="00387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55F"/>
  </w:style>
  <w:style w:type="paragraph" w:styleId="Footer">
    <w:name w:val="footer"/>
    <w:basedOn w:val="Normal"/>
    <w:link w:val="FooterChar"/>
    <w:uiPriority w:val="99"/>
    <w:unhideWhenUsed/>
    <w:rsid w:val="00387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55F"/>
  </w:style>
  <w:style w:type="paragraph" w:styleId="NormalWeb">
    <w:name w:val="Normal (Web)"/>
    <w:basedOn w:val="Normal"/>
    <w:uiPriority w:val="99"/>
    <w:semiHidden/>
    <w:unhideWhenUsed/>
    <w:rsid w:val="00EB6CA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EB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AA"/>
    <w:rPr>
      <w:rFonts w:ascii="Tahoma" w:hAnsi="Tahoma" w:cs="Tahoma"/>
      <w:sz w:val="16"/>
      <w:szCs w:val="16"/>
    </w:rPr>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stile 1,ft"/>
    <w:basedOn w:val="Normal"/>
    <w:link w:val="FootnoteTextChar"/>
    <w:semiHidden/>
    <w:unhideWhenUsed/>
    <w:rsid w:val="00871E90"/>
    <w:pPr>
      <w:spacing w:after="0" w:line="240" w:lineRule="auto"/>
    </w:pPr>
    <w:rPr>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stile 1 Char"/>
    <w:basedOn w:val="DefaultParagraphFont"/>
    <w:link w:val="FootnoteText"/>
    <w:semiHidden/>
    <w:rsid w:val="00871E90"/>
    <w:rPr>
      <w:sz w:val="20"/>
      <w:szCs w:val="20"/>
    </w:rPr>
  </w:style>
  <w:style w:type="character" w:styleId="FootnoteReference">
    <w:name w:val="footnote reference"/>
    <w:aliases w:val="BVI fnr, BVI fnr,Footnote Reference Number,Odwołanie przypisu,Footnote Reference_LVL6,Footnote Reference_LVL61,Footnote Reference_LVL62,Footnote Reference_LVL63,Footnote Reference_LVL64,fr,Odwo&lt;0142&gt;anie przypisu,Footnote symbol,SUPER"/>
    <w:link w:val="BVIfnrChar1Char"/>
    <w:unhideWhenUsed/>
    <w:rsid w:val="00871E90"/>
    <w:rPr>
      <w:vertAlign w:val="superscript"/>
      <w:lang w:bidi="ar-SA"/>
    </w:rPr>
  </w:style>
  <w:style w:type="character" w:styleId="Hyperlink">
    <w:name w:val="Hyperlink"/>
    <w:rsid w:val="006D4D3D"/>
    <w:rPr>
      <w:color w:val="0000FF"/>
      <w:u w:val="single"/>
    </w:rPr>
  </w:style>
  <w:style w:type="character" w:customStyle="1" w:styleId="FootnoteTextChar1">
    <w:name w:val="Footnote Text Char1"/>
    <w:aliases w:val="Podrozdział Char1,Footnote Char1,Footnote Text Char Char Char1,Footnote Text Char Char2,Fußnote Char2,single space Char1,footnote text Char1,FOOTNOTES Char1,fn Char2,fn Char Char Char Char1,fn Char Char Char2,fn Char Char2,ft Char"/>
    <w:semiHidden/>
    <w:rsid w:val="006D4D3D"/>
    <w:rPr>
      <w:rFonts w:ascii="Calibri" w:eastAsia="Calibri" w:hAnsi="Calibri"/>
      <w:lang w:val="en-US" w:eastAsia="en-US"/>
    </w:rPr>
  </w:style>
  <w:style w:type="paragraph" w:customStyle="1" w:styleId="BVIfnrChar1Char">
    <w:name w:val="BVI fnr Char1 Char"/>
    <w:aliases w:val=" BVI fnr Char1 Char,Footnote Reference Number Char Char,Odwołanie przypisu Char Char,Footnote Reference_LVL6 Char Char,Footnote Reference_LVL61 Char Char,Footnote Reference_LVL62 Char Char,BVI fnr Char Char, BVI fnr Char Char"/>
    <w:basedOn w:val="Normal"/>
    <w:next w:val="Normal"/>
    <w:link w:val="FootnoteReference"/>
    <w:rsid w:val="006D4D3D"/>
    <w:pPr>
      <w:spacing w:after="160" w:line="240" w:lineRule="exact"/>
    </w:pPr>
    <w:rPr>
      <w:vertAlign w:val="superscript"/>
    </w:rPr>
  </w:style>
  <w:style w:type="character" w:styleId="Strong">
    <w:name w:val="Strong"/>
    <w:qFormat/>
    <w:rsid w:val="0024523F"/>
    <w:rPr>
      <w:b/>
      <w:bCs/>
    </w:rPr>
  </w:style>
  <w:style w:type="character" w:styleId="CommentReference">
    <w:name w:val="annotation reference"/>
    <w:basedOn w:val="DefaultParagraphFont"/>
    <w:uiPriority w:val="99"/>
    <w:semiHidden/>
    <w:unhideWhenUsed/>
    <w:rsid w:val="00A93CB3"/>
    <w:rPr>
      <w:sz w:val="16"/>
      <w:szCs w:val="16"/>
    </w:rPr>
  </w:style>
  <w:style w:type="paragraph" w:styleId="CommentText">
    <w:name w:val="annotation text"/>
    <w:basedOn w:val="Normal"/>
    <w:link w:val="CommentTextChar"/>
    <w:uiPriority w:val="99"/>
    <w:semiHidden/>
    <w:unhideWhenUsed/>
    <w:rsid w:val="00A93CB3"/>
    <w:pPr>
      <w:spacing w:line="240" w:lineRule="auto"/>
    </w:pPr>
    <w:rPr>
      <w:sz w:val="20"/>
      <w:szCs w:val="20"/>
    </w:rPr>
  </w:style>
  <w:style w:type="character" w:customStyle="1" w:styleId="CommentTextChar">
    <w:name w:val="Comment Text Char"/>
    <w:basedOn w:val="DefaultParagraphFont"/>
    <w:link w:val="CommentText"/>
    <w:uiPriority w:val="99"/>
    <w:semiHidden/>
    <w:rsid w:val="00A93CB3"/>
    <w:rPr>
      <w:sz w:val="20"/>
      <w:szCs w:val="20"/>
    </w:rPr>
  </w:style>
  <w:style w:type="paragraph" w:styleId="CommentSubject">
    <w:name w:val="annotation subject"/>
    <w:basedOn w:val="CommentText"/>
    <w:next w:val="CommentText"/>
    <w:link w:val="CommentSubjectChar"/>
    <w:uiPriority w:val="99"/>
    <w:semiHidden/>
    <w:unhideWhenUsed/>
    <w:rsid w:val="00A93CB3"/>
    <w:rPr>
      <w:b/>
      <w:bCs/>
    </w:rPr>
  </w:style>
  <w:style w:type="character" w:customStyle="1" w:styleId="CommentSubjectChar">
    <w:name w:val="Comment Subject Char"/>
    <w:basedOn w:val="CommentTextChar"/>
    <w:link w:val="CommentSubject"/>
    <w:uiPriority w:val="99"/>
    <w:semiHidden/>
    <w:rsid w:val="00A93CB3"/>
    <w:rPr>
      <w:b/>
      <w:bCs/>
      <w:sz w:val="20"/>
      <w:szCs w:val="20"/>
    </w:rPr>
  </w:style>
  <w:style w:type="character" w:customStyle="1" w:styleId="ListParagraphChar">
    <w:name w:val="List Paragraph Char"/>
    <w:aliases w:val="Normal bullet 2 Char,Table of contents numbered Char,body 2 Char,List_Paragraph Char,Multilevel para_II Char,List Paragraph1 Char,Forth level Char,Colorful List - Accent 11 Char,Medium Grid 1 - Accent 21 Char,Paragraph Char,bu Char"/>
    <w:basedOn w:val="DefaultParagraphFont"/>
    <w:link w:val="ListParagraph"/>
    <w:uiPriority w:val="99"/>
    <w:locked/>
    <w:rsid w:val="00FE7E13"/>
  </w:style>
  <w:style w:type="table" w:customStyle="1" w:styleId="TableGrid1">
    <w:name w:val="Table Grid1"/>
    <w:basedOn w:val="TableNormal"/>
    <w:next w:val="TableGrid"/>
    <w:uiPriority w:val="59"/>
    <w:rsid w:val="00C3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E75285"/>
    <w:pPr>
      <w:autoSpaceDE w:val="0"/>
      <w:autoSpaceDN w:val="0"/>
      <w:adjustRightInd w:val="0"/>
      <w:spacing w:after="0" w:line="240" w:lineRule="auto"/>
    </w:pPr>
    <w:rPr>
      <w:rFonts w:ascii="EUAlbertina" w:hAnsi="EUAlbertina"/>
      <w:sz w:val="24"/>
      <w:szCs w:val="24"/>
    </w:rPr>
  </w:style>
  <w:style w:type="paragraph" w:customStyle="1" w:styleId="Text1">
    <w:name w:val="Text 1"/>
    <w:basedOn w:val="Normal"/>
    <w:link w:val="Text1Char"/>
    <w:rsid w:val="00BA6609"/>
    <w:pPr>
      <w:spacing w:before="120" w:after="120" w:line="240" w:lineRule="auto"/>
      <w:ind w:left="850"/>
      <w:jc w:val="both"/>
    </w:pPr>
    <w:rPr>
      <w:rFonts w:ascii="Times New Roman" w:eastAsia="Times New Roman" w:hAnsi="Times New Roman" w:cs="Times New Roman"/>
      <w:sz w:val="24"/>
      <w:szCs w:val="24"/>
      <w:lang w:val="en-GB"/>
    </w:rPr>
  </w:style>
  <w:style w:type="character" w:customStyle="1" w:styleId="Text1Char">
    <w:name w:val="Text 1 Char"/>
    <w:link w:val="Text1"/>
    <w:locked/>
    <w:rsid w:val="00BA6609"/>
    <w:rPr>
      <w:rFonts w:ascii="Times New Roman" w:eastAsia="Times New Roman" w:hAnsi="Times New Roman" w:cs="Times New Roman"/>
      <w:sz w:val="24"/>
      <w:szCs w:val="24"/>
      <w:lang w:val="en-GB"/>
    </w:rPr>
  </w:style>
  <w:style w:type="paragraph" w:styleId="Revision">
    <w:name w:val="Revision"/>
    <w:hidden/>
    <w:uiPriority w:val="99"/>
    <w:semiHidden/>
    <w:rsid w:val="00AB7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2385">
      <w:bodyDiv w:val="1"/>
      <w:marLeft w:val="0"/>
      <w:marRight w:val="0"/>
      <w:marTop w:val="0"/>
      <w:marBottom w:val="0"/>
      <w:divBdr>
        <w:top w:val="none" w:sz="0" w:space="0" w:color="auto"/>
        <w:left w:val="none" w:sz="0" w:space="0" w:color="auto"/>
        <w:bottom w:val="none" w:sz="0" w:space="0" w:color="auto"/>
        <w:right w:val="none" w:sz="0" w:space="0" w:color="auto"/>
      </w:divBdr>
    </w:div>
    <w:div w:id="146678713">
      <w:bodyDiv w:val="1"/>
      <w:marLeft w:val="0"/>
      <w:marRight w:val="0"/>
      <w:marTop w:val="0"/>
      <w:marBottom w:val="0"/>
      <w:divBdr>
        <w:top w:val="none" w:sz="0" w:space="0" w:color="auto"/>
        <w:left w:val="none" w:sz="0" w:space="0" w:color="auto"/>
        <w:bottom w:val="none" w:sz="0" w:space="0" w:color="auto"/>
        <w:right w:val="none" w:sz="0" w:space="0" w:color="auto"/>
      </w:divBdr>
    </w:div>
    <w:div w:id="1010647742">
      <w:bodyDiv w:val="1"/>
      <w:marLeft w:val="0"/>
      <w:marRight w:val="0"/>
      <w:marTop w:val="0"/>
      <w:marBottom w:val="0"/>
      <w:divBdr>
        <w:top w:val="none" w:sz="0" w:space="0" w:color="auto"/>
        <w:left w:val="none" w:sz="0" w:space="0" w:color="auto"/>
        <w:bottom w:val="none" w:sz="0" w:space="0" w:color="auto"/>
        <w:right w:val="none" w:sz="0" w:space="0" w:color="auto"/>
      </w:divBdr>
    </w:div>
    <w:div w:id="1056976759">
      <w:bodyDiv w:val="1"/>
      <w:marLeft w:val="0"/>
      <w:marRight w:val="0"/>
      <w:marTop w:val="0"/>
      <w:marBottom w:val="0"/>
      <w:divBdr>
        <w:top w:val="none" w:sz="0" w:space="0" w:color="auto"/>
        <w:left w:val="none" w:sz="0" w:space="0" w:color="auto"/>
        <w:bottom w:val="none" w:sz="0" w:space="0" w:color="auto"/>
        <w:right w:val="none" w:sz="0" w:space="0" w:color="auto"/>
      </w:divBdr>
    </w:div>
    <w:div w:id="1377588637">
      <w:bodyDiv w:val="1"/>
      <w:marLeft w:val="0"/>
      <w:marRight w:val="0"/>
      <w:marTop w:val="0"/>
      <w:marBottom w:val="0"/>
      <w:divBdr>
        <w:top w:val="none" w:sz="0" w:space="0" w:color="auto"/>
        <w:left w:val="none" w:sz="0" w:space="0" w:color="auto"/>
        <w:bottom w:val="none" w:sz="0" w:space="0" w:color="auto"/>
        <w:right w:val="none" w:sz="0" w:space="0" w:color="auto"/>
      </w:divBdr>
      <w:divsChild>
        <w:div w:id="616259010">
          <w:marLeft w:val="0"/>
          <w:marRight w:val="0"/>
          <w:marTop w:val="0"/>
          <w:marBottom w:val="0"/>
          <w:divBdr>
            <w:top w:val="none" w:sz="0" w:space="0" w:color="auto"/>
            <w:left w:val="none" w:sz="0" w:space="0" w:color="auto"/>
            <w:bottom w:val="none" w:sz="0" w:space="0" w:color="auto"/>
            <w:right w:val="none" w:sz="0" w:space="0" w:color="auto"/>
          </w:divBdr>
        </w:div>
        <w:div w:id="1595702691">
          <w:marLeft w:val="0"/>
          <w:marRight w:val="0"/>
          <w:marTop w:val="0"/>
          <w:marBottom w:val="0"/>
          <w:divBdr>
            <w:top w:val="none" w:sz="0" w:space="0" w:color="auto"/>
            <w:left w:val="none" w:sz="0" w:space="0" w:color="auto"/>
            <w:bottom w:val="none" w:sz="0" w:space="0" w:color="auto"/>
            <w:right w:val="none" w:sz="0" w:space="0" w:color="auto"/>
          </w:divBdr>
          <w:divsChild>
            <w:div w:id="640499165">
              <w:marLeft w:val="0"/>
              <w:marRight w:val="0"/>
              <w:marTop w:val="0"/>
              <w:marBottom w:val="0"/>
              <w:divBdr>
                <w:top w:val="none" w:sz="0" w:space="0" w:color="auto"/>
                <w:left w:val="none" w:sz="0" w:space="0" w:color="auto"/>
                <w:bottom w:val="none" w:sz="0" w:space="0" w:color="auto"/>
                <w:right w:val="none" w:sz="0" w:space="0" w:color="auto"/>
              </w:divBdr>
              <w:divsChild>
                <w:div w:id="1866668539">
                  <w:marLeft w:val="-330"/>
                  <w:marRight w:val="0"/>
                  <w:marTop w:val="0"/>
                  <w:marBottom w:val="0"/>
                  <w:divBdr>
                    <w:top w:val="none" w:sz="0" w:space="0" w:color="auto"/>
                    <w:left w:val="none" w:sz="0" w:space="0" w:color="auto"/>
                    <w:bottom w:val="none" w:sz="0" w:space="0" w:color="auto"/>
                    <w:right w:val="none" w:sz="0" w:space="0" w:color="auto"/>
                  </w:divBdr>
                </w:div>
                <w:div w:id="514340695">
                  <w:marLeft w:val="0"/>
                  <w:marRight w:val="0"/>
                  <w:marTop w:val="0"/>
                  <w:marBottom w:val="0"/>
                  <w:divBdr>
                    <w:top w:val="none" w:sz="0" w:space="0" w:color="auto"/>
                    <w:left w:val="none" w:sz="0" w:space="0" w:color="auto"/>
                    <w:bottom w:val="none" w:sz="0" w:space="0" w:color="auto"/>
                    <w:right w:val="none" w:sz="0" w:space="0" w:color="auto"/>
                  </w:divBdr>
                  <w:divsChild>
                    <w:div w:id="9436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2737">
          <w:marLeft w:val="0"/>
          <w:marRight w:val="0"/>
          <w:marTop w:val="0"/>
          <w:marBottom w:val="0"/>
          <w:divBdr>
            <w:top w:val="none" w:sz="0" w:space="0" w:color="auto"/>
            <w:left w:val="none" w:sz="0" w:space="0" w:color="auto"/>
            <w:bottom w:val="none" w:sz="0" w:space="0" w:color="auto"/>
            <w:right w:val="none" w:sz="0" w:space="0" w:color="auto"/>
          </w:divBdr>
          <w:divsChild>
            <w:div w:id="1894927257">
              <w:marLeft w:val="0"/>
              <w:marRight w:val="0"/>
              <w:marTop w:val="0"/>
              <w:marBottom w:val="0"/>
              <w:divBdr>
                <w:top w:val="none" w:sz="0" w:space="0" w:color="auto"/>
                <w:left w:val="none" w:sz="0" w:space="0" w:color="auto"/>
                <w:bottom w:val="none" w:sz="0" w:space="0" w:color="auto"/>
                <w:right w:val="none" w:sz="0" w:space="0" w:color="auto"/>
              </w:divBdr>
            </w:div>
            <w:div w:id="11482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525">
      <w:bodyDiv w:val="1"/>
      <w:marLeft w:val="0"/>
      <w:marRight w:val="0"/>
      <w:marTop w:val="0"/>
      <w:marBottom w:val="0"/>
      <w:divBdr>
        <w:top w:val="none" w:sz="0" w:space="0" w:color="auto"/>
        <w:left w:val="none" w:sz="0" w:space="0" w:color="auto"/>
        <w:bottom w:val="none" w:sz="0" w:space="0" w:color="auto"/>
        <w:right w:val="none" w:sz="0" w:space="0" w:color="auto"/>
      </w:divBdr>
    </w:div>
    <w:div w:id="17717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ciap@fonduri-u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nduri-ue.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nduri-ue.ro" TargetMode="External"/><Relationship Id="rId5" Type="http://schemas.openxmlformats.org/officeDocument/2006/relationships/settings" Target="settings.xml"/><Relationship Id="rId15" Type="http://schemas.openxmlformats.org/officeDocument/2006/relationships/hyperlink" Target="http://www.fonduri-ue.ro/orientari-beneficiari" TargetMode="External"/><Relationship Id="rId10" Type="http://schemas.openxmlformats.org/officeDocument/2006/relationships/hyperlink" Target="http://www.itideltadunarii.c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eur-lex.europa.eu/legal-content/RO/TXT/HTML/?uri=CELEX:32013R1293&amp;from=RO" TargetMode="External"/><Relationship Id="rId14" Type="http://schemas.openxmlformats.org/officeDocument/2006/relationships/hyperlink" Target="http://www.fonduri-ue.ro/orientari-benefici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F53B-64E4-4998-8900-526C7206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49</Pages>
  <Words>29520</Words>
  <Characters>171221</Characters>
  <Application>Microsoft Office Word</Application>
  <DocSecurity>0</DocSecurity>
  <Lines>1426</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Maria Ciocoiu</dc:creator>
  <cp:lastModifiedBy>Ioana Maria Ciocoiu</cp:lastModifiedBy>
  <cp:revision>6</cp:revision>
  <cp:lastPrinted>2019-08-13T08:39:00Z</cp:lastPrinted>
  <dcterms:created xsi:type="dcterms:W3CDTF">2019-08-19T08:50:00Z</dcterms:created>
  <dcterms:modified xsi:type="dcterms:W3CDTF">2019-08-19T11:36:00Z</dcterms:modified>
</cp:coreProperties>
</file>