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300158" w:rsidRPr="003F28CA" w:rsidTr="000555E6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:rsidR="00300158" w:rsidRPr="003F28CA" w:rsidRDefault="000A2CF8" w:rsidP="000555E6">
            <w:pPr>
              <w:pStyle w:val="EPName"/>
              <w:rPr>
                <w:color w:val="auto"/>
              </w:rPr>
            </w:pPr>
            <w:bookmarkStart w:id="0" w:name="_GoBack"/>
            <w:bookmarkEnd w:id="0"/>
            <w:r w:rsidRPr="003F28CA">
              <w:rPr>
                <w:color w:val="auto"/>
              </w:rPr>
              <w:t>Parlamentul European</w:t>
            </w:r>
          </w:p>
          <w:p w:rsidR="00300158" w:rsidRPr="003F28CA" w:rsidRDefault="005B09DF" w:rsidP="005B09DF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3F28CA">
              <w:t>2019-2024</w:t>
            </w:r>
          </w:p>
        </w:tc>
        <w:tc>
          <w:tcPr>
            <w:tcW w:w="2268" w:type="dxa"/>
            <w:shd w:val="clear" w:color="auto" w:fill="auto"/>
          </w:tcPr>
          <w:p w:rsidR="00300158" w:rsidRPr="003F28CA" w:rsidRDefault="00636F91" w:rsidP="000555E6">
            <w:pPr>
              <w:pStyle w:val="EPLogo"/>
            </w:pPr>
            <w:r w:rsidRPr="003F28C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51.75pt">
                  <v:imagedata r:id="rId8" o:title="EP logo RGB_Mute"/>
                </v:shape>
              </w:pict>
            </w:r>
          </w:p>
        </w:tc>
      </w:tr>
    </w:tbl>
    <w:p w:rsidR="00D461B7" w:rsidRPr="003F28CA" w:rsidRDefault="00D461B7" w:rsidP="00D461B7">
      <w:pPr>
        <w:pStyle w:val="LineTop"/>
      </w:pPr>
    </w:p>
    <w:p w:rsidR="00D461B7" w:rsidRPr="003F28CA" w:rsidRDefault="00D461B7" w:rsidP="00D461B7">
      <w:pPr>
        <w:pStyle w:val="ZCommittee"/>
      </w:pPr>
      <w:r w:rsidRPr="003F28CA">
        <w:rPr>
          <w:rStyle w:val="HideTWBExt"/>
          <w:noProof w:val="0"/>
        </w:rPr>
        <w:t>&lt;</w:t>
      </w:r>
      <w:r w:rsidRPr="003F28CA">
        <w:rPr>
          <w:rStyle w:val="HideTWBExt"/>
          <w:i w:val="0"/>
          <w:noProof w:val="0"/>
        </w:rPr>
        <w:t>Commission</w:t>
      </w:r>
      <w:r w:rsidRPr="003F28CA">
        <w:rPr>
          <w:rStyle w:val="HideTWBExt"/>
          <w:noProof w:val="0"/>
        </w:rPr>
        <w:t>&gt;</w:t>
      </w:r>
      <w:r w:rsidRPr="003F28CA">
        <w:rPr>
          <w:rStyle w:val="HideTWBInt"/>
          <w:i w:val="0"/>
        </w:rPr>
        <w:t>{BUDG}</w:t>
      </w:r>
      <w:r w:rsidRPr="003F28CA">
        <w:t>Comisia pentru bugete</w:t>
      </w:r>
      <w:r w:rsidRPr="003F28CA">
        <w:rPr>
          <w:rStyle w:val="HideTWBExt"/>
          <w:noProof w:val="0"/>
        </w:rPr>
        <w:t>&lt;/</w:t>
      </w:r>
      <w:r w:rsidRPr="003F28CA">
        <w:rPr>
          <w:rStyle w:val="HideTWBExt"/>
          <w:i w:val="0"/>
          <w:noProof w:val="0"/>
        </w:rPr>
        <w:t>Commission</w:t>
      </w:r>
      <w:r w:rsidRPr="003F28CA">
        <w:rPr>
          <w:rStyle w:val="HideTWBExt"/>
          <w:noProof w:val="0"/>
        </w:rPr>
        <w:t>&gt;</w:t>
      </w:r>
    </w:p>
    <w:p w:rsidR="00D461B7" w:rsidRPr="003F28CA" w:rsidRDefault="00D461B7" w:rsidP="00D461B7">
      <w:pPr>
        <w:pStyle w:val="LineBottom"/>
      </w:pPr>
    </w:p>
    <w:p w:rsidR="004D2440" w:rsidRPr="003F28CA" w:rsidRDefault="004D2440">
      <w:pPr>
        <w:pStyle w:val="RefProc"/>
      </w:pPr>
      <w:r w:rsidRPr="003F28CA">
        <w:rPr>
          <w:rStyle w:val="HideTWBExt"/>
          <w:b w:val="0"/>
          <w:noProof w:val="0"/>
        </w:rPr>
        <w:t>&lt;</w:t>
      </w:r>
      <w:r w:rsidRPr="003F28CA">
        <w:rPr>
          <w:rStyle w:val="HideTWBExt"/>
          <w:b w:val="0"/>
          <w:caps w:val="0"/>
          <w:noProof w:val="0"/>
        </w:rPr>
        <w:t>RefProc</w:t>
      </w:r>
      <w:r w:rsidRPr="003F28CA">
        <w:rPr>
          <w:rStyle w:val="HideTWBExt"/>
          <w:b w:val="0"/>
          <w:noProof w:val="0"/>
        </w:rPr>
        <w:t>&gt;</w:t>
      </w:r>
      <w:r w:rsidRPr="003F28CA">
        <w:t>2019/2023</w:t>
      </w:r>
      <w:r w:rsidRPr="003F28CA">
        <w:rPr>
          <w:rStyle w:val="HideTWBExt"/>
          <w:b w:val="0"/>
          <w:noProof w:val="0"/>
        </w:rPr>
        <w:t>&lt;/</w:t>
      </w:r>
      <w:r w:rsidRPr="003F28CA">
        <w:rPr>
          <w:rStyle w:val="HideTWBExt"/>
          <w:b w:val="0"/>
          <w:caps w:val="0"/>
          <w:noProof w:val="0"/>
        </w:rPr>
        <w:t>RefProc</w:t>
      </w:r>
      <w:r w:rsidRPr="003F28CA">
        <w:rPr>
          <w:rStyle w:val="HideTWBExt"/>
          <w:b w:val="0"/>
          <w:noProof w:val="0"/>
        </w:rPr>
        <w:t>&gt;&lt;</w:t>
      </w:r>
      <w:r w:rsidRPr="003F28CA">
        <w:rPr>
          <w:rStyle w:val="HideTWBExt"/>
          <w:b w:val="0"/>
          <w:caps w:val="0"/>
          <w:noProof w:val="0"/>
        </w:rPr>
        <w:t>RefTypeProc</w:t>
      </w:r>
      <w:r w:rsidRPr="003F28CA">
        <w:rPr>
          <w:rStyle w:val="HideTWBExt"/>
          <w:b w:val="0"/>
          <w:noProof w:val="0"/>
        </w:rPr>
        <w:t>&gt;</w:t>
      </w:r>
      <w:r w:rsidRPr="003F28CA">
        <w:t>(BUD)</w:t>
      </w:r>
      <w:r w:rsidRPr="003F28CA">
        <w:rPr>
          <w:rStyle w:val="HideTWBExt"/>
          <w:b w:val="0"/>
          <w:noProof w:val="0"/>
        </w:rPr>
        <w:t>&lt;/</w:t>
      </w:r>
      <w:r w:rsidRPr="003F28CA">
        <w:rPr>
          <w:rStyle w:val="HideTWBExt"/>
          <w:b w:val="0"/>
          <w:caps w:val="0"/>
          <w:noProof w:val="0"/>
        </w:rPr>
        <w:t>RefTypeProc</w:t>
      </w:r>
      <w:r w:rsidRPr="003F28CA">
        <w:rPr>
          <w:rStyle w:val="HideTWBExt"/>
          <w:b w:val="0"/>
          <w:noProof w:val="0"/>
        </w:rPr>
        <w:t>&gt;</w:t>
      </w:r>
    </w:p>
    <w:p w:rsidR="004D2440" w:rsidRPr="003F28CA" w:rsidRDefault="004D2440">
      <w:pPr>
        <w:pStyle w:val="ZDate"/>
      </w:pPr>
      <w:r w:rsidRPr="003F28CA">
        <w:rPr>
          <w:rStyle w:val="HideTWBExt"/>
          <w:noProof w:val="0"/>
        </w:rPr>
        <w:t>&lt;Date&gt;</w:t>
      </w:r>
      <w:r w:rsidRPr="003F28CA">
        <w:rPr>
          <w:rStyle w:val="HideTWBInt"/>
        </w:rPr>
        <w:t>{11/07/2019}</w:t>
      </w:r>
      <w:r w:rsidRPr="003F28CA">
        <w:t>11.7.2019</w:t>
      </w:r>
      <w:r w:rsidRPr="003F28CA">
        <w:rPr>
          <w:rStyle w:val="HideTWBExt"/>
          <w:noProof w:val="0"/>
        </w:rPr>
        <w:t>&lt;/Date&gt;</w:t>
      </w:r>
    </w:p>
    <w:p w:rsidR="004D2440" w:rsidRPr="003F28CA" w:rsidRDefault="004D2440">
      <w:pPr>
        <w:pStyle w:val="TypeDoc"/>
      </w:pPr>
      <w:r w:rsidRPr="003F28CA">
        <w:rPr>
          <w:rStyle w:val="HideTWBExt"/>
          <w:b w:val="0"/>
          <w:noProof w:val="0"/>
        </w:rPr>
        <w:t>&lt;TitreType&gt;</w:t>
      </w:r>
      <w:r w:rsidRPr="003F28CA">
        <w:t>PROIECT DE RAPORT</w:t>
      </w:r>
      <w:r w:rsidRPr="003F28CA">
        <w:rPr>
          <w:rStyle w:val="HideTWBExt"/>
          <w:b w:val="0"/>
          <w:noProof w:val="0"/>
        </w:rPr>
        <w:t>&lt;/TitreType&gt;</w:t>
      </w:r>
    </w:p>
    <w:p w:rsidR="004D2440" w:rsidRPr="003F28CA" w:rsidRDefault="004D2440">
      <w:pPr>
        <w:pStyle w:val="CoverNormal"/>
      </w:pPr>
      <w:r w:rsidRPr="003F28CA">
        <w:rPr>
          <w:rStyle w:val="HideTWBExt"/>
          <w:noProof w:val="0"/>
        </w:rPr>
        <w:t>&lt;Titre&gt;</w:t>
      </w:r>
      <w:r w:rsidRPr="003F28CA">
        <w:t xml:space="preserve">referitor la propunerea de decizie a Parlamentului European </w:t>
      </w:r>
      <w:r w:rsidR="003F28CA" w:rsidRPr="003F28CA">
        <w:t>ș</w:t>
      </w:r>
      <w:r w:rsidRPr="003F28CA">
        <w:t>i a Consiliului privind mobilizarea Fondului de solidaritate al Uniunii Europene în vederea furnizării de asisten</w:t>
      </w:r>
      <w:r w:rsidR="003F28CA" w:rsidRPr="003F28CA">
        <w:t>ț</w:t>
      </w:r>
      <w:r w:rsidRPr="003F28CA">
        <w:t xml:space="preserve">ă României, Italiei </w:t>
      </w:r>
      <w:r w:rsidR="003F28CA" w:rsidRPr="003F28CA">
        <w:t>ș</w:t>
      </w:r>
      <w:r w:rsidRPr="003F28CA">
        <w:t>i Austriei</w:t>
      </w:r>
      <w:r w:rsidRPr="003F28CA">
        <w:rPr>
          <w:rStyle w:val="HideTWBExt"/>
          <w:noProof w:val="0"/>
        </w:rPr>
        <w:t>&lt;/Titre&gt;</w:t>
      </w:r>
    </w:p>
    <w:p w:rsidR="004D2440" w:rsidRPr="003F28CA" w:rsidRDefault="004D2440">
      <w:pPr>
        <w:pStyle w:val="Cover24"/>
      </w:pPr>
      <w:r w:rsidRPr="003F28CA">
        <w:rPr>
          <w:rStyle w:val="HideTWBExt"/>
          <w:noProof w:val="0"/>
        </w:rPr>
        <w:t>&lt;DocRef&gt;</w:t>
      </w:r>
      <w:r w:rsidRPr="003F28CA">
        <w:t>(COM(2019)0206 – C9</w:t>
      </w:r>
      <w:r w:rsidRPr="003F28CA">
        <w:noBreakHyphen/>
        <w:t>0005/2019 – 2019/2023(BUD))</w:t>
      </w:r>
      <w:r w:rsidRPr="003F28CA">
        <w:rPr>
          <w:rStyle w:val="HideTWBExt"/>
          <w:noProof w:val="0"/>
        </w:rPr>
        <w:t>&lt;/DocRef&gt;</w:t>
      </w:r>
    </w:p>
    <w:p w:rsidR="004D2440" w:rsidRPr="003F28CA" w:rsidRDefault="004D2440">
      <w:pPr>
        <w:pStyle w:val="Cover24"/>
      </w:pPr>
      <w:r w:rsidRPr="003F28CA">
        <w:rPr>
          <w:rStyle w:val="HideTWBExt"/>
          <w:noProof w:val="0"/>
        </w:rPr>
        <w:t>&lt;Commission&gt;</w:t>
      </w:r>
      <w:r w:rsidRPr="003F28CA">
        <w:rPr>
          <w:rStyle w:val="HideTWBInt"/>
        </w:rPr>
        <w:t>{BUDG}</w:t>
      </w:r>
      <w:r w:rsidRPr="003F28CA">
        <w:t>Comisia pentru bugete</w:t>
      </w:r>
      <w:r w:rsidRPr="003F28CA">
        <w:rPr>
          <w:rStyle w:val="HideTWBExt"/>
          <w:noProof w:val="0"/>
        </w:rPr>
        <w:t>&lt;/Commission&gt;</w:t>
      </w:r>
    </w:p>
    <w:p w:rsidR="004D2440" w:rsidRPr="003F28CA" w:rsidRDefault="000A2CF8">
      <w:pPr>
        <w:pStyle w:val="Cover24"/>
      </w:pPr>
      <w:r w:rsidRPr="003F28CA">
        <w:t xml:space="preserve">Raportor: </w:t>
      </w:r>
      <w:r w:rsidRPr="003F28CA">
        <w:rPr>
          <w:rStyle w:val="HideTWBExt"/>
          <w:noProof w:val="0"/>
        </w:rPr>
        <w:t>&lt;Depute&gt;</w:t>
      </w:r>
      <w:r w:rsidRPr="003F28CA">
        <w:t>Siegfried Mure</w:t>
      </w:r>
      <w:r w:rsidR="003F28CA" w:rsidRPr="003F28CA">
        <w:t>ș</w:t>
      </w:r>
      <w:r w:rsidRPr="003F28CA">
        <w:t>an</w:t>
      </w:r>
      <w:r w:rsidRPr="003F28CA">
        <w:rPr>
          <w:rStyle w:val="HideTWBExt"/>
          <w:noProof w:val="0"/>
        </w:rPr>
        <w:t>&lt;/Depute&gt;</w:t>
      </w:r>
    </w:p>
    <w:p w:rsidR="004D2440" w:rsidRPr="003F28CA" w:rsidRDefault="004D2440" w:rsidP="00300158">
      <w:pPr>
        <w:widowControl/>
        <w:tabs>
          <w:tab w:val="center" w:pos="4677"/>
        </w:tabs>
      </w:pPr>
      <w:r w:rsidRPr="003F28CA">
        <w:br w:type="page"/>
      </w:r>
    </w:p>
    <w:p w:rsidR="004D2440" w:rsidRPr="003F28CA" w:rsidRDefault="000A2CF8" w:rsidP="00300158">
      <w:pPr>
        <w:widowControl/>
        <w:tabs>
          <w:tab w:val="center" w:pos="4677"/>
        </w:tabs>
      </w:pPr>
      <w:r w:rsidRPr="003F28CA">
        <w:t>PR_BUD_Funds</w:t>
      </w:r>
    </w:p>
    <w:p w:rsidR="004D2440" w:rsidRPr="003F28CA" w:rsidRDefault="000A2CF8">
      <w:pPr>
        <w:pStyle w:val="TOCHeading"/>
      </w:pPr>
      <w:r w:rsidRPr="003F28CA">
        <w:t>CUPRINS</w:t>
      </w:r>
    </w:p>
    <w:p w:rsidR="004D2440" w:rsidRPr="003F28CA" w:rsidRDefault="000A2CF8">
      <w:pPr>
        <w:pStyle w:val="TOCPage"/>
      </w:pPr>
      <w:r w:rsidRPr="003F28CA">
        <w:t>Pagina</w:t>
      </w:r>
    </w:p>
    <w:p w:rsidR="00D46F73" w:rsidRDefault="004D2440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 w:rsidRPr="003F28CA">
        <w:fldChar w:fldCharType="begin"/>
      </w:r>
      <w:r w:rsidRPr="003F28CA">
        <w:instrText xml:space="preserve"> TOC \t "PageHeading</w:instrText>
      </w:r>
      <w:r w:rsidR="002F2471" w:rsidRPr="003F28CA">
        <w:instrText>;</w:instrText>
      </w:r>
      <w:r w:rsidRPr="003F28CA">
        <w:instrText xml:space="preserve">1" </w:instrText>
      </w:r>
      <w:r w:rsidRPr="003F28CA">
        <w:fldChar w:fldCharType="separate"/>
      </w:r>
      <w:r w:rsidR="00D46F73">
        <w:rPr>
          <w:noProof/>
        </w:rPr>
        <w:t>PROPUNERE DE REZOLUȚIE A PARLAMENTULUI EUROPEAN</w:t>
      </w:r>
      <w:r w:rsidR="00D46F73">
        <w:rPr>
          <w:noProof/>
        </w:rPr>
        <w:tab/>
      </w:r>
      <w:r w:rsidR="00D46F73">
        <w:rPr>
          <w:noProof/>
        </w:rPr>
        <w:fldChar w:fldCharType="begin"/>
      </w:r>
      <w:r w:rsidR="00D46F73">
        <w:rPr>
          <w:noProof/>
        </w:rPr>
        <w:instrText xml:space="preserve"> PAGEREF _Toc14875816 \h </w:instrText>
      </w:r>
      <w:r w:rsidR="00D46F73">
        <w:rPr>
          <w:noProof/>
        </w:rPr>
      </w:r>
      <w:r w:rsidR="00D46F73">
        <w:rPr>
          <w:noProof/>
        </w:rPr>
        <w:fldChar w:fldCharType="separate"/>
      </w:r>
      <w:r w:rsidR="00D46F73">
        <w:rPr>
          <w:noProof/>
        </w:rPr>
        <w:t>3</w:t>
      </w:r>
      <w:r w:rsidR="00D46F73">
        <w:rPr>
          <w:noProof/>
        </w:rPr>
        <w:fldChar w:fldCharType="end"/>
      </w:r>
    </w:p>
    <w:p w:rsidR="00D46F73" w:rsidRDefault="00D46F73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>
        <w:rPr>
          <w:noProof/>
        </w:rPr>
        <w:t>EXPUNERE DE MOTIVE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_Toc14875817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46F73" w:rsidRDefault="00D46F73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/>
        </w:rPr>
      </w:pPr>
      <w:r>
        <w:rPr>
          <w:noProof/>
        </w:rPr>
        <w:t>ANEXĂ – SCRISOAREA COMISIEI PENTRU DEZVOLTARE REGIONALĂ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_Toc14875818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D2440" w:rsidRPr="003F28CA" w:rsidRDefault="004D2440">
      <w:pPr>
        <w:pStyle w:val="PageHeading"/>
      </w:pPr>
      <w:r w:rsidRPr="003F28CA">
        <w:rPr>
          <w:rFonts w:ascii="Times New Roman" w:hAnsi="Times New Roman"/>
        </w:rPr>
        <w:fldChar w:fldCharType="end"/>
      </w:r>
    </w:p>
    <w:p w:rsidR="004D2440" w:rsidRPr="003F28CA" w:rsidRDefault="004D2440">
      <w:pPr>
        <w:pStyle w:val="PageHeading"/>
      </w:pPr>
      <w:r w:rsidRPr="003F28CA">
        <w:br w:type="page"/>
      </w:r>
      <w:bookmarkStart w:id="1" w:name="_Toc14875816"/>
      <w:r w:rsidRPr="003F28CA">
        <w:lastRenderedPageBreak/>
        <w:t>PROPUNERE DE REZOLU</w:t>
      </w:r>
      <w:r w:rsidR="003F28CA" w:rsidRPr="003F28CA">
        <w:t>Ț</w:t>
      </w:r>
      <w:r w:rsidRPr="003F28CA">
        <w:t>IE A PARLAMENTULUI EUROPEAN</w:t>
      </w:r>
      <w:bookmarkEnd w:id="1"/>
    </w:p>
    <w:p w:rsidR="004D2440" w:rsidRPr="003F28CA" w:rsidRDefault="000A2CF8">
      <w:pPr>
        <w:pStyle w:val="NormalBold"/>
      </w:pPr>
      <w:r w:rsidRPr="003F28CA">
        <w:t xml:space="preserve">referitoare la propunerea de decizie a Parlamentului European </w:t>
      </w:r>
      <w:r w:rsidR="003F28CA" w:rsidRPr="003F28CA">
        <w:t>ș</w:t>
      </w:r>
      <w:r w:rsidRPr="003F28CA">
        <w:t>i a Consiliului privind mobilizarea Fondului de solidaritate al Uniunii Europene în vederea furnizării de asisten</w:t>
      </w:r>
      <w:r w:rsidR="003F28CA" w:rsidRPr="003F28CA">
        <w:t>ț</w:t>
      </w:r>
      <w:r w:rsidRPr="003F28CA">
        <w:t xml:space="preserve">ă României, Italiei </w:t>
      </w:r>
      <w:r w:rsidR="003F28CA" w:rsidRPr="003F28CA">
        <w:t>ș</w:t>
      </w:r>
      <w:r w:rsidRPr="003F28CA">
        <w:t>i Austriei</w:t>
      </w:r>
    </w:p>
    <w:p w:rsidR="004D2440" w:rsidRPr="003F28CA" w:rsidRDefault="000A2CF8">
      <w:pPr>
        <w:pStyle w:val="Normal12Bold"/>
      </w:pPr>
      <w:r w:rsidRPr="003F28CA">
        <w:t>(COM(2019)0206 – C9</w:t>
      </w:r>
      <w:r w:rsidRPr="003F28CA">
        <w:noBreakHyphen/>
        <w:t>0005/2019 – 2019/2023(BUD))</w:t>
      </w:r>
    </w:p>
    <w:p w:rsidR="00A1654F" w:rsidRPr="003F28CA" w:rsidRDefault="00A1654F" w:rsidP="00A1654F">
      <w:pPr>
        <w:pStyle w:val="Normal12"/>
      </w:pPr>
      <w:r w:rsidRPr="003F28CA">
        <w:rPr>
          <w:i/>
        </w:rPr>
        <w:t>Parlamentul European</w:t>
      </w:r>
      <w:r w:rsidRPr="003F28CA">
        <w:t>,</w:t>
      </w:r>
    </w:p>
    <w:p w:rsidR="00A1654F" w:rsidRPr="003F28CA" w:rsidRDefault="00A1654F" w:rsidP="00A1654F">
      <w:pPr>
        <w:pStyle w:val="Normal12Hanging"/>
        <w:jc w:val="both"/>
        <w:rPr>
          <w:rFonts w:eastAsia="Arial Unicode MS" w:cs="Arial Unicode MS"/>
          <w:szCs w:val="24"/>
        </w:rPr>
      </w:pPr>
      <w:r w:rsidRPr="003F28CA">
        <w:t>–</w:t>
      </w:r>
      <w:r w:rsidRPr="003F28CA">
        <w:tab/>
        <w:t xml:space="preserve">având în vedere propunerea Comisiei prezentată Parlamentului European </w:t>
      </w:r>
      <w:r w:rsidR="003F28CA" w:rsidRPr="003F28CA">
        <w:t>ș</w:t>
      </w:r>
      <w:r w:rsidRPr="003F28CA">
        <w:t>i Consiliului (COM(2019)0206 – C9</w:t>
      </w:r>
      <w:r w:rsidRPr="003F28CA">
        <w:noBreakHyphen/>
        <w:t>0005/2019),</w:t>
      </w:r>
      <w:r w:rsidRPr="003F28CA">
        <w:rPr>
          <w:b/>
          <w:szCs w:val="24"/>
        </w:rPr>
        <w:t xml:space="preserve"> </w:t>
      </w:r>
    </w:p>
    <w:p w:rsidR="00A1654F" w:rsidRPr="003F28CA" w:rsidRDefault="00A1654F" w:rsidP="00A1654F">
      <w:pPr>
        <w:spacing w:after="240"/>
        <w:ind w:left="567" w:hanging="567"/>
        <w:rPr>
          <w:rFonts w:eastAsia="Arial Unicode MS" w:cs="Arial Unicode MS"/>
          <w:szCs w:val="24"/>
        </w:rPr>
      </w:pPr>
      <w:r w:rsidRPr="003F28CA">
        <w:t>–</w:t>
      </w:r>
      <w:r w:rsidRPr="003F28CA">
        <w:tab/>
        <w:t>având în vedere Regulamentul (CE) nr. 2012/2002 al Consiliului din 11 noiembrie 2002 de instituire a Fondului de solidaritate al Uniunii Europene</w:t>
      </w:r>
      <w:r w:rsidRPr="003F28CA">
        <w:rPr>
          <w:vertAlign w:val="superscript"/>
        </w:rPr>
        <w:footnoteReference w:id="1"/>
      </w:r>
      <w:r w:rsidRPr="003F28CA">
        <w:t>,</w:t>
      </w:r>
    </w:p>
    <w:p w:rsidR="00A1654F" w:rsidRPr="003F28CA" w:rsidRDefault="00A1654F" w:rsidP="00A1654F">
      <w:pPr>
        <w:spacing w:after="240"/>
        <w:ind w:left="567" w:hanging="567"/>
        <w:rPr>
          <w:rFonts w:eastAsia="Arial Unicode MS" w:cs="Arial Unicode MS"/>
        </w:rPr>
      </w:pPr>
      <w:r w:rsidRPr="003F28CA">
        <w:t>–</w:t>
      </w:r>
      <w:r w:rsidRPr="003F28CA">
        <w:tab/>
        <w:t>având în vedere Regulamentul (UE, Euratom) nr. 1311/2013 al Consiliului din 2 decembrie 2013 de stabilire a cadrului financiar multianual pentru perioada 2014-2020</w:t>
      </w:r>
      <w:r w:rsidRPr="003F28CA">
        <w:rPr>
          <w:vertAlign w:val="superscript"/>
        </w:rPr>
        <w:footnoteReference w:id="2"/>
      </w:r>
      <w:r w:rsidRPr="003F28CA">
        <w:t>, în special articolul 10,</w:t>
      </w:r>
    </w:p>
    <w:p w:rsidR="00A1654F" w:rsidRPr="003F28CA" w:rsidRDefault="00A1654F" w:rsidP="00A1654F">
      <w:pPr>
        <w:spacing w:after="240"/>
        <w:ind w:left="567" w:hanging="567"/>
        <w:rPr>
          <w:rFonts w:eastAsia="Arial Unicode MS" w:cs="Arial Unicode MS"/>
        </w:rPr>
      </w:pPr>
      <w:r w:rsidRPr="003F28CA">
        <w:t>–</w:t>
      </w:r>
      <w:r w:rsidRPr="003F28CA">
        <w:tab/>
        <w:t>având în vedere Acordul interinstitu</w:t>
      </w:r>
      <w:r w:rsidR="003F28CA" w:rsidRPr="003F28CA">
        <w:t>ț</w:t>
      </w:r>
      <w:r w:rsidRPr="003F28CA">
        <w:t xml:space="preserve">ional din 2 decembrie 2013 dintre Parlamentul European, Consiliu </w:t>
      </w:r>
      <w:r w:rsidR="003F28CA" w:rsidRPr="003F28CA">
        <w:t>ș</w:t>
      </w:r>
      <w:r w:rsidRPr="003F28CA">
        <w:t xml:space="preserve">i Comisie privind disciplina bugetară, cooperarea în chestiuni bugetare </w:t>
      </w:r>
      <w:r w:rsidR="003F28CA" w:rsidRPr="003F28CA">
        <w:t>ș</w:t>
      </w:r>
      <w:r w:rsidRPr="003F28CA">
        <w:t>i buna gestiune financiară</w:t>
      </w:r>
      <w:r w:rsidRPr="003F28CA">
        <w:rPr>
          <w:vertAlign w:val="superscript"/>
        </w:rPr>
        <w:footnoteReference w:id="3"/>
      </w:r>
      <w:r w:rsidRPr="003F28CA">
        <w:t>, în special punctul 11,</w:t>
      </w:r>
    </w:p>
    <w:p w:rsidR="00A1654F" w:rsidRPr="003F28CA" w:rsidRDefault="00A1654F" w:rsidP="00A1654F">
      <w:pPr>
        <w:spacing w:after="240"/>
        <w:ind w:left="567" w:hanging="567"/>
        <w:rPr>
          <w:rFonts w:eastAsia="Arial Unicode MS" w:cs="Arial Unicode MS"/>
        </w:rPr>
      </w:pPr>
      <w:r w:rsidRPr="003F28CA">
        <w:t>–</w:t>
      </w:r>
      <w:r w:rsidRPr="003F28CA">
        <w:tab/>
        <w:t>având în vedere scrisoarea Comisiei pentru dezvoltare regională,</w:t>
      </w:r>
    </w:p>
    <w:p w:rsidR="00A1654F" w:rsidRPr="003F28CA" w:rsidRDefault="00A1654F" w:rsidP="00A1654F">
      <w:pPr>
        <w:spacing w:after="240"/>
        <w:ind w:left="567" w:hanging="567"/>
        <w:rPr>
          <w:rFonts w:eastAsia="Arial Unicode MS" w:cs="Arial Unicode MS"/>
        </w:rPr>
      </w:pPr>
      <w:r w:rsidRPr="003F28CA">
        <w:t>–</w:t>
      </w:r>
      <w:r w:rsidRPr="003F28CA">
        <w:tab/>
        <w:t>având în vedere raportul Comisiei pentru bugete (A9-0000/2019),</w:t>
      </w:r>
    </w:p>
    <w:p w:rsidR="00A1654F" w:rsidRPr="003F28CA" w:rsidRDefault="00A1654F" w:rsidP="00A1654F">
      <w:pPr>
        <w:spacing w:after="240"/>
        <w:ind w:left="567" w:hanging="567"/>
        <w:rPr>
          <w:rFonts w:eastAsia="Arial Unicode MS" w:cs="Arial Unicode MS"/>
        </w:rPr>
      </w:pPr>
      <w:r w:rsidRPr="003F28CA">
        <w:t>1.</w:t>
      </w:r>
      <w:r w:rsidRPr="003F28CA">
        <w:tab/>
        <w:t>salută decizia, ca semn de solidaritate a Uniunii fa</w:t>
      </w:r>
      <w:r w:rsidR="003F28CA" w:rsidRPr="003F28CA">
        <w:t>ț</w:t>
      </w:r>
      <w:r w:rsidRPr="003F28CA">
        <w:t>ă de popula</w:t>
      </w:r>
      <w:r w:rsidR="003F28CA" w:rsidRPr="003F28CA">
        <w:t>ț</w:t>
      </w:r>
      <w:r w:rsidRPr="003F28CA">
        <w:t>ia din regiunile afectate de catastrofe naturale;</w:t>
      </w:r>
    </w:p>
    <w:p w:rsidR="00A1654F" w:rsidRPr="003F28CA" w:rsidRDefault="00A1654F" w:rsidP="00A1654F">
      <w:pPr>
        <w:spacing w:before="100" w:beforeAutospacing="1" w:after="100" w:afterAutospacing="1"/>
        <w:ind w:left="567" w:hanging="567"/>
        <w:rPr>
          <w:rFonts w:eastAsia="Arial Unicode MS" w:cs="Arial Unicode MS"/>
        </w:rPr>
      </w:pPr>
      <w:r w:rsidRPr="003F28CA">
        <w:t>2.</w:t>
      </w:r>
      <w:r w:rsidRPr="003F28CA">
        <w:tab/>
        <w:t>subliniază necesitatea urgentă de a acorda asisten</w:t>
      </w:r>
      <w:r w:rsidR="003F28CA" w:rsidRPr="003F28CA">
        <w:t>ț</w:t>
      </w:r>
      <w:r w:rsidRPr="003F28CA">
        <w:t>ă financiară prin intermediul Fondului de solidaritate al Uniunii Europene („Fondul”) regiunilor afectate de catastrofe naturale în Uniune în 2018;</w:t>
      </w:r>
    </w:p>
    <w:p w:rsidR="00A1654F" w:rsidRPr="003F28CA" w:rsidRDefault="00A1654F" w:rsidP="00A1654F">
      <w:pPr>
        <w:spacing w:after="240"/>
        <w:ind w:left="567" w:hanging="567"/>
        <w:rPr>
          <w:rFonts w:eastAsia="Arial Unicode MS" w:cs="Arial Unicode MS"/>
        </w:rPr>
      </w:pPr>
      <w:r w:rsidRPr="003F28CA">
        <w:t>3.</w:t>
      </w:r>
      <w:r w:rsidRPr="003F28CA">
        <w:tab/>
        <w:t>salută propunerea Comisiei</w:t>
      </w:r>
      <w:r w:rsidR="009846A4" w:rsidRPr="003F28CA">
        <w:rPr>
          <w:rStyle w:val="FootnoteReference"/>
          <w:rFonts w:eastAsia="Arial Unicode MS" w:cs="Arial Unicode MS"/>
        </w:rPr>
        <w:footnoteReference w:id="4"/>
      </w:r>
      <w:r w:rsidRPr="003F28CA">
        <w:t xml:space="preserve"> din 7 martie 2019 de modificare a mecanismului de protec</w:t>
      </w:r>
      <w:r w:rsidR="003F28CA" w:rsidRPr="003F28CA">
        <w:t>ț</w:t>
      </w:r>
      <w:r w:rsidRPr="003F28CA">
        <w:t>ie civilă al UE ca instrument-cheie pentru consolidarea capacită</w:t>
      </w:r>
      <w:r w:rsidR="003F28CA" w:rsidRPr="003F28CA">
        <w:t>ț</w:t>
      </w:r>
      <w:r w:rsidRPr="003F28CA">
        <w:t>ilor UE de gestionare a riscurilor de catastrofe naturale, cu un pachet financiar pentru perioada de finan</w:t>
      </w:r>
      <w:r w:rsidR="003F28CA" w:rsidRPr="003F28CA">
        <w:t>ț</w:t>
      </w:r>
      <w:r w:rsidRPr="003F28CA">
        <w:t>are 2021-2027 care corespunde nivelului de ambi</w:t>
      </w:r>
      <w:r w:rsidR="003F28CA" w:rsidRPr="003F28CA">
        <w:t>ț</w:t>
      </w:r>
      <w:r w:rsidRPr="003F28CA">
        <w:t xml:space="preserve">ie stabilit în Decizia (UE) 2019/420 a Parlamentului European </w:t>
      </w:r>
      <w:r w:rsidR="003F28CA" w:rsidRPr="003F28CA">
        <w:t>ș</w:t>
      </w:r>
      <w:r w:rsidRPr="003F28CA">
        <w:t>i a Consiliului</w:t>
      </w:r>
      <w:r w:rsidR="009846A4" w:rsidRPr="003F28CA">
        <w:rPr>
          <w:rStyle w:val="FootnoteReference"/>
          <w:rFonts w:eastAsia="Arial Unicode MS" w:cs="Arial Unicode MS"/>
        </w:rPr>
        <w:footnoteReference w:id="5"/>
      </w:r>
      <w:r w:rsidRPr="003F28CA">
        <w:t xml:space="preserve"> </w:t>
      </w:r>
      <w:r w:rsidR="003F28CA" w:rsidRPr="003F28CA">
        <w:t>ș</w:t>
      </w:r>
      <w:r w:rsidRPr="003F28CA">
        <w:t>i în conformitate cu Rezolu</w:t>
      </w:r>
      <w:r w:rsidR="003F28CA" w:rsidRPr="003F28CA">
        <w:t>ț</w:t>
      </w:r>
      <w:r w:rsidRPr="003F28CA">
        <w:t>ia Parlamentului European din 14 noiembrie 2018 referitoare la cadrul financiar multianual 2021-2027</w:t>
      </w:r>
      <w:r w:rsidR="006B7F1C" w:rsidRPr="003F28CA">
        <w:rPr>
          <w:rStyle w:val="FootnoteReference"/>
          <w:rFonts w:eastAsia="Arial Unicode MS" w:cs="Arial Unicode MS"/>
        </w:rPr>
        <w:footnoteReference w:id="6"/>
      </w:r>
      <w:r w:rsidRPr="003F28CA">
        <w:t xml:space="preserve">; se declară convins că Fondul </w:t>
      </w:r>
      <w:r w:rsidR="003F28CA" w:rsidRPr="003F28CA">
        <w:t>ș</w:t>
      </w:r>
      <w:r w:rsidRPr="003F28CA">
        <w:t>i mecanismul UE de protec</w:t>
      </w:r>
      <w:r w:rsidR="003F28CA" w:rsidRPr="003F28CA">
        <w:t>ț</w:t>
      </w:r>
      <w:r w:rsidRPr="003F28CA">
        <w:t xml:space="preserve">ie civilă ar trebui să fie dublate de eforturi de prevenire, pregătire </w:t>
      </w:r>
      <w:r w:rsidR="003F28CA" w:rsidRPr="003F28CA">
        <w:t>ș</w:t>
      </w:r>
      <w:r w:rsidRPr="003F28CA">
        <w:t>i răspuns la catastrofele naturale din statele membre;</w:t>
      </w:r>
    </w:p>
    <w:p w:rsidR="00A1654F" w:rsidRPr="003F28CA" w:rsidRDefault="00A1654F" w:rsidP="00A1654F">
      <w:pPr>
        <w:spacing w:after="240"/>
        <w:ind w:left="567" w:hanging="567"/>
        <w:rPr>
          <w:rFonts w:eastAsia="Arial Unicode MS" w:cs="Arial Unicode MS"/>
        </w:rPr>
      </w:pPr>
      <w:r w:rsidRPr="003F28CA">
        <w:lastRenderedPageBreak/>
        <w:t>4.</w:t>
      </w:r>
      <w:r w:rsidRPr="003F28CA">
        <w:tab/>
        <w:t>aprobă decizia anexată la prezenta rezolu</w:t>
      </w:r>
      <w:r w:rsidR="003F28CA" w:rsidRPr="003F28CA">
        <w:t>ț</w:t>
      </w:r>
      <w:r w:rsidRPr="003F28CA">
        <w:t>ie;</w:t>
      </w:r>
    </w:p>
    <w:p w:rsidR="00A1654F" w:rsidRPr="003F28CA" w:rsidRDefault="00A1654F" w:rsidP="00A1654F">
      <w:pPr>
        <w:spacing w:after="240"/>
        <w:ind w:left="567" w:hanging="567"/>
        <w:rPr>
          <w:rFonts w:eastAsia="Arial Unicode MS" w:cs="Arial Unicode MS"/>
        </w:rPr>
      </w:pPr>
      <w:r w:rsidRPr="003F28CA">
        <w:t>5.</w:t>
      </w:r>
      <w:r w:rsidRPr="003F28CA">
        <w:tab/>
        <w:t>încredin</w:t>
      </w:r>
      <w:r w:rsidR="003F28CA" w:rsidRPr="003F28CA">
        <w:t>ț</w:t>
      </w:r>
      <w:r w:rsidRPr="003F28CA">
        <w:t>ează Pre</w:t>
      </w:r>
      <w:r w:rsidR="003F28CA" w:rsidRPr="003F28CA">
        <w:t>ș</w:t>
      </w:r>
      <w:r w:rsidRPr="003F28CA">
        <w:t>edintelui sarcina de a semna această decizie împreună cu Pre</w:t>
      </w:r>
      <w:r w:rsidR="003F28CA" w:rsidRPr="003F28CA">
        <w:t>ș</w:t>
      </w:r>
      <w:r w:rsidRPr="003F28CA">
        <w:t xml:space="preserve">edintele Consiliului </w:t>
      </w:r>
      <w:r w:rsidR="003F28CA" w:rsidRPr="003F28CA">
        <w:t>ș</w:t>
      </w:r>
      <w:r w:rsidRPr="003F28CA">
        <w:t xml:space="preserve">i de a asigura publicarea sa în </w:t>
      </w:r>
      <w:r w:rsidRPr="003F28CA">
        <w:rPr>
          <w:i/>
        </w:rPr>
        <w:t>Jurnalul Oficial al Uniunii Europene</w:t>
      </w:r>
      <w:r w:rsidRPr="003F28CA">
        <w:t>;</w:t>
      </w:r>
    </w:p>
    <w:p w:rsidR="00A1654F" w:rsidRPr="003F28CA" w:rsidRDefault="00A1654F" w:rsidP="00A1654F">
      <w:pPr>
        <w:spacing w:after="240"/>
        <w:ind w:left="567" w:hanging="567"/>
        <w:rPr>
          <w:rFonts w:eastAsia="Arial Unicode MS" w:cs="Arial Unicode MS"/>
        </w:rPr>
      </w:pPr>
      <w:r w:rsidRPr="003F28CA">
        <w:t xml:space="preserve">6. </w:t>
      </w:r>
      <w:r w:rsidRPr="003F28CA">
        <w:tab/>
        <w:t>încredin</w:t>
      </w:r>
      <w:r w:rsidR="003F28CA" w:rsidRPr="003F28CA">
        <w:t>ț</w:t>
      </w:r>
      <w:r w:rsidRPr="003F28CA">
        <w:t>ează Pre</w:t>
      </w:r>
      <w:r w:rsidR="003F28CA" w:rsidRPr="003F28CA">
        <w:t>ș</w:t>
      </w:r>
      <w:r w:rsidRPr="003F28CA">
        <w:t>edintelui sarcina de a transmite prezenta rezolu</w:t>
      </w:r>
      <w:r w:rsidR="003F28CA" w:rsidRPr="003F28CA">
        <w:t>ț</w:t>
      </w:r>
      <w:r w:rsidRPr="003F28CA">
        <w:t xml:space="preserve">ie, împreună cu anexa, Consiliului </w:t>
      </w:r>
      <w:r w:rsidR="003F28CA" w:rsidRPr="003F28CA">
        <w:t>ș</w:t>
      </w:r>
      <w:r w:rsidRPr="003F28CA">
        <w:t>i Comisiei.</w:t>
      </w:r>
    </w:p>
    <w:p w:rsidR="00A1654F" w:rsidRPr="003F28CA" w:rsidRDefault="00A1654F" w:rsidP="00A1654F">
      <w:pPr>
        <w:pStyle w:val="Typedudocument"/>
      </w:pPr>
      <w:r w:rsidRPr="003F28CA">
        <w:br w:type="page"/>
      </w:r>
      <w:bookmarkStart w:id="2" w:name="_Toc474150406"/>
      <w:bookmarkStart w:id="3" w:name="_Toc1"/>
      <w:bookmarkStart w:id="4" w:name="_Toc461199349"/>
      <w:r w:rsidRPr="003F28CA">
        <w:lastRenderedPageBreak/>
        <w:t xml:space="preserve">ANEXĂ: </w:t>
      </w:r>
      <w:bookmarkStart w:id="5" w:name="_Toc474150407"/>
      <w:bookmarkStart w:id="6" w:name="_Toc2"/>
      <w:bookmarkStart w:id="7" w:name="_Toc461199350"/>
      <w:bookmarkEnd w:id="2"/>
      <w:bookmarkEnd w:id="3"/>
      <w:bookmarkEnd w:id="4"/>
      <w:r w:rsidRPr="003F28CA">
        <w:t xml:space="preserve">DECIZIA PARLAMENTULUI EUROPEAN </w:t>
      </w:r>
      <w:r w:rsidR="003F28CA" w:rsidRPr="003F28CA">
        <w:t>Ș</w:t>
      </w:r>
      <w:r w:rsidRPr="003F28CA">
        <w:t>I A CONSILIULUI</w:t>
      </w:r>
    </w:p>
    <w:p w:rsidR="00A1654F" w:rsidRPr="003F28CA" w:rsidRDefault="00A1654F" w:rsidP="00C55014">
      <w:pPr>
        <w:pStyle w:val="Titreobjet"/>
      </w:pPr>
      <w:r w:rsidRPr="003F28CA">
        <w:t>privind mobilizarea Fondului de solidaritate al Uniunii Europene în vederea furnizării de asisten</w:t>
      </w:r>
      <w:r w:rsidR="003F28CA" w:rsidRPr="003F28CA">
        <w:t>ț</w:t>
      </w:r>
      <w:r w:rsidRPr="003F28CA">
        <w:t xml:space="preserve">ă Austriei, Italiei </w:t>
      </w:r>
      <w:r w:rsidR="003F28CA" w:rsidRPr="003F28CA">
        <w:t>ș</w:t>
      </w:r>
      <w:r w:rsidRPr="003F28CA">
        <w:t>i României</w:t>
      </w:r>
    </w:p>
    <w:p w:rsidR="00A1654F" w:rsidRPr="003F28CA" w:rsidRDefault="00A1654F" w:rsidP="00A1654F">
      <w:pPr>
        <w:pStyle w:val="Institutionquiagit"/>
        <w:spacing w:before="480" w:after="360"/>
      </w:pPr>
      <w:r w:rsidRPr="003F28CA">
        <w:t xml:space="preserve">PARLAMENTUL EUROPEAN </w:t>
      </w:r>
      <w:r w:rsidR="003F28CA" w:rsidRPr="003F28CA">
        <w:t>Ș</w:t>
      </w:r>
      <w:r w:rsidRPr="003F28CA">
        <w:t>I CONSILIUL UNIUNII EUROPENE,</w:t>
      </w:r>
    </w:p>
    <w:p w:rsidR="00A1654F" w:rsidRPr="003F28CA" w:rsidRDefault="00A1654F" w:rsidP="00A1654F">
      <w:pPr>
        <w:spacing w:after="240"/>
      </w:pPr>
      <w:r w:rsidRPr="003F28CA">
        <w:t>având în vedere Tratatul privind func</w:t>
      </w:r>
      <w:r w:rsidR="003F28CA" w:rsidRPr="003F28CA">
        <w:t>ț</w:t>
      </w:r>
      <w:r w:rsidRPr="003F28CA">
        <w:t>ionarea Uniunii Europene,</w:t>
      </w:r>
    </w:p>
    <w:p w:rsidR="00A1654F" w:rsidRPr="003F28CA" w:rsidRDefault="00A1654F" w:rsidP="00A1654F">
      <w:pPr>
        <w:spacing w:after="240"/>
      </w:pPr>
      <w:r w:rsidRPr="003F28CA">
        <w:t>având în vedere Regulamentul (CE) nr. 2012/2002 al Consiliului din 11 noiembrie 2002 de instituire a Fondului de solidaritate al Uniunii Europene</w:t>
      </w:r>
      <w:r w:rsidRPr="003F28CA">
        <w:rPr>
          <w:rStyle w:val="FootnoteReference"/>
        </w:rPr>
        <w:footnoteReference w:id="7"/>
      </w:r>
      <w:r w:rsidRPr="003F28CA">
        <w:t>, în special articolul 4 alineatul (3),</w:t>
      </w:r>
    </w:p>
    <w:p w:rsidR="00A1654F" w:rsidRPr="003F28CA" w:rsidRDefault="00A1654F" w:rsidP="00A1654F">
      <w:pPr>
        <w:spacing w:after="240"/>
      </w:pPr>
      <w:r w:rsidRPr="003F28CA">
        <w:t>având în vedere Acordul interinstitu</w:t>
      </w:r>
      <w:r w:rsidR="003F28CA" w:rsidRPr="003F28CA">
        <w:t>ț</w:t>
      </w:r>
      <w:r w:rsidRPr="003F28CA">
        <w:t xml:space="preserve">ional din 2 decembrie 2013 dintre Parlamentul European, Consiliu </w:t>
      </w:r>
      <w:r w:rsidR="003F28CA" w:rsidRPr="003F28CA">
        <w:t>ș</w:t>
      </w:r>
      <w:r w:rsidRPr="003F28CA">
        <w:t xml:space="preserve">i Comisie privind disciplina bugetară, cooperarea în chestiuni bugetare </w:t>
      </w:r>
      <w:r w:rsidR="003F28CA" w:rsidRPr="003F28CA">
        <w:t>ș</w:t>
      </w:r>
      <w:r w:rsidRPr="003F28CA">
        <w:t>i buna gestiune financiară</w:t>
      </w:r>
      <w:r w:rsidRPr="003F28CA">
        <w:rPr>
          <w:rStyle w:val="FootnoteReference"/>
        </w:rPr>
        <w:footnoteReference w:id="8"/>
      </w:r>
      <w:r w:rsidRPr="003F28CA">
        <w:t>, în special punctul 11,</w:t>
      </w:r>
    </w:p>
    <w:p w:rsidR="00A1654F" w:rsidRPr="003F28CA" w:rsidRDefault="00A1654F" w:rsidP="00A1654F">
      <w:pPr>
        <w:spacing w:after="240"/>
      </w:pPr>
      <w:r w:rsidRPr="003F28CA">
        <w:t>având în vedere propunerea Comisiei Europene,</w:t>
      </w:r>
    </w:p>
    <w:p w:rsidR="00A1654F" w:rsidRPr="003F28CA" w:rsidRDefault="00A1654F" w:rsidP="00A1654F">
      <w:pPr>
        <w:spacing w:after="240"/>
      </w:pPr>
      <w:r w:rsidRPr="003F28CA">
        <w:t>întrucât:</w:t>
      </w:r>
    </w:p>
    <w:p w:rsidR="00A1654F" w:rsidRPr="003F28CA" w:rsidRDefault="00A1654F" w:rsidP="00A1654F">
      <w:pPr>
        <w:pStyle w:val="Point0number"/>
        <w:numPr>
          <w:ilvl w:val="0"/>
          <w:numId w:val="0"/>
        </w:numPr>
        <w:tabs>
          <w:tab w:val="left" w:pos="850"/>
        </w:tabs>
        <w:ind w:left="850" w:hanging="850"/>
      </w:pPr>
      <w:r w:rsidRPr="003F28CA">
        <w:t>(1)</w:t>
      </w:r>
      <w:r w:rsidRPr="003F28CA">
        <w:tab/>
        <w:t xml:space="preserve">Obiectivul Fondului de solidaritate al Uniunii Europene (denumit în continuare „fondul”) este de a permite Uniunii să răspundă în mod rapid, eficient </w:t>
      </w:r>
      <w:r w:rsidR="003F28CA" w:rsidRPr="003F28CA">
        <w:t>ș</w:t>
      </w:r>
      <w:r w:rsidRPr="003F28CA">
        <w:t>i flexibil la situa</w:t>
      </w:r>
      <w:r w:rsidR="003F28CA" w:rsidRPr="003F28CA">
        <w:t>ț</w:t>
      </w:r>
      <w:r w:rsidRPr="003F28CA">
        <w:t>iile de urgen</w:t>
      </w:r>
      <w:r w:rsidR="003F28CA" w:rsidRPr="003F28CA">
        <w:t>ț</w:t>
      </w:r>
      <w:r w:rsidRPr="003F28CA">
        <w:t>ă pentru a-</w:t>
      </w:r>
      <w:r w:rsidR="003F28CA" w:rsidRPr="003F28CA">
        <w:t>ș</w:t>
      </w:r>
      <w:r w:rsidRPr="003F28CA">
        <w:t>i manifesta solidaritatea cu popula</w:t>
      </w:r>
      <w:r w:rsidR="003F28CA" w:rsidRPr="003F28CA">
        <w:t>ț</w:t>
      </w:r>
      <w:r w:rsidRPr="003F28CA">
        <w:t xml:space="preserve">ia din regiunile afectate de dezastre naturale. </w:t>
      </w:r>
    </w:p>
    <w:p w:rsidR="00A1654F" w:rsidRPr="003F28CA" w:rsidRDefault="00A1654F" w:rsidP="00A1654F">
      <w:pPr>
        <w:pStyle w:val="Point0number"/>
        <w:numPr>
          <w:ilvl w:val="0"/>
          <w:numId w:val="0"/>
        </w:numPr>
        <w:tabs>
          <w:tab w:val="left" w:pos="850"/>
        </w:tabs>
        <w:ind w:left="850" w:hanging="850"/>
      </w:pPr>
      <w:r w:rsidRPr="003F28CA">
        <w:t>(2)</w:t>
      </w:r>
      <w:r w:rsidRPr="003F28CA">
        <w:tab/>
        <w:t>Fondul nu depă</w:t>
      </w:r>
      <w:r w:rsidR="003F28CA" w:rsidRPr="003F28CA">
        <w:t>ș</w:t>
      </w:r>
      <w:r w:rsidRPr="003F28CA">
        <w:t>e</w:t>
      </w:r>
      <w:r w:rsidR="003F28CA" w:rsidRPr="003F28CA">
        <w:t>ș</w:t>
      </w:r>
      <w:r w:rsidRPr="003F28CA">
        <w:t>te o valoare anuală maximă de 500 000 000 EUR (la pre</w:t>
      </w:r>
      <w:r w:rsidR="003F28CA" w:rsidRPr="003F28CA">
        <w:t>ț</w:t>
      </w:r>
      <w:r w:rsidRPr="003F28CA">
        <w:t>urile din 2011), astfel cum se prevede la articolul 10 din Regulamentul (UE, Euratom) nr. 1311/2013 al Consiliului</w:t>
      </w:r>
      <w:r w:rsidRPr="003F28CA">
        <w:rPr>
          <w:rStyle w:val="FootnoteReference"/>
        </w:rPr>
        <w:footnoteReference w:id="9"/>
      </w:r>
      <w:r w:rsidRPr="003F28CA">
        <w:t>.</w:t>
      </w:r>
    </w:p>
    <w:p w:rsidR="00A1654F" w:rsidRPr="003F28CA" w:rsidRDefault="00A1654F" w:rsidP="00A1654F">
      <w:pPr>
        <w:pStyle w:val="Point0number"/>
        <w:numPr>
          <w:ilvl w:val="0"/>
          <w:numId w:val="0"/>
        </w:numPr>
        <w:tabs>
          <w:tab w:val="left" w:pos="850"/>
        </w:tabs>
        <w:ind w:left="850" w:hanging="850"/>
      </w:pPr>
      <w:r w:rsidRPr="003F28CA">
        <w:t>(3)</w:t>
      </w:r>
      <w:r w:rsidRPr="003F28CA">
        <w:tab/>
        <w:t>La 7 septembrie 2018 România a depus o cerere de mobilizare a fondului ca urmare a unor fenomene meteorologice extreme care au provocat inunda</w:t>
      </w:r>
      <w:r w:rsidR="003F28CA" w:rsidRPr="003F28CA">
        <w:t>ț</w:t>
      </w:r>
      <w:r w:rsidRPr="003F28CA">
        <w:t>ii extinse.</w:t>
      </w:r>
    </w:p>
    <w:p w:rsidR="00A1654F" w:rsidRPr="003F28CA" w:rsidRDefault="00A1654F" w:rsidP="00A1654F">
      <w:pPr>
        <w:pStyle w:val="Point0number"/>
        <w:numPr>
          <w:ilvl w:val="0"/>
          <w:numId w:val="0"/>
        </w:numPr>
        <w:tabs>
          <w:tab w:val="left" w:pos="850"/>
        </w:tabs>
        <w:ind w:left="850" w:hanging="850"/>
      </w:pPr>
      <w:r w:rsidRPr="003F28CA">
        <w:t>(4)</w:t>
      </w:r>
      <w:r w:rsidRPr="003F28CA">
        <w:tab/>
        <w:t>La 20 decembrie 2018, Italia a depus o cerere de mobilizare a fondului, ca urmare a unor fenomene meteorologice extreme.</w:t>
      </w:r>
    </w:p>
    <w:p w:rsidR="00A1654F" w:rsidRPr="003F28CA" w:rsidRDefault="00A1654F" w:rsidP="00A1654F">
      <w:pPr>
        <w:pStyle w:val="Point0number"/>
        <w:numPr>
          <w:ilvl w:val="0"/>
          <w:numId w:val="0"/>
        </w:numPr>
        <w:tabs>
          <w:tab w:val="left" w:pos="850"/>
        </w:tabs>
        <w:ind w:left="850" w:hanging="850"/>
      </w:pPr>
      <w:r w:rsidRPr="003F28CA">
        <w:t>(5)</w:t>
      </w:r>
      <w:r w:rsidRPr="003F28CA">
        <w:tab/>
        <w:t>La 14 ianuarie 2019, Austria a depus o cerere de mobilizare a fondului, ca urmare a unor fenomene meteorologice extreme.</w:t>
      </w:r>
    </w:p>
    <w:p w:rsidR="00A1654F" w:rsidRPr="003F28CA" w:rsidRDefault="00A1654F" w:rsidP="00A1654F">
      <w:pPr>
        <w:pStyle w:val="Point0number"/>
        <w:numPr>
          <w:ilvl w:val="0"/>
          <w:numId w:val="0"/>
        </w:numPr>
        <w:tabs>
          <w:tab w:val="left" w:pos="850"/>
        </w:tabs>
        <w:ind w:left="850" w:hanging="850"/>
      </w:pPr>
      <w:r w:rsidRPr="003F28CA">
        <w:t>(6)</w:t>
      </w:r>
      <w:r w:rsidRPr="003F28CA">
        <w:tab/>
        <w:t xml:space="preserve">Cererile României, Italiei </w:t>
      </w:r>
      <w:r w:rsidR="003F28CA" w:rsidRPr="003F28CA">
        <w:t>ș</w:t>
      </w:r>
      <w:r w:rsidRPr="003F28CA">
        <w:t>i Austriei îndeplinesc condi</w:t>
      </w:r>
      <w:r w:rsidR="003F28CA" w:rsidRPr="003F28CA">
        <w:t>ț</w:t>
      </w:r>
      <w:r w:rsidRPr="003F28CA">
        <w:t>iile de acordare a unei contribu</w:t>
      </w:r>
      <w:r w:rsidR="003F28CA" w:rsidRPr="003F28CA">
        <w:t>ț</w:t>
      </w:r>
      <w:r w:rsidRPr="003F28CA">
        <w:t>ii financiare din fond, astfel cum se prevede la articolul 4 din Regulamentul (CE) nr. 2012/2002.</w:t>
      </w:r>
    </w:p>
    <w:p w:rsidR="00A1654F" w:rsidRPr="003F28CA" w:rsidRDefault="00A1654F" w:rsidP="00A1654F">
      <w:pPr>
        <w:pStyle w:val="Point0number"/>
        <w:numPr>
          <w:ilvl w:val="0"/>
          <w:numId w:val="0"/>
        </w:numPr>
        <w:tabs>
          <w:tab w:val="left" w:pos="850"/>
        </w:tabs>
        <w:ind w:left="850" w:hanging="850"/>
      </w:pPr>
      <w:r w:rsidRPr="003F28CA">
        <w:lastRenderedPageBreak/>
        <w:t>(7)</w:t>
      </w:r>
      <w:r w:rsidRPr="003F28CA">
        <w:tab/>
        <w:t>Prin urmare, fondul ar trebui să fie mobilizat pentru a se acorda o contribu</w:t>
      </w:r>
      <w:r w:rsidR="003F28CA" w:rsidRPr="003F28CA">
        <w:t>ț</w:t>
      </w:r>
      <w:r w:rsidRPr="003F28CA">
        <w:t xml:space="preserve">ie financiară României, Italiei </w:t>
      </w:r>
      <w:r w:rsidR="003F28CA" w:rsidRPr="003F28CA">
        <w:t>ș</w:t>
      </w:r>
      <w:r w:rsidRPr="003F28CA">
        <w:t>i Austriei.</w:t>
      </w:r>
    </w:p>
    <w:p w:rsidR="00A1654F" w:rsidRPr="003F28CA" w:rsidRDefault="00A1654F" w:rsidP="00A1654F">
      <w:pPr>
        <w:pStyle w:val="Point0number"/>
        <w:numPr>
          <w:ilvl w:val="0"/>
          <w:numId w:val="0"/>
        </w:numPr>
        <w:tabs>
          <w:tab w:val="left" w:pos="850"/>
        </w:tabs>
        <w:ind w:left="850" w:hanging="850"/>
      </w:pPr>
      <w:r w:rsidRPr="003F28CA">
        <w:t>(8)</w:t>
      </w:r>
      <w:r w:rsidRPr="003F28CA">
        <w:tab/>
        <w:t>Pentru a reduce la minimum perioada necesară în vederea mobilizării fondului, prezenta decizie ar trebui să se aplice de la data adoptării,</w:t>
      </w:r>
    </w:p>
    <w:p w:rsidR="00A1654F" w:rsidRPr="003F28CA" w:rsidRDefault="00A1654F" w:rsidP="00A1654F">
      <w:pPr>
        <w:pStyle w:val="Formuledadoption"/>
      </w:pPr>
      <w:r w:rsidRPr="003F28CA">
        <w:t>ADOPTĂ PREZENTA DECIZIE:</w:t>
      </w:r>
    </w:p>
    <w:p w:rsidR="00A1654F" w:rsidRPr="003F28CA" w:rsidRDefault="00A1654F" w:rsidP="00A1654F">
      <w:pPr>
        <w:pStyle w:val="Titrearticle"/>
        <w:spacing w:before="240"/>
      </w:pPr>
      <w:r w:rsidRPr="003F28CA">
        <w:t>Articolul 1</w:t>
      </w:r>
    </w:p>
    <w:p w:rsidR="00A1654F" w:rsidRPr="003F28CA" w:rsidRDefault="00A1654F" w:rsidP="00A1654F">
      <w:pPr>
        <w:pStyle w:val="FootnoteText"/>
        <w:spacing w:before="120" w:after="120"/>
        <w:rPr>
          <w:sz w:val="24"/>
          <w:szCs w:val="24"/>
        </w:rPr>
      </w:pPr>
      <w:r w:rsidRPr="003F28CA">
        <w:rPr>
          <w:sz w:val="24"/>
          <w:szCs w:val="24"/>
        </w:rPr>
        <w:t>În cadrul bugetului general al Uniunii pentru exerci</w:t>
      </w:r>
      <w:r w:rsidR="003F28CA" w:rsidRPr="003F28CA">
        <w:rPr>
          <w:sz w:val="24"/>
          <w:szCs w:val="24"/>
        </w:rPr>
        <w:t>ț</w:t>
      </w:r>
      <w:r w:rsidRPr="003F28CA">
        <w:rPr>
          <w:sz w:val="24"/>
          <w:szCs w:val="24"/>
        </w:rPr>
        <w:t xml:space="preserve">iul financiar 2019, se mobilizează din Fondul de solidaritate al Uniunii Europene următoarele sume în credite de angajament </w:t>
      </w:r>
      <w:r w:rsidR="003F28CA" w:rsidRPr="003F28CA">
        <w:rPr>
          <w:sz w:val="24"/>
          <w:szCs w:val="24"/>
        </w:rPr>
        <w:t>ș</w:t>
      </w:r>
      <w:r w:rsidRPr="003F28CA">
        <w:rPr>
          <w:sz w:val="24"/>
          <w:szCs w:val="24"/>
        </w:rPr>
        <w:t>i de plată:</w:t>
      </w:r>
    </w:p>
    <w:p w:rsidR="00A1654F" w:rsidRPr="003F28CA" w:rsidRDefault="00A1654F" w:rsidP="00A1654F">
      <w:pPr>
        <w:pStyle w:val="FootnoteText"/>
        <w:spacing w:before="120" w:after="120"/>
        <w:ind w:left="720"/>
        <w:rPr>
          <w:sz w:val="24"/>
          <w:szCs w:val="24"/>
        </w:rPr>
      </w:pPr>
      <w:r w:rsidRPr="003F28CA">
        <w:rPr>
          <w:sz w:val="24"/>
          <w:szCs w:val="24"/>
        </w:rPr>
        <w:t>(a) suma de 8 192 300 EUR se acordă României;</w:t>
      </w:r>
    </w:p>
    <w:p w:rsidR="00A1654F" w:rsidRPr="003F28CA" w:rsidRDefault="00A1654F" w:rsidP="00A1654F">
      <w:pPr>
        <w:pStyle w:val="FootnoteText"/>
        <w:spacing w:before="120" w:after="120"/>
        <w:ind w:left="720"/>
        <w:rPr>
          <w:sz w:val="24"/>
          <w:szCs w:val="24"/>
        </w:rPr>
      </w:pPr>
      <w:r w:rsidRPr="003F28CA">
        <w:rPr>
          <w:sz w:val="24"/>
          <w:szCs w:val="24"/>
        </w:rPr>
        <w:t>(b) suma de 277 204 595 EUR se acordă Italiei;</w:t>
      </w:r>
    </w:p>
    <w:p w:rsidR="00A1654F" w:rsidRPr="003F28CA" w:rsidRDefault="00A1654F" w:rsidP="00A1654F">
      <w:pPr>
        <w:pStyle w:val="FootnoteText"/>
        <w:spacing w:before="120" w:after="120"/>
        <w:ind w:left="720"/>
        <w:rPr>
          <w:sz w:val="24"/>
          <w:szCs w:val="24"/>
        </w:rPr>
      </w:pPr>
      <w:r w:rsidRPr="003F28CA">
        <w:rPr>
          <w:sz w:val="24"/>
          <w:szCs w:val="24"/>
        </w:rPr>
        <w:t>(c) suma de 8 154 899 EUR se acordă Austriei.</w:t>
      </w:r>
    </w:p>
    <w:p w:rsidR="00A1654F" w:rsidRPr="003F28CA" w:rsidRDefault="00A1654F" w:rsidP="00A1654F">
      <w:pPr>
        <w:pStyle w:val="Titrearticle"/>
      </w:pPr>
      <w:r w:rsidRPr="003F28CA">
        <w:t>Articolul 2</w:t>
      </w:r>
    </w:p>
    <w:p w:rsidR="00A1654F" w:rsidRPr="003F28CA" w:rsidRDefault="00A1654F" w:rsidP="00A1654F">
      <w:pPr>
        <w:spacing w:line="360" w:lineRule="auto"/>
      </w:pPr>
      <w:r w:rsidRPr="003F28CA">
        <w:t xml:space="preserve">Prezenta decizie intră în vigoare la data publicării în </w:t>
      </w:r>
      <w:r w:rsidRPr="003F28CA">
        <w:rPr>
          <w:i/>
        </w:rPr>
        <w:t>Jurnalul Oficial al Uniunii Europene</w:t>
      </w:r>
      <w:r w:rsidRPr="003F28CA">
        <w:t>.</w:t>
      </w:r>
    </w:p>
    <w:p w:rsidR="00A1654F" w:rsidRPr="003F28CA" w:rsidRDefault="00A1654F" w:rsidP="00A1654F">
      <w:pPr>
        <w:spacing w:line="360" w:lineRule="auto"/>
        <w:rPr>
          <w:i/>
        </w:rPr>
      </w:pPr>
      <w:r w:rsidRPr="003F28CA">
        <w:t>Se aplică de la … [</w:t>
      </w:r>
      <w:r w:rsidRPr="003F28CA">
        <w:rPr>
          <w:i/>
        </w:rPr>
        <w:t>data adoptării</w:t>
      </w:r>
      <w:r w:rsidRPr="003F28CA">
        <w:t>]</w:t>
      </w:r>
      <w:r w:rsidR="003F28CA" w:rsidRPr="006406FD">
        <w:rPr>
          <w:rStyle w:val="FootnoteReference"/>
        </w:rPr>
        <w:footnoteReference w:customMarkFollows="1" w:id="10"/>
        <w:sym w:font="Symbol" w:char="F02A"/>
      </w:r>
      <w:r w:rsidR="003F28CA" w:rsidRPr="006406FD">
        <w:rPr>
          <w:rStyle w:val="FootnoteReference"/>
        </w:rPr>
        <w:sym w:font="Symbol" w:char="F02A"/>
      </w:r>
      <w:r w:rsidRPr="003F28CA">
        <w:t>.</w:t>
      </w:r>
    </w:p>
    <w:p w:rsidR="00A1654F" w:rsidRPr="003F28CA" w:rsidRDefault="00A1654F" w:rsidP="00A1654F">
      <w:pPr>
        <w:spacing w:line="360" w:lineRule="auto"/>
      </w:pPr>
      <w:r w:rsidRPr="003F28CA">
        <w:t>Adoptată la …</w:t>
      </w:r>
    </w:p>
    <w:p w:rsidR="00A1654F" w:rsidRPr="003F28CA" w:rsidRDefault="00A1654F" w:rsidP="00A1654F">
      <w:pPr>
        <w:tabs>
          <w:tab w:val="left" w:pos="4111"/>
        </w:tabs>
        <w:spacing w:line="360" w:lineRule="auto"/>
      </w:pPr>
    </w:p>
    <w:p w:rsidR="00A1654F" w:rsidRPr="003F28CA" w:rsidRDefault="00A1654F" w:rsidP="00A1654F">
      <w:pPr>
        <w:spacing w:line="360" w:lineRule="auto"/>
        <w:rPr>
          <w:rFonts w:eastAsia="Arial Unicode MS"/>
        </w:rPr>
      </w:pPr>
      <w:r w:rsidRPr="003F28CA">
        <w:rPr>
          <w:i/>
        </w:rPr>
        <w:t>Pentru Parlamentul European</w:t>
      </w:r>
      <w:r w:rsidRPr="003F28CA">
        <w:rPr>
          <w:i/>
        </w:rPr>
        <w:tab/>
      </w:r>
      <w:r w:rsidRPr="003F28CA">
        <w:rPr>
          <w:i/>
        </w:rPr>
        <w:tab/>
      </w:r>
      <w:r w:rsidRPr="003F28CA">
        <w:rPr>
          <w:i/>
        </w:rPr>
        <w:tab/>
        <w:t>Pentru Consiliu</w:t>
      </w:r>
    </w:p>
    <w:p w:rsidR="00A1654F" w:rsidRPr="003F28CA" w:rsidRDefault="00A1654F" w:rsidP="00A1654F">
      <w:pPr>
        <w:rPr>
          <w:rFonts w:ascii="Arial" w:eastAsia="Arial Unicode MS" w:hAnsi="Arial"/>
          <w:b/>
        </w:rPr>
      </w:pPr>
      <w:r w:rsidRPr="003F28CA">
        <w:br w:type="page"/>
      </w:r>
    </w:p>
    <w:p w:rsidR="00A1654F" w:rsidRPr="003F28CA" w:rsidRDefault="00A1654F" w:rsidP="00A1654F">
      <w:pPr>
        <w:pStyle w:val="PageHeading"/>
        <w:rPr>
          <w:rFonts w:eastAsia="Arial" w:cs="Arial"/>
        </w:rPr>
      </w:pPr>
      <w:bookmarkStart w:id="8" w:name="_Toc14875817"/>
      <w:r w:rsidRPr="003F28CA">
        <w:t>EXPUNERE DE MOTIVE</w:t>
      </w:r>
      <w:bookmarkEnd w:id="5"/>
      <w:bookmarkEnd w:id="6"/>
      <w:bookmarkEnd w:id="7"/>
      <w:bookmarkEnd w:id="8"/>
    </w:p>
    <w:p w:rsidR="00A1654F" w:rsidRPr="003F28CA" w:rsidRDefault="00A1654F" w:rsidP="00A1654F">
      <w:pPr>
        <w:spacing w:after="200" w:line="276" w:lineRule="auto"/>
        <w:rPr>
          <w:rFonts w:eastAsia="Calibri"/>
        </w:rPr>
      </w:pPr>
      <w:r w:rsidRPr="003F28CA">
        <w:t>Comisia propune mobilizarea Fondului de solidaritate al Uniunii Europene (denumit în continuare „fondul”) pentru a acorda asisten</w:t>
      </w:r>
      <w:r w:rsidR="003F28CA" w:rsidRPr="003F28CA">
        <w:t>ț</w:t>
      </w:r>
      <w:r w:rsidRPr="003F28CA">
        <w:t xml:space="preserve">ă financiară legată de fenomenele meteorologice extreme care au avut loc în cursul anului 2018 în România, Italia </w:t>
      </w:r>
      <w:r w:rsidR="003F28CA" w:rsidRPr="003F28CA">
        <w:t>ș</w:t>
      </w:r>
      <w:r w:rsidRPr="003F28CA">
        <w:t>i Austria.</w:t>
      </w:r>
    </w:p>
    <w:p w:rsidR="00A1654F" w:rsidRPr="003F28CA" w:rsidRDefault="00A1654F" w:rsidP="00A1654F">
      <w:pPr>
        <w:spacing w:after="200" w:line="276" w:lineRule="auto"/>
        <w:rPr>
          <w:b/>
        </w:rPr>
      </w:pPr>
      <w:r w:rsidRPr="003F28CA">
        <w:rPr>
          <w:b/>
        </w:rPr>
        <w:t>România - inunda</w:t>
      </w:r>
      <w:r w:rsidR="003F28CA" w:rsidRPr="003F28CA">
        <w:rPr>
          <w:b/>
        </w:rPr>
        <w:t>ț</w:t>
      </w:r>
      <w:r w:rsidRPr="003F28CA">
        <w:rPr>
          <w:b/>
        </w:rPr>
        <w:t>ii</w:t>
      </w:r>
    </w:p>
    <w:p w:rsidR="00A1654F" w:rsidRPr="003F28CA" w:rsidRDefault="00A1654F" w:rsidP="00A1654F">
      <w:pPr>
        <w:spacing w:after="200" w:line="276" w:lineRule="auto"/>
      </w:pPr>
      <w:r w:rsidRPr="003F28CA">
        <w:t>În vara anului 2018, precipita</w:t>
      </w:r>
      <w:r w:rsidR="003F28CA" w:rsidRPr="003F28CA">
        <w:t>ț</w:t>
      </w:r>
      <w:r w:rsidRPr="003F28CA">
        <w:t>iile abundente din regiunea de nord-est a României au cauzat inunda</w:t>
      </w:r>
      <w:r w:rsidR="003F28CA" w:rsidRPr="003F28CA">
        <w:t>ț</w:t>
      </w:r>
      <w:r w:rsidRPr="003F28CA">
        <w:t xml:space="preserve">ii pe scară largă în toate cele </w:t>
      </w:r>
      <w:r w:rsidR="003F28CA" w:rsidRPr="003F28CA">
        <w:t>ș</w:t>
      </w:r>
      <w:r w:rsidRPr="003F28CA">
        <w:t>ase jude</w:t>
      </w:r>
      <w:r w:rsidR="003F28CA" w:rsidRPr="003F28CA">
        <w:t>ț</w:t>
      </w:r>
      <w:r w:rsidRPr="003F28CA">
        <w:t>e ale regiunii cu daune importante aduse infrastructurii, cum ar fi baraje, diguri, drumuri, poduri, re</w:t>
      </w:r>
      <w:r w:rsidR="003F28CA" w:rsidRPr="003F28CA">
        <w:t>ț</w:t>
      </w:r>
      <w:r w:rsidRPr="003F28CA">
        <w:t xml:space="preserve">ele de epurare a apei </w:t>
      </w:r>
      <w:r w:rsidR="003F28CA" w:rsidRPr="003F28CA">
        <w:t>ș</w:t>
      </w:r>
      <w:r w:rsidRPr="003F28CA">
        <w:t>i de canalizare, distribu</w:t>
      </w:r>
      <w:r w:rsidR="003F28CA" w:rsidRPr="003F28CA">
        <w:t>ț</w:t>
      </w:r>
      <w:r w:rsidRPr="003F28CA">
        <w:t xml:space="preserve">ia energiei electrice </w:t>
      </w:r>
      <w:r w:rsidR="003F28CA" w:rsidRPr="003F28CA">
        <w:t>ș</w:t>
      </w:r>
      <w:r w:rsidRPr="003F28CA">
        <w:t xml:space="preserve">i a gazelor, alimentarea cu apă potabilă </w:t>
      </w:r>
      <w:r w:rsidR="003F28CA" w:rsidRPr="003F28CA">
        <w:t>ș</w:t>
      </w:r>
      <w:r w:rsidRPr="003F28CA">
        <w:t xml:space="preserve">i sisteme de irigare, </w:t>
      </w:r>
      <w:r w:rsidR="003F28CA" w:rsidRPr="003F28CA">
        <w:t>ș</w:t>
      </w:r>
      <w:r w:rsidRPr="003F28CA">
        <w:t xml:space="preserve">coli </w:t>
      </w:r>
      <w:r w:rsidR="003F28CA" w:rsidRPr="003F28CA">
        <w:t>ș</w:t>
      </w:r>
      <w:r w:rsidRPr="003F28CA">
        <w:t xml:space="preserve">i alte clădiri publice. În plus, au existat pierderi semnificative în agricultură </w:t>
      </w:r>
      <w:r w:rsidR="003F28CA" w:rsidRPr="003F28CA">
        <w:t>ș</w:t>
      </w:r>
      <w:r w:rsidRPr="003F28CA">
        <w:t>i daune pentru gospodăriile private.</w:t>
      </w:r>
    </w:p>
    <w:p w:rsidR="00A1654F" w:rsidRPr="003F28CA" w:rsidRDefault="00A1654F" w:rsidP="00A1654F">
      <w:pPr>
        <w:spacing w:after="200" w:line="276" w:lineRule="auto"/>
      </w:pPr>
      <w:r w:rsidRPr="003F28CA">
        <w:t>În cererea depusă, primită de Comisie la 7 septembrie 2018, autorită</w:t>
      </w:r>
      <w:r w:rsidR="003F28CA" w:rsidRPr="003F28CA">
        <w:t>ț</w:t>
      </w:r>
      <w:r w:rsidRPr="003F28CA">
        <w:t xml:space="preserve">ile române au estimat daunele directe totale la 196,8 milioane EUR sau 1,24 % din PIB-ul regiunii afectate, adică sub valoarea limită pentru mobilizarea FSUE într-o regiune de nivel NUTS 2 (anume 1,5 % din PIB-ul regional). În cererea revizuită depusă la 9 octombrie 2018 </w:t>
      </w:r>
      <w:r w:rsidR="003F28CA" w:rsidRPr="003F28CA">
        <w:t>ș</w:t>
      </w:r>
      <w:r w:rsidRPr="003F28CA">
        <w:t>i finalizată la 14 decembrie 2018, prejudiciul estimat a fost majorat la 327,7 milioane EUR sau 2,07 % din PIB-ul regional, echivalând catastrofa cu o „catastrofă naturală regională”, în sensul articolul 2 alineatul (3) din Regulamentul privind FSUE.</w:t>
      </w:r>
    </w:p>
    <w:p w:rsidR="00A1654F" w:rsidRPr="003F28CA" w:rsidRDefault="00A1654F" w:rsidP="00A1654F">
      <w:pPr>
        <w:spacing w:after="200" w:line="276" w:lineRule="auto"/>
      </w:pPr>
      <w:r w:rsidRPr="003F28CA">
        <w:t>Costul total al opera</w:t>
      </w:r>
      <w:r w:rsidR="003F28CA" w:rsidRPr="003F28CA">
        <w:t>ț</w:t>
      </w:r>
      <w:r w:rsidRPr="003F28CA">
        <w:t>iunilor de urgen</w:t>
      </w:r>
      <w:r w:rsidR="003F28CA" w:rsidRPr="003F28CA">
        <w:t>ț</w:t>
      </w:r>
      <w:r w:rsidRPr="003F28CA">
        <w:t xml:space="preserve">ă </w:t>
      </w:r>
      <w:r w:rsidR="003F28CA" w:rsidRPr="003F28CA">
        <w:t>ș</w:t>
      </w:r>
      <w:r w:rsidRPr="003F28CA">
        <w:t>i de recuperare esen</w:t>
      </w:r>
      <w:r w:rsidR="003F28CA" w:rsidRPr="003F28CA">
        <w:t>ț</w:t>
      </w:r>
      <w:r w:rsidRPr="003F28CA">
        <w:t>iale eligibile, astfel cum sunt definite la articolul 3 alineatul (2) din regulament, a fost estimat de autorită</w:t>
      </w:r>
      <w:r w:rsidR="003F28CA" w:rsidRPr="003F28CA">
        <w:t>ț</w:t>
      </w:r>
      <w:r w:rsidRPr="003F28CA">
        <w:t>ile române la 294 milioane EUR, cele mai mari păr</w:t>
      </w:r>
      <w:r w:rsidR="003F28CA" w:rsidRPr="003F28CA">
        <w:t>ț</w:t>
      </w:r>
      <w:r w:rsidRPr="003F28CA">
        <w:t xml:space="preserve">i fiind legate de costurile de asigurare a infrastructurii (îndiguiri) </w:t>
      </w:r>
      <w:r w:rsidR="003F28CA" w:rsidRPr="003F28CA">
        <w:t>ș</w:t>
      </w:r>
      <w:r w:rsidRPr="003F28CA">
        <w:t xml:space="preserve">i de refacere a infrastructurii de transport. </w:t>
      </w:r>
    </w:p>
    <w:p w:rsidR="00A1654F" w:rsidRPr="003F28CA" w:rsidRDefault="00A1654F" w:rsidP="00A1654F">
      <w:pPr>
        <w:spacing w:after="200" w:line="276" w:lineRule="auto"/>
      </w:pPr>
      <w:r w:rsidRPr="003F28CA">
        <w:t>Regiunea afectată face parte din categoria „regiunilor mai pu</w:t>
      </w:r>
      <w:r w:rsidR="003F28CA" w:rsidRPr="003F28CA">
        <w:t>ț</w:t>
      </w:r>
      <w:r w:rsidRPr="003F28CA">
        <w:t xml:space="preserve">in dezvoltate” în cadrul fondurilor structurale </w:t>
      </w:r>
      <w:r w:rsidR="003F28CA" w:rsidRPr="003F28CA">
        <w:t>ș</w:t>
      </w:r>
      <w:r w:rsidRPr="003F28CA">
        <w:t>i de investi</w:t>
      </w:r>
      <w:r w:rsidR="003F28CA" w:rsidRPr="003F28CA">
        <w:t>ț</w:t>
      </w:r>
      <w:r w:rsidRPr="003F28CA">
        <w:t>ii europene („fondurile ESI”) pentru perioada 2014-2020. Autorită</w:t>
      </w:r>
      <w:r w:rsidR="003F28CA" w:rsidRPr="003F28CA">
        <w:t>ț</w:t>
      </w:r>
      <w:r w:rsidRPr="003F28CA">
        <w:t>ile române nu au informat că au inten</w:t>
      </w:r>
      <w:r w:rsidR="003F28CA" w:rsidRPr="003F28CA">
        <w:t>ț</w:t>
      </w:r>
      <w:r w:rsidRPr="003F28CA">
        <w:t>ia de a realoca fonduri din programele aferente fondurilor ESI pentru măsurile de reabilitare. Nu s-a solicitat niciun avans.</w:t>
      </w:r>
    </w:p>
    <w:p w:rsidR="00A1654F" w:rsidRPr="003F28CA" w:rsidRDefault="00A1654F" w:rsidP="00A1654F">
      <w:pPr>
        <w:spacing w:before="120" w:after="120" w:line="276" w:lineRule="auto"/>
        <w:rPr>
          <w:b/>
          <w:bCs/>
        </w:rPr>
      </w:pPr>
      <w:r w:rsidRPr="003F28CA">
        <w:t xml:space="preserve">În conformitate cu practica anterioară, Comisia propune aplicarea unei rate de 2,5 % din totalul daunelor directe pentru cazurile sub pragul de „catastrofă majoră” </w:t>
      </w:r>
      <w:r w:rsidRPr="003F28CA">
        <w:rPr>
          <w:snapToGrid w:val="0"/>
        </w:rPr>
        <w:t>(adică 0,6 % din VNB sau 3 miliarde EUR la pre</w:t>
      </w:r>
      <w:r w:rsidR="003F28CA" w:rsidRPr="003F28CA">
        <w:rPr>
          <w:snapToGrid w:val="0"/>
        </w:rPr>
        <w:t>ț</w:t>
      </w:r>
      <w:r w:rsidRPr="003F28CA">
        <w:rPr>
          <w:snapToGrid w:val="0"/>
        </w:rPr>
        <w:t>urile din 2011, re</w:t>
      </w:r>
      <w:r w:rsidR="003F28CA" w:rsidRPr="003F28CA">
        <w:rPr>
          <w:snapToGrid w:val="0"/>
        </w:rPr>
        <w:t>ț</w:t>
      </w:r>
      <w:r w:rsidRPr="003F28CA">
        <w:rPr>
          <w:snapToGrid w:val="0"/>
        </w:rPr>
        <w:t>inându-se valoarea cea mai mică)</w:t>
      </w:r>
      <w:r w:rsidRPr="003F28CA">
        <w:t xml:space="preserve">. </w:t>
      </w:r>
      <w:r w:rsidRPr="003F28CA">
        <w:rPr>
          <w:b/>
          <w:bCs/>
        </w:rPr>
        <w:t>Prin urmare, cuantumul total al asisten</w:t>
      </w:r>
      <w:r w:rsidR="003F28CA" w:rsidRPr="003F28CA">
        <w:rPr>
          <w:b/>
          <w:bCs/>
        </w:rPr>
        <w:t>ț</w:t>
      </w:r>
      <w:r w:rsidRPr="003F28CA">
        <w:rPr>
          <w:b/>
          <w:bCs/>
        </w:rPr>
        <w:t>ei propuse este de 8 192 300 EUR.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</w:p>
    <w:p w:rsidR="00A1654F" w:rsidRPr="003F28CA" w:rsidRDefault="00A1654F" w:rsidP="00A1654F">
      <w:pPr>
        <w:spacing w:before="120" w:after="120" w:line="276" w:lineRule="auto"/>
        <w:rPr>
          <w:b/>
          <w:bCs/>
        </w:rPr>
      </w:pPr>
      <w:r w:rsidRPr="003F28CA">
        <w:rPr>
          <w:b/>
          <w:bCs/>
        </w:rPr>
        <w:t>Italia - fenomene meteorologice extreme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  <w:r w:rsidRPr="003F28CA">
        <w:rPr>
          <w:bCs/>
        </w:rPr>
        <w:t>În toamna anului 2018, evenimente meteorologice extreme au afectat aproape toate regiunile din Italia de la nord la sud, ceea ce a generat alunecări de teren, inunda</w:t>
      </w:r>
      <w:r w:rsidR="003F28CA" w:rsidRPr="003F28CA">
        <w:rPr>
          <w:bCs/>
        </w:rPr>
        <w:t>ț</w:t>
      </w:r>
      <w:r w:rsidRPr="003F28CA">
        <w:rPr>
          <w:bCs/>
        </w:rPr>
        <w:t xml:space="preserve">ii </w:t>
      </w:r>
      <w:r w:rsidR="003F28CA" w:rsidRPr="003F28CA">
        <w:rPr>
          <w:bCs/>
        </w:rPr>
        <w:t>ș</w:t>
      </w:r>
      <w:r w:rsidRPr="003F28CA">
        <w:rPr>
          <w:bCs/>
        </w:rPr>
        <w:t xml:space="preserve">i căderi de copaci, </w:t>
      </w:r>
      <w:r w:rsidRPr="003F28CA">
        <w:rPr>
          <w:bCs/>
        </w:rPr>
        <w:lastRenderedPageBreak/>
        <w:t xml:space="preserve">cu 34 de victime </w:t>
      </w:r>
      <w:r w:rsidR="003F28CA" w:rsidRPr="003F28CA">
        <w:rPr>
          <w:bCs/>
        </w:rPr>
        <w:t>ș</w:t>
      </w:r>
      <w:r w:rsidRPr="003F28CA">
        <w:rPr>
          <w:bCs/>
        </w:rPr>
        <w:t>i o persoană dispărută. Daunele materiale au inclus perturbări majore în re</w:t>
      </w:r>
      <w:r w:rsidR="003F28CA" w:rsidRPr="003F28CA">
        <w:rPr>
          <w:bCs/>
        </w:rPr>
        <w:t>ț</w:t>
      </w:r>
      <w:r w:rsidRPr="003F28CA">
        <w:rPr>
          <w:bCs/>
        </w:rPr>
        <w:t xml:space="preserve">elele rutiere </w:t>
      </w:r>
      <w:r w:rsidR="003F28CA" w:rsidRPr="003F28CA">
        <w:rPr>
          <w:bCs/>
        </w:rPr>
        <w:t>ș</w:t>
      </w:r>
      <w:r w:rsidRPr="003F28CA">
        <w:rPr>
          <w:bCs/>
        </w:rPr>
        <w:t xml:space="preserve">i fluviale, daune aduse unor clădiri publice </w:t>
      </w:r>
      <w:r w:rsidR="003F28CA" w:rsidRPr="003F28CA">
        <w:rPr>
          <w:bCs/>
        </w:rPr>
        <w:t>ș</w:t>
      </w:r>
      <w:r w:rsidRPr="003F28CA">
        <w:rPr>
          <w:bCs/>
        </w:rPr>
        <w:t>i private, întreruperi ale re</w:t>
      </w:r>
      <w:r w:rsidR="003F28CA" w:rsidRPr="003F28CA">
        <w:rPr>
          <w:bCs/>
        </w:rPr>
        <w:t>ț</w:t>
      </w:r>
      <w:r w:rsidRPr="003F28CA">
        <w:rPr>
          <w:bCs/>
        </w:rPr>
        <w:t xml:space="preserve">elelor electrice </w:t>
      </w:r>
      <w:r w:rsidR="003F28CA" w:rsidRPr="003F28CA">
        <w:rPr>
          <w:bCs/>
        </w:rPr>
        <w:t>ș</w:t>
      </w:r>
      <w:r w:rsidRPr="003F28CA">
        <w:rPr>
          <w:bCs/>
        </w:rPr>
        <w:t xml:space="preserve">i de gaze </w:t>
      </w:r>
      <w:r w:rsidR="003F28CA" w:rsidRPr="003F28CA">
        <w:rPr>
          <w:bCs/>
        </w:rPr>
        <w:t>ș</w:t>
      </w:r>
      <w:r w:rsidRPr="003F28CA">
        <w:rPr>
          <w:bCs/>
        </w:rPr>
        <w:t xml:space="preserve">i pierderi semnificative pentru industria lemnului </w:t>
      </w:r>
      <w:r w:rsidR="003F28CA" w:rsidRPr="003F28CA">
        <w:rPr>
          <w:bCs/>
        </w:rPr>
        <w:t>ș</w:t>
      </w:r>
      <w:r w:rsidRPr="003F28CA">
        <w:rPr>
          <w:bCs/>
        </w:rPr>
        <w:t>i pentru turism. Aceste fenomene meteorologice pot fi considerate ca unitare din punct de vedere meteorologic.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  <w:r w:rsidRPr="003F28CA">
        <w:rPr>
          <w:bCs/>
        </w:rPr>
        <w:t xml:space="preserve">În cererea din 20 decembrie 2018 </w:t>
      </w:r>
      <w:r w:rsidR="003F28CA" w:rsidRPr="003F28CA">
        <w:rPr>
          <w:bCs/>
        </w:rPr>
        <w:t>ș</w:t>
      </w:r>
      <w:r w:rsidRPr="003F28CA">
        <w:rPr>
          <w:bCs/>
        </w:rPr>
        <w:t>i actualizată la 27 martie 2019, autorită</w:t>
      </w:r>
      <w:r w:rsidR="003F28CA" w:rsidRPr="003F28CA">
        <w:rPr>
          <w:bCs/>
        </w:rPr>
        <w:t>ț</w:t>
      </w:r>
      <w:r w:rsidRPr="003F28CA">
        <w:rPr>
          <w:bCs/>
        </w:rPr>
        <w:t xml:space="preserve">ile italiene au prezentat estimări ale daunelor de 6,6 miliarde EUR (suma actualizată), ceea ce corespunde unui procent de 192 % din valoarea pragului aplicabil Italiei. Estimările daunelor au fost confirmate de rapoartele Serviciului Copernicus </w:t>
      </w:r>
      <w:r w:rsidR="003F28CA" w:rsidRPr="003F28CA">
        <w:rPr>
          <w:bCs/>
        </w:rPr>
        <w:t>ș</w:t>
      </w:r>
      <w:r w:rsidRPr="003F28CA">
        <w:rPr>
          <w:bCs/>
        </w:rPr>
        <w:t xml:space="preserve">i de baza de date a Laboratorului european pentru furtuni puternice. Ca urmare, cererea se califică în baza criteriilor aplicabile catastrofelor naturale majore, astfel cum sunt prevăzute la articolul 2 alineatul (2) din regulament. 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  <w:r w:rsidRPr="003F28CA">
        <w:rPr>
          <w:bCs/>
        </w:rPr>
        <w:t>Costul opera</w:t>
      </w:r>
      <w:r w:rsidR="003F28CA" w:rsidRPr="003F28CA">
        <w:rPr>
          <w:bCs/>
        </w:rPr>
        <w:t>ț</w:t>
      </w:r>
      <w:r w:rsidRPr="003F28CA">
        <w:rPr>
          <w:bCs/>
        </w:rPr>
        <w:t>iunilor de urgen</w:t>
      </w:r>
      <w:r w:rsidR="003F28CA" w:rsidRPr="003F28CA">
        <w:rPr>
          <w:bCs/>
        </w:rPr>
        <w:t>ț</w:t>
      </w:r>
      <w:r w:rsidRPr="003F28CA">
        <w:rPr>
          <w:bCs/>
        </w:rPr>
        <w:t xml:space="preserve">ă </w:t>
      </w:r>
      <w:r w:rsidR="003F28CA" w:rsidRPr="003F28CA">
        <w:rPr>
          <w:bCs/>
        </w:rPr>
        <w:t>ș</w:t>
      </w:r>
      <w:r w:rsidRPr="003F28CA">
        <w:rPr>
          <w:bCs/>
        </w:rPr>
        <w:t>i de recuperare a fost estimat la peste 1 700 milioane EUR, cea mai mare parte fiind destinată asigurării infrastructurii de protec</w:t>
      </w:r>
      <w:r w:rsidR="003F28CA" w:rsidRPr="003F28CA">
        <w:rPr>
          <w:bCs/>
        </w:rPr>
        <w:t>ț</w:t>
      </w:r>
      <w:r w:rsidRPr="003F28CA">
        <w:rPr>
          <w:bCs/>
        </w:rPr>
        <w:t>ie.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  <w:r w:rsidRPr="003F28CA">
        <w:rPr>
          <w:bCs/>
        </w:rPr>
        <w:t xml:space="preserve">Trei dintre regiunile afectate (Calabria, Campania </w:t>
      </w:r>
      <w:r w:rsidR="003F28CA" w:rsidRPr="003F28CA">
        <w:rPr>
          <w:bCs/>
        </w:rPr>
        <w:t>ș</w:t>
      </w:r>
      <w:r w:rsidRPr="003F28CA">
        <w:rPr>
          <w:bCs/>
        </w:rPr>
        <w:t>i Sicilia) sunt „regiuni mai pu</w:t>
      </w:r>
      <w:r w:rsidR="003F28CA" w:rsidRPr="003F28CA">
        <w:rPr>
          <w:bCs/>
        </w:rPr>
        <w:t>ț</w:t>
      </w:r>
      <w:r w:rsidRPr="003F28CA">
        <w:rPr>
          <w:bCs/>
        </w:rPr>
        <w:t>in dezvoltate” în cadrul fondurilor ESI, două sunt „regiuni aflate în tranzi</w:t>
      </w:r>
      <w:r w:rsidR="003F28CA" w:rsidRPr="003F28CA">
        <w:rPr>
          <w:bCs/>
        </w:rPr>
        <w:t>ț</w:t>
      </w:r>
      <w:r w:rsidRPr="003F28CA">
        <w:rPr>
          <w:bCs/>
        </w:rPr>
        <w:t xml:space="preserve">ie” (Abruzzo </w:t>
      </w:r>
      <w:r w:rsidR="003F28CA" w:rsidRPr="003F28CA">
        <w:rPr>
          <w:bCs/>
        </w:rPr>
        <w:t>ș</w:t>
      </w:r>
      <w:r w:rsidRPr="003F28CA">
        <w:rPr>
          <w:bCs/>
        </w:rPr>
        <w:t>i Sardinia), în timp ce restul de 9 sunt „regiuni mai dezvoltate”. Nu s-a semnalat inten</w:t>
      </w:r>
      <w:r w:rsidR="003F28CA" w:rsidRPr="003F28CA">
        <w:rPr>
          <w:bCs/>
        </w:rPr>
        <w:t>ț</w:t>
      </w:r>
      <w:r w:rsidRPr="003F28CA">
        <w:rPr>
          <w:bCs/>
        </w:rPr>
        <w:t>ia de a realoca fonduri ESI pentru măsurile de recuperare.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  <w:r w:rsidRPr="003F28CA">
        <w:rPr>
          <w:bCs/>
        </w:rPr>
        <w:t>La fel, conform practicii anterioare, Comisia consideră că asisten</w:t>
      </w:r>
      <w:r w:rsidR="003F28CA" w:rsidRPr="003F28CA">
        <w:rPr>
          <w:bCs/>
        </w:rPr>
        <w:t>ț</w:t>
      </w:r>
      <w:r w:rsidRPr="003F28CA">
        <w:rPr>
          <w:bCs/>
        </w:rPr>
        <w:t xml:space="preserve">a ar trebui să fie progresivă </w:t>
      </w:r>
      <w:r w:rsidR="003F28CA" w:rsidRPr="003F28CA">
        <w:rPr>
          <w:bCs/>
        </w:rPr>
        <w:t>ș</w:t>
      </w:r>
      <w:r w:rsidRPr="003F28CA">
        <w:rPr>
          <w:bCs/>
        </w:rPr>
        <w:t xml:space="preserve">i propune aplicarea unei rate de 2,5 % pentru pagubele situate sub valoarea de „catastrofă naturală majoră” </w:t>
      </w:r>
      <w:r w:rsidR="003F28CA" w:rsidRPr="003F28CA">
        <w:rPr>
          <w:bCs/>
        </w:rPr>
        <w:t>ș</w:t>
      </w:r>
      <w:r w:rsidRPr="003F28CA">
        <w:rPr>
          <w:bCs/>
        </w:rPr>
        <w:t>i de 6 % pentru cele care depă</w:t>
      </w:r>
      <w:r w:rsidR="003F28CA" w:rsidRPr="003F28CA">
        <w:rPr>
          <w:bCs/>
        </w:rPr>
        <w:t>ș</w:t>
      </w:r>
      <w:r w:rsidRPr="003F28CA">
        <w:rPr>
          <w:bCs/>
        </w:rPr>
        <w:t xml:space="preserve">esc pragul. </w:t>
      </w:r>
      <w:r w:rsidRPr="003F28CA">
        <w:rPr>
          <w:b/>
          <w:bCs/>
        </w:rPr>
        <w:t>Prin urmare, cuantumul total al ajutorului propus este de 277 204 595 EUR.</w:t>
      </w:r>
      <w:r w:rsidRPr="003F28CA">
        <w:rPr>
          <w:bCs/>
        </w:rPr>
        <w:t xml:space="preserve"> 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</w:p>
    <w:p w:rsidR="00A1654F" w:rsidRPr="003F28CA" w:rsidRDefault="00A1654F" w:rsidP="00A1654F">
      <w:pPr>
        <w:spacing w:before="120" w:after="120" w:line="276" w:lineRule="auto"/>
        <w:rPr>
          <w:b/>
          <w:bCs/>
        </w:rPr>
      </w:pPr>
      <w:r w:rsidRPr="003F28CA">
        <w:rPr>
          <w:b/>
          <w:bCs/>
        </w:rPr>
        <w:t>Austria - fenomene meteorologice extreme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  <w:r w:rsidRPr="003F28CA">
        <w:rPr>
          <w:bCs/>
        </w:rPr>
        <w:t xml:space="preserve">În octombrie 2018, regiunile Carintia </w:t>
      </w:r>
      <w:r w:rsidR="003F28CA" w:rsidRPr="003F28CA">
        <w:rPr>
          <w:bCs/>
        </w:rPr>
        <w:t>ș</w:t>
      </w:r>
      <w:r w:rsidRPr="003F28CA">
        <w:rPr>
          <w:bCs/>
        </w:rPr>
        <w:t>i Tirolul de Est din sudul Austriei au fost afectate de acelea</w:t>
      </w:r>
      <w:r w:rsidR="003F28CA" w:rsidRPr="003F28CA">
        <w:rPr>
          <w:bCs/>
        </w:rPr>
        <w:t>ș</w:t>
      </w:r>
      <w:r w:rsidRPr="003F28CA">
        <w:rPr>
          <w:bCs/>
        </w:rPr>
        <w:t xml:space="preserve">i fenomene meteorologice care au lovit Italia. Ploile abundente </w:t>
      </w:r>
      <w:r w:rsidR="003F28CA" w:rsidRPr="003F28CA">
        <w:rPr>
          <w:bCs/>
        </w:rPr>
        <w:t>ș</w:t>
      </w:r>
      <w:r w:rsidRPr="003F28CA">
        <w:rPr>
          <w:bCs/>
        </w:rPr>
        <w:t>i vânturile provocate de furtuni au dus la inunda</w:t>
      </w:r>
      <w:r w:rsidR="003F28CA" w:rsidRPr="003F28CA">
        <w:rPr>
          <w:bCs/>
        </w:rPr>
        <w:t>ț</w:t>
      </w:r>
      <w:r w:rsidRPr="003F28CA">
        <w:rPr>
          <w:bCs/>
        </w:rPr>
        <w:t xml:space="preserve">ii, la pagube forestiere importante, la alunecări de teren </w:t>
      </w:r>
      <w:r w:rsidR="003F28CA" w:rsidRPr="003F28CA">
        <w:rPr>
          <w:bCs/>
        </w:rPr>
        <w:t>ș</w:t>
      </w:r>
      <w:r w:rsidRPr="003F28CA">
        <w:rPr>
          <w:bCs/>
        </w:rPr>
        <w:t>i la pene de curent.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  <w:r w:rsidRPr="003F28CA">
        <w:rPr>
          <w:bCs/>
        </w:rPr>
        <w:t>Autorită</w:t>
      </w:r>
      <w:r w:rsidR="003F28CA" w:rsidRPr="003F28CA">
        <w:rPr>
          <w:bCs/>
        </w:rPr>
        <w:t>ț</w:t>
      </w:r>
      <w:r w:rsidRPr="003F28CA">
        <w:rPr>
          <w:bCs/>
        </w:rPr>
        <w:t>ile austriece au solicitat o contribu</w:t>
      </w:r>
      <w:r w:rsidR="003F28CA" w:rsidRPr="003F28CA">
        <w:rPr>
          <w:bCs/>
        </w:rPr>
        <w:t>ț</w:t>
      </w:r>
      <w:r w:rsidRPr="003F28CA">
        <w:rPr>
          <w:bCs/>
        </w:rPr>
        <w:t xml:space="preserve">ie din partea fondului la 14 ianuarie 2019 </w:t>
      </w:r>
      <w:r w:rsidR="003F28CA" w:rsidRPr="003F28CA">
        <w:rPr>
          <w:bCs/>
        </w:rPr>
        <w:t>ș</w:t>
      </w:r>
      <w:r w:rsidRPr="003F28CA">
        <w:rPr>
          <w:bCs/>
        </w:rPr>
        <w:t xml:space="preserve">i au actualizat cererea la 20 februarie 2019. Daunele directe totale, estimate la 326,2 milioane EUR, sunt inferioare pragului pentru „catastrofe majore” aplicabil Austriei în 2018, precum </w:t>
      </w:r>
      <w:r w:rsidR="003F28CA" w:rsidRPr="003F28CA">
        <w:rPr>
          <w:bCs/>
        </w:rPr>
        <w:t>ș</w:t>
      </w:r>
      <w:r w:rsidRPr="003F28CA">
        <w:rPr>
          <w:bCs/>
        </w:rPr>
        <w:t>i pragului de „catastrofă regională” de 1,5 % din PIB-ul regional. Având în vedere că aceste catastrofe au fost cauzate de acelea</w:t>
      </w:r>
      <w:r w:rsidR="003F28CA" w:rsidRPr="003F28CA">
        <w:rPr>
          <w:bCs/>
        </w:rPr>
        <w:t>ș</w:t>
      </w:r>
      <w:r w:rsidRPr="003F28CA">
        <w:rPr>
          <w:bCs/>
        </w:rPr>
        <w:t>i condi</w:t>
      </w:r>
      <w:r w:rsidR="003F28CA" w:rsidRPr="003F28CA">
        <w:rPr>
          <w:bCs/>
        </w:rPr>
        <w:t>ț</w:t>
      </w:r>
      <w:r w:rsidRPr="003F28CA">
        <w:rPr>
          <w:bCs/>
        </w:rPr>
        <w:t>ii meteorologice ca cele din Italia, cererea este eligibilă în temeiul a</w:t>
      </w:r>
      <w:r w:rsidR="003F28CA" w:rsidRPr="003F28CA">
        <w:rPr>
          <w:bCs/>
        </w:rPr>
        <w:t>ș</w:t>
      </w:r>
      <w:r w:rsidRPr="003F28CA">
        <w:rPr>
          <w:bCs/>
        </w:rPr>
        <w:t>a-numitei dispozi</w:t>
      </w:r>
      <w:r w:rsidR="003F28CA" w:rsidRPr="003F28CA">
        <w:rPr>
          <w:bCs/>
        </w:rPr>
        <w:t>ț</w:t>
      </w:r>
      <w:r w:rsidRPr="003F28CA">
        <w:rPr>
          <w:bCs/>
        </w:rPr>
        <w:t xml:space="preserve">ii „privind </w:t>
      </w:r>
      <w:r w:rsidR="003F28CA" w:rsidRPr="003F28CA">
        <w:rPr>
          <w:bCs/>
        </w:rPr>
        <w:t>ț</w:t>
      </w:r>
      <w:r w:rsidRPr="003F28CA">
        <w:rPr>
          <w:bCs/>
        </w:rPr>
        <w:t xml:space="preserve">ara învecinată” de la articolul 2 alineatul (4) din regulament. 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  <w:r w:rsidRPr="003F28CA">
        <w:rPr>
          <w:bCs/>
        </w:rPr>
        <w:t>Costul opera</w:t>
      </w:r>
      <w:r w:rsidR="003F28CA" w:rsidRPr="003F28CA">
        <w:rPr>
          <w:bCs/>
        </w:rPr>
        <w:t>ț</w:t>
      </w:r>
      <w:r w:rsidRPr="003F28CA">
        <w:rPr>
          <w:bCs/>
        </w:rPr>
        <w:t>iunilor de urgen</w:t>
      </w:r>
      <w:r w:rsidR="003F28CA" w:rsidRPr="003F28CA">
        <w:rPr>
          <w:bCs/>
        </w:rPr>
        <w:t>ț</w:t>
      </w:r>
      <w:r w:rsidRPr="003F28CA">
        <w:rPr>
          <w:bCs/>
        </w:rPr>
        <w:t xml:space="preserve">ă </w:t>
      </w:r>
      <w:r w:rsidR="003F28CA" w:rsidRPr="003F28CA">
        <w:rPr>
          <w:bCs/>
        </w:rPr>
        <w:t>ș</w:t>
      </w:r>
      <w:r w:rsidRPr="003F28CA">
        <w:rPr>
          <w:bCs/>
        </w:rPr>
        <w:t>i de recuperare a fost estimat de autorită</w:t>
      </w:r>
      <w:r w:rsidR="003F28CA" w:rsidRPr="003F28CA">
        <w:rPr>
          <w:bCs/>
        </w:rPr>
        <w:t>ț</w:t>
      </w:r>
      <w:r w:rsidRPr="003F28CA">
        <w:rPr>
          <w:bCs/>
        </w:rPr>
        <w:t xml:space="preserve">ile austriece la 214,5 milioane EUR, cea mai mare parte din aceste costuri având ca obiect măsuri de securizare a </w:t>
      </w:r>
      <w:r w:rsidRPr="003F28CA">
        <w:rPr>
          <w:bCs/>
        </w:rPr>
        <w:lastRenderedPageBreak/>
        <w:t xml:space="preserve">malurilor râurilor </w:t>
      </w:r>
      <w:r w:rsidR="003F28CA" w:rsidRPr="003F28CA">
        <w:rPr>
          <w:bCs/>
        </w:rPr>
        <w:t>ș</w:t>
      </w:r>
      <w:r w:rsidRPr="003F28CA">
        <w:rPr>
          <w:bCs/>
        </w:rPr>
        <w:t xml:space="preserve">i de evitare a eroziunii solului. 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  <w:r w:rsidRPr="003F28CA">
        <w:rPr>
          <w:bCs/>
        </w:rPr>
        <w:t>Regiunile afectate intră în categoria „regiuni mai dezvoltate”, a</w:t>
      </w:r>
      <w:r w:rsidR="003F28CA" w:rsidRPr="003F28CA">
        <w:rPr>
          <w:bCs/>
        </w:rPr>
        <w:t>ș</w:t>
      </w:r>
      <w:r w:rsidRPr="003F28CA">
        <w:rPr>
          <w:bCs/>
        </w:rPr>
        <w:t>a cum se califică acestea pentru fondurile ESI. Autorită</w:t>
      </w:r>
      <w:r w:rsidR="003F28CA" w:rsidRPr="003F28CA">
        <w:rPr>
          <w:bCs/>
        </w:rPr>
        <w:t>ț</w:t>
      </w:r>
      <w:r w:rsidRPr="003F28CA">
        <w:rPr>
          <w:bCs/>
        </w:rPr>
        <w:t xml:space="preserve">ile austriece nu au solicitat plata unui avans, ci </w:t>
      </w:r>
      <w:r w:rsidR="003F28CA" w:rsidRPr="003F28CA">
        <w:rPr>
          <w:bCs/>
        </w:rPr>
        <w:t>ș</w:t>
      </w:r>
      <w:r w:rsidRPr="003F28CA">
        <w:rPr>
          <w:bCs/>
        </w:rPr>
        <w:t>i-au declarat inten</w:t>
      </w:r>
      <w:r w:rsidR="003F28CA" w:rsidRPr="003F28CA">
        <w:rPr>
          <w:bCs/>
        </w:rPr>
        <w:t>ț</w:t>
      </w:r>
      <w:r w:rsidRPr="003F28CA">
        <w:rPr>
          <w:bCs/>
        </w:rPr>
        <w:t>ia de a utiliza fonduri în cadrul Fondului european agricol pentru dezvoltare rurală pentru măsuri de protec</w:t>
      </w:r>
      <w:r w:rsidR="003F28CA" w:rsidRPr="003F28CA">
        <w:rPr>
          <w:bCs/>
        </w:rPr>
        <w:t>ț</w:t>
      </w:r>
      <w:r w:rsidRPr="003F28CA">
        <w:rPr>
          <w:bCs/>
        </w:rPr>
        <w:t xml:space="preserve">ie a pădurilor. 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  <w:r w:rsidRPr="003F28CA">
        <w:rPr>
          <w:bCs/>
        </w:rPr>
        <w:t>Comisia propune aplicarea ratei obi</w:t>
      </w:r>
      <w:r w:rsidR="003F28CA" w:rsidRPr="003F28CA">
        <w:rPr>
          <w:bCs/>
        </w:rPr>
        <w:t>ș</w:t>
      </w:r>
      <w:r w:rsidRPr="003F28CA">
        <w:rPr>
          <w:bCs/>
        </w:rPr>
        <w:t>nuite de 2,5 % pentru catastrofe în temeiul dispozi</w:t>
      </w:r>
      <w:r w:rsidR="003F28CA" w:rsidRPr="003F28CA">
        <w:rPr>
          <w:bCs/>
        </w:rPr>
        <w:t>ț</w:t>
      </w:r>
      <w:r w:rsidRPr="003F28CA">
        <w:rPr>
          <w:bCs/>
        </w:rPr>
        <w:t>iei privind „</w:t>
      </w:r>
      <w:r w:rsidR="003F28CA" w:rsidRPr="003F28CA">
        <w:rPr>
          <w:bCs/>
        </w:rPr>
        <w:t>ț</w:t>
      </w:r>
      <w:r w:rsidRPr="003F28CA">
        <w:rPr>
          <w:bCs/>
        </w:rPr>
        <w:t xml:space="preserve">ara învecinată”, ajungându-se astfel la o </w:t>
      </w:r>
      <w:r w:rsidRPr="003F28CA">
        <w:rPr>
          <w:b/>
          <w:bCs/>
        </w:rPr>
        <w:t>contribu</w:t>
      </w:r>
      <w:r w:rsidR="003F28CA" w:rsidRPr="003F28CA">
        <w:rPr>
          <w:b/>
          <w:bCs/>
        </w:rPr>
        <w:t>ț</w:t>
      </w:r>
      <w:r w:rsidRPr="003F28CA">
        <w:rPr>
          <w:b/>
          <w:bCs/>
        </w:rPr>
        <w:t>ie financiară totală propusă din fond de 8 154 899 EUR</w:t>
      </w:r>
      <w:r w:rsidRPr="003F28CA">
        <w:rPr>
          <w:bCs/>
        </w:rPr>
        <w:t xml:space="preserve">. </w:t>
      </w:r>
    </w:p>
    <w:p w:rsidR="00A1654F" w:rsidRPr="003F28CA" w:rsidRDefault="00A1654F" w:rsidP="00A1654F">
      <w:pPr>
        <w:spacing w:before="120" w:after="120" w:line="276" w:lineRule="auto"/>
        <w:rPr>
          <w:bCs/>
        </w:rPr>
      </w:pPr>
    </w:p>
    <w:p w:rsidR="00A1654F" w:rsidRPr="003F28CA" w:rsidRDefault="00A1654F" w:rsidP="00A1654F">
      <w:pPr>
        <w:spacing w:after="200" w:line="276" w:lineRule="auto"/>
        <w:rPr>
          <w:b/>
        </w:rPr>
      </w:pPr>
      <w:r w:rsidRPr="003F28CA">
        <w:rPr>
          <w:b/>
        </w:rPr>
        <w:t>Concluzii</w:t>
      </w:r>
    </w:p>
    <w:p w:rsidR="00A1654F" w:rsidRPr="003F28CA" w:rsidRDefault="00A1654F" w:rsidP="00A1654F">
      <w:pPr>
        <w:spacing w:after="200" w:line="276" w:lineRule="auto"/>
      </w:pPr>
      <w:r w:rsidRPr="003F28CA">
        <w:t xml:space="preserve">Suma totală propusă pentru a fi mobilizată pentru România, Italia </w:t>
      </w:r>
      <w:r w:rsidR="003F28CA" w:rsidRPr="003F28CA">
        <w:t>ș</w:t>
      </w:r>
      <w:r w:rsidRPr="003F28CA">
        <w:t xml:space="preserve">i Austria este de 293 551 794 EUR. Mobilizarea propusă necesită </w:t>
      </w:r>
      <w:r w:rsidRPr="003F28CA">
        <w:rPr>
          <w:b/>
        </w:rPr>
        <w:t>modificarea bugetului pe 2019</w:t>
      </w:r>
      <w:r w:rsidRPr="003F28CA">
        <w:t xml:space="preserve"> printr-un proiect de buget rectificativ (PBR nr. 3/2019), care să vizeze majorarea fondurilor prevăzute la linia bugetară 13 06 01 „</w:t>
      </w:r>
      <w:r w:rsidRPr="003F28CA">
        <w:rPr>
          <w:i/>
        </w:rPr>
        <w:t>Acordarea de asisten</w:t>
      </w:r>
      <w:r w:rsidR="003F28CA" w:rsidRPr="003F28CA">
        <w:rPr>
          <w:i/>
        </w:rPr>
        <w:t>ț</w:t>
      </w:r>
      <w:r w:rsidRPr="003F28CA">
        <w:rPr>
          <w:i/>
        </w:rPr>
        <w:t>ă statelor membre în cazul unor catastrofe naturale majore cu repercusiuni grave asupra condi</w:t>
      </w:r>
      <w:r w:rsidR="003F28CA" w:rsidRPr="003F28CA">
        <w:rPr>
          <w:i/>
        </w:rPr>
        <w:t>ț</w:t>
      </w:r>
      <w:r w:rsidRPr="003F28CA">
        <w:rPr>
          <w:i/>
        </w:rPr>
        <w:t>iilor de trai, a mediului natural sau a economiei</w:t>
      </w:r>
      <w:r w:rsidRPr="003F28CA">
        <w:t>” cu suma susmen</w:t>
      </w:r>
      <w:r w:rsidR="003F28CA" w:rsidRPr="003F28CA">
        <w:t>ț</w:t>
      </w:r>
      <w:r w:rsidRPr="003F28CA">
        <w:t xml:space="preserve">ionată, atât în credite de angajament, cât </w:t>
      </w:r>
      <w:r w:rsidR="003F28CA" w:rsidRPr="003F28CA">
        <w:t>ș</w:t>
      </w:r>
      <w:r w:rsidRPr="003F28CA">
        <w:t>i în credite de plată.</w:t>
      </w:r>
    </w:p>
    <w:p w:rsidR="00A1654F" w:rsidRPr="003F28CA" w:rsidRDefault="00A1654F" w:rsidP="00A1654F">
      <w:pPr>
        <w:spacing w:after="200" w:line="276" w:lineRule="auto"/>
      </w:pPr>
      <w:r w:rsidRPr="003F28CA">
        <w:t>Suma totală disponibilă la începutul exerci</w:t>
      </w:r>
      <w:r w:rsidR="003F28CA" w:rsidRPr="003F28CA">
        <w:t>ț</w:t>
      </w:r>
      <w:r w:rsidRPr="003F28CA">
        <w:t xml:space="preserve">iului 2019 era de 851 082 072 EUR, reprezentând alocarea de 585 829 691 EUR pentru 2019, plus suma de 265 252 381 EUR ce nu fusese cheltuită în 2018 </w:t>
      </w:r>
      <w:r w:rsidR="003F28CA" w:rsidRPr="003F28CA">
        <w:t>ș</w:t>
      </w:r>
      <w:r w:rsidRPr="003F28CA">
        <w:t xml:space="preserve">i fusese reportată în 2019. </w:t>
      </w:r>
    </w:p>
    <w:p w:rsidR="00A1654F" w:rsidRPr="003F28CA" w:rsidRDefault="00A1654F" w:rsidP="00A1654F">
      <w:pPr>
        <w:spacing w:after="200" w:line="276" w:lineRule="auto"/>
      </w:pPr>
      <w:r w:rsidRPr="003F28CA">
        <w:t>Aceasta este prima decizie de mobilizare pentru 2019; rămâne un disponibil de 557 530 278 EUR pentru restul anului 2019, cu mult peste suma obligatorie prevăzută până la 1 octombrie 2019, în conformitate cu articolul 10 alineatul (1) din Regulamentul privind CFM (25 % din alocarea anuală pentru 2019, adică 146 457 423 EUR).</w:t>
      </w:r>
    </w:p>
    <w:p w:rsidR="00A1654F" w:rsidRPr="003F28CA" w:rsidRDefault="00A1654F" w:rsidP="00A1654F">
      <w:pPr>
        <w:spacing w:after="200" w:line="276" w:lineRule="auto"/>
        <w:rPr>
          <w:b/>
          <w:bCs/>
          <w:i/>
          <w:iCs/>
        </w:rPr>
      </w:pPr>
      <w:r w:rsidRPr="003F28CA">
        <w:t xml:space="preserve">Raportorul sprijină statele membre care utilizează fondurile structurale </w:t>
      </w:r>
      <w:r w:rsidR="003F28CA" w:rsidRPr="003F28CA">
        <w:t>ș</w:t>
      </w:r>
      <w:r w:rsidRPr="003F28CA">
        <w:t>i de investi</w:t>
      </w:r>
      <w:r w:rsidR="003F28CA" w:rsidRPr="003F28CA">
        <w:t>ț</w:t>
      </w:r>
      <w:r w:rsidRPr="003F28CA">
        <w:t>ii pentru reconstruc</w:t>
      </w:r>
      <w:r w:rsidR="003F28CA" w:rsidRPr="003F28CA">
        <w:t>ț</w:t>
      </w:r>
      <w:r w:rsidRPr="003F28CA">
        <w:t xml:space="preserve">ia regiunilor afectate </w:t>
      </w:r>
      <w:r w:rsidR="003F28CA" w:rsidRPr="003F28CA">
        <w:t>ș</w:t>
      </w:r>
      <w:r w:rsidRPr="003F28CA">
        <w:t xml:space="preserve">i invită Comisia să sprijine </w:t>
      </w:r>
      <w:r w:rsidR="003F28CA" w:rsidRPr="003F28CA">
        <w:t>ș</w:t>
      </w:r>
      <w:r w:rsidRPr="003F28CA">
        <w:t>i să aprobe rapid realocarea acordurilor de parteneriat solicitată de Austria pentru reconstruc</w:t>
      </w:r>
      <w:r w:rsidR="003F28CA" w:rsidRPr="003F28CA">
        <w:t>ț</w:t>
      </w:r>
      <w:r w:rsidRPr="003F28CA">
        <w:t>ia acestor regiuni.</w:t>
      </w:r>
      <w:r w:rsidRPr="003F28CA">
        <w:rPr>
          <w:b/>
          <w:bCs/>
          <w:i/>
          <w:iCs/>
        </w:rPr>
        <w:t xml:space="preserve"> </w:t>
      </w:r>
    </w:p>
    <w:p w:rsidR="00A1654F" w:rsidRPr="003F28CA" w:rsidRDefault="00A1654F" w:rsidP="00A1654F">
      <w:pPr>
        <w:spacing w:after="200" w:line="276" w:lineRule="auto"/>
        <w:rPr>
          <w:b/>
          <w:bCs/>
          <w:i/>
          <w:iCs/>
        </w:rPr>
      </w:pPr>
      <w:r w:rsidRPr="003F28CA">
        <w:rPr>
          <w:b/>
          <w:bCs/>
          <w:i/>
          <w:iCs/>
        </w:rPr>
        <w:t>Raportorul recomandă aprobarea rapidă a propunerii de decizie a Comisiei anexată la prezentul raport, pentru mobilizarea rapidă a sumelor de mai sus, în semn de solidaritate europeană cu statele membre afectate.</w:t>
      </w:r>
    </w:p>
    <w:p w:rsidR="00A1654F" w:rsidRPr="003F28CA" w:rsidRDefault="00A1654F" w:rsidP="00A1654F">
      <w:pPr>
        <w:rPr>
          <w:b/>
          <w:bCs/>
          <w:i/>
          <w:iCs/>
        </w:rPr>
      </w:pPr>
    </w:p>
    <w:p w:rsidR="00A1654F" w:rsidRPr="003F28CA" w:rsidRDefault="00A1654F" w:rsidP="00A1654F">
      <w:pPr>
        <w:rPr>
          <w:b/>
          <w:bCs/>
          <w:i/>
          <w:iCs/>
        </w:rPr>
      </w:pPr>
    </w:p>
    <w:p w:rsidR="00A1654F" w:rsidRPr="003F28CA" w:rsidRDefault="00A1654F" w:rsidP="00A1654F">
      <w:pPr>
        <w:rPr>
          <w:b/>
          <w:bCs/>
          <w:i/>
          <w:iCs/>
        </w:rPr>
      </w:pPr>
    </w:p>
    <w:p w:rsidR="00A1654F" w:rsidRPr="003F28CA" w:rsidRDefault="00A1654F" w:rsidP="00A1654F">
      <w:pPr>
        <w:pStyle w:val="PageHeading"/>
        <w:rPr>
          <w:rFonts w:eastAsia="Arial" w:cs="Arial"/>
        </w:rPr>
      </w:pPr>
      <w:r w:rsidRPr="003F28CA">
        <w:br w:type="page"/>
      </w:r>
      <w:bookmarkStart w:id="9" w:name="_Toc474150408"/>
      <w:bookmarkStart w:id="10" w:name="_Toc3"/>
      <w:bookmarkStart w:id="11" w:name="_Toc461199351"/>
      <w:bookmarkStart w:id="12" w:name="_Toc14875818"/>
      <w:r w:rsidRPr="003F28CA">
        <w:lastRenderedPageBreak/>
        <w:t>ANEXĂ – SCRISOAREA COMISIEI PENTRU DEZVOLTARE REGIONALĂ</w:t>
      </w:r>
      <w:bookmarkEnd w:id="9"/>
      <w:bookmarkEnd w:id="10"/>
      <w:bookmarkEnd w:id="11"/>
      <w:bookmarkEnd w:id="12"/>
    </w:p>
    <w:p w:rsidR="00A1654F" w:rsidRPr="003F28CA" w:rsidRDefault="00A1654F" w:rsidP="00A1654F">
      <w:pPr>
        <w:rPr>
          <w:rFonts w:eastAsia="Calibri"/>
        </w:rPr>
      </w:pPr>
      <w:r w:rsidRPr="003F28CA">
        <w:t>(Urmează să fie primită.)</w:t>
      </w:r>
    </w:p>
    <w:p w:rsidR="00A1654F" w:rsidRPr="003F28CA" w:rsidRDefault="00A1654F" w:rsidP="00A1654F">
      <w:pPr>
        <w:pStyle w:val="Normal12Hanging"/>
      </w:pPr>
    </w:p>
    <w:p w:rsidR="00A1654F" w:rsidRPr="003F28CA" w:rsidRDefault="00A1654F" w:rsidP="00A1654F"/>
    <w:p w:rsidR="004D2440" w:rsidRPr="003F28CA" w:rsidRDefault="004D2440" w:rsidP="00A1654F">
      <w:pPr>
        <w:pStyle w:val="Normal12"/>
      </w:pPr>
    </w:p>
    <w:sectPr w:rsidR="004D2440" w:rsidRPr="003F28CA" w:rsidSect="00636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F8" w:rsidRPr="00636F91" w:rsidRDefault="000A2CF8">
      <w:r w:rsidRPr="00636F91">
        <w:separator/>
      </w:r>
    </w:p>
  </w:endnote>
  <w:endnote w:type="continuationSeparator" w:id="0">
    <w:p w:rsidR="000A2CF8" w:rsidRPr="00636F91" w:rsidRDefault="000A2CF8">
      <w:r w:rsidRPr="00636F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91" w:rsidRPr="00636F91" w:rsidRDefault="00636F91" w:rsidP="00636F91">
    <w:pPr>
      <w:pStyle w:val="Footer"/>
    </w:pPr>
    <w:r w:rsidRPr="00636F91">
      <w:t>PE</w:t>
    </w:r>
    <w:r w:rsidRPr="00636F91">
      <w:rPr>
        <w:rStyle w:val="HideTWBExt"/>
        <w:noProof w:val="0"/>
      </w:rPr>
      <w:t>&lt;NoPE&gt;</w:t>
    </w:r>
    <w:r w:rsidRPr="00636F91">
      <w:t>639.746</w:t>
    </w:r>
    <w:r w:rsidRPr="00636F91">
      <w:rPr>
        <w:rStyle w:val="HideTWBExt"/>
        <w:noProof w:val="0"/>
      </w:rPr>
      <w:t>&lt;/NoPE&gt;&lt;Version&gt;</w:t>
    </w:r>
    <w:r w:rsidRPr="00636F91">
      <w:t>v01-00</w:t>
    </w:r>
    <w:r w:rsidRPr="00636F91">
      <w:rPr>
        <w:rStyle w:val="HideTWBExt"/>
        <w:noProof w:val="0"/>
      </w:rPr>
      <w:t>&lt;/Version&gt;</w:t>
    </w:r>
    <w:r w:rsidRPr="00636F91">
      <w:tab/>
    </w:r>
    <w:r w:rsidRPr="00636F91">
      <w:fldChar w:fldCharType="begin"/>
    </w:r>
    <w:r w:rsidRPr="00636F91">
      <w:instrText xml:space="preserve"> PAGE  \* MERGEFORMAT </w:instrText>
    </w:r>
    <w:r w:rsidRPr="00636F91">
      <w:fldChar w:fldCharType="separate"/>
    </w:r>
    <w:r w:rsidR="00D46F73">
      <w:rPr>
        <w:noProof/>
      </w:rPr>
      <w:t>2</w:t>
    </w:r>
    <w:r w:rsidRPr="00636F91">
      <w:fldChar w:fldCharType="end"/>
    </w:r>
    <w:r w:rsidRPr="00636F91">
      <w:t>/</w:t>
    </w:r>
    <w:r w:rsidRPr="00636F91">
      <w:fldChar w:fldCharType="begin"/>
    </w:r>
    <w:r w:rsidRPr="00636F91">
      <w:instrText xml:space="preserve"> NUMPAGES  \* MERGEFORMAT </w:instrText>
    </w:r>
    <w:r w:rsidRPr="00636F91">
      <w:fldChar w:fldCharType="separate"/>
    </w:r>
    <w:r w:rsidR="00D46F73">
      <w:rPr>
        <w:noProof/>
      </w:rPr>
      <w:t>10</w:t>
    </w:r>
    <w:r w:rsidRPr="00636F91">
      <w:fldChar w:fldCharType="end"/>
    </w:r>
    <w:r w:rsidRPr="00636F91">
      <w:tab/>
    </w:r>
    <w:r w:rsidRPr="00636F91">
      <w:rPr>
        <w:rStyle w:val="HideTWBExt"/>
        <w:noProof w:val="0"/>
      </w:rPr>
      <w:t>&lt;PathFdR&gt;</w:t>
    </w:r>
    <w:r w:rsidRPr="00636F91">
      <w:t>PR\1186055RO.docx</w:t>
    </w:r>
    <w:r w:rsidRPr="00636F91">
      <w:rPr>
        <w:rStyle w:val="HideTWBExt"/>
        <w:noProof w:val="0"/>
      </w:rPr>
      <w:t>&lt;/PathFdR&gt;</w:t>
    </w:r>
  </w:p>
  <w:p w:rsidR="00BB725E" w:rsidRPr="00636F91" w:rsidRDefault="00636F91" w:rsidP="00636F91">
    <w:pPr>
      <w:pStyle w:val="Footer2"/>
    </w:pPr>
    <w:r w:rsidRPr="00636F91">
      <w:t>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91" w:rsidRPr="00636F91" w:rsidRDefault="00636F91" w:rsidP="00636F91">
    <w:pPr>
      <w:pStyle w:val="Footer"/>
    </w:pPr>
    <w:r w:rsidRPr="00636F91">
      <w:rPr>
        <w:rStyle w:val="HideTWBExt"/>
        <w:noProof w:val="0"/>
      </w:rPr>
      <w:t>&lt;PathFdR&gt;</w:t>
    </w:r>
    <w:r w:rsidRPr="00636F91">
      <w:t>PR\1186055RO.docx</w:t>
    </w:r>
    <w:r w:rsidRPr="00636F91">
      <w:rPr>
        <w:rStyle w:val="HideTWBExt"/>
        <w:noProof w:val="0"/>
      </w:rPr>
      <w:t>&lt;/PathFdR&gt;</w:t>
    </w:r>
    <w:r w:rsidRPr="00636F91">
      <w:tab/>
    </w:r>
    <w:r w:rsidRPr="00636F91">
      <w:fldChar w:fldCharType="begin"/>
    </w:r>
    <w:r w:rsidRPr="00636F91">
      <w:instrText xml:space="preserve"> PAGE  \* MERGEFORMAT </w:instrText>
    </w:r>
    <w:r w:rsidRPr="00636F91">
      <w:fldChar w:fldCharType="separate"/>
    </w:r>
    <w:r w:rsidR="00D46F73">
      <w:rPr>
        <w:noProof/>
      </w:rPr>
      <w:t>3</w:t>
    </w:r>
    <w:r w:rsidRPr="00636F91">
      <w:fldChar w:fldCharType="end"/>
    </w:r>
    <w:r w:rsidRPr="00636F91">
      <w:t>/</w:t>
    </w:r>
    <w:r w:rsidRPr="00636F91">
      <w:fldChar w:fldCharType="begin"/>
    </w:r>
    <w:r w:rsidRPr="00636F91">
      <w:instrText xml:space="preserve"> NUMPAGES  \* MERGEFORMAT </w:instrText>
    </w:r>
    <w:r w:rsidRPr="00636F91">
      <w:fldChar w:fldCharType="separate"/>
    </w:r>
    <w:r w:rsidR="00D46F73">
      <w:rPr>
        <w:noProof/>
      </w:rPr>
      <w:t>10</w:t>
    </w:r>
    <w:r w:rsidRPr="00636F91">
      <w:fldChar w:fldCharType="end"/>
    </w:r>
    <w:r w:rsidRPr="00636F91">
      <w:tab/>
      <w:t>PE</w:t>
    </w:r>
    <w:r w:rsidRPr="00636F91">
      <w:rPr>
        <w:rStyle w:val="HideTWBExt"/>
        <w:noProof w:val="0"/>
      </w:rPr>
      <w:t>&lt;NoPE&gt;</w:t>
    </w:r>
    <w:r w:rsidRPr="00636F91">
      <w:t>639.746</w:t>
    </w:r>
    <w:r w:rsidRPr="00636F91">
      <w:rPr>
        <w:rStyle w:val="HideTWBExt"/>
        <w:noProof w:val="0"/>
      </w:rPr>
      <w:t>&lt;/NoPE&gt;&lt;Version&gt;</w:t>
    </w:r>
    <w:r w:rsidRPr="00636F91">
      <w:t>v01-00</w:t>
    </w:r>
    <w:r w:rsidRPr="00636F91">
      <w:rPr>
        <w:rStyle w:val="HideTWBExt"/>
        <w:noProof w:val="0"/>
      </w:rPr>
      <w:t>&lt;/Version&gt;</w:t>
    </w:r>
  </w:p>
  <w:p w:rsidR="00BB725E" w:rsidRPr="00636F91" w:rsidRDefault="00636F91" w:rsidP="00636F91">
    <w:pPr>
      <w:pStyle w:val="Footer2"/>
    </w:pPr>
    <w:r w:rsidRPr="00636F91">
      <w:tab/>
      <w:t>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91" w:rsidRPr="00636F91" w:rsidRDefault="00636F91" w:rsidP="00636F91">
    <w:pPr>
      <w:pStyle w:val="Footer"/>
    </w:pPr>
    <w:r w:rsidRPr="00636F91">
      <w:rPr>
        <w:rStyle w:val="HideTWBExt"/>
        <w:noProof w:val="0"/>
      </w:rPr>
      <w:t>&lt;PathFdR&gt;</w:t>
    </w:r>
    <w:r w:rsidRPr="00636F91">
      <w:t>PR\1186055RO.docx</w:t>
    </w:r>
    <w:r w:rsidRPr="00636F91">
      <w:rPr>
        <w:rStyle w:val="HideTWBExt"/>
        <w:noProof w:val="0"/>
      </w:rPr>
      <w:t>&lt;/PathFdR&gt;</w:t>
    </w:r>
    <w:r w:rsidRPr="00636F91">
      <w:tab/>
    </w:r>
    <w:r w:rsidRPr="00636F91">
      <w:tab/>
      <w:t>PE</w:t>
    </w:r>
    <w:r w:rsidRPr="00636F91">
      <w:rPr>
        <w:rStyle w:val="HideTWBExt"/>
        <w:noProof w:val="0"/>
      </w:rPr>
      <w:t>&lt;NoPE&gt;</w:t>
    </w:r>
    <w:r w:rsidRPr="00636F91">
      <w:t>639.746</w:t>
    </w:r>
    <w:r w:rsidRPr="00636F91">
      <w:rPr>
        <w:rStyle w:val="HideTWBExt"/>
        <w:noProof w:val="0"/>
      </w:rPr>
      <w:t>&lt;/NoPE&gt;&lt;Version&gt;</w:t>
    </w:r>
    <w:r w:rsidRPr="00636F91">
      <w:t>v01-00</w:t>
    </w:r>
    <w:r w:rsidRPr="00636F91">
      <w:rPr>
        <w:rStyle w:val="HideTWBExt"/>
        <w:noProof w:val="0"/>
      </w:rPr>
      <w:t>&lt;/Version&gt;</w:t>
    </w:r>
  </w:p>
  <w:p w:rsidR="00BB725E" w:rsidRPr="00636F91" w:rsidRDefault="00636F91" w:rsidP="00636F91">
    <w:pPr>
      <w:pStyle w:val="Footer2"/>
      <w:tabs>
        <w:tab w:val="center" w:pos="4535"/>
        <w:tab w:val="right" w:pos="9921"/>
      </w:tabs>
    </w:pPr>
    <w:r w:rsidRPr="00636F91">
      <w:t>RO</w:t>
    </w:r>
    <w:r w:rsidRPr="00636F91">
      <w:tab/>
    </w:r>
    <w:r w:rsidRPr="00636F91">
      <w:rPr>
        <w:b w:val="0"/>
        <w:i/>
        <w:color w:val="C0C0C0"/>
        <w:sz w:val="22"/>
      </w:rPr>
      <w:t>Unită în diversitate</w:t>
    </w:r>
    <w:r w:rsidRPr="00636F91">
      <w:tab/>
      <w:t>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F8" w:rsidRPr="00636F91" w:rsidRDefault="000A2CF8">
      <w:r w:rsidRPr="00636F91">
        <w:separator/>
      </w:r>
    </w:p>
  </w:footnote>
  <w:footnote w:type="continuationSeparator" w:id="0">
    <w:p w:rsidR="000A2CF8" w:rsidRPr="00636F91" w:rsidRDefault="000A2CF8">
      <w:r w:rsidRPr="00636F91">
        <w:continuationSeparator/>
      </w:r>
    </w:p>
  </w:footnote>
  <w:footnote w:id="1">
    <w:p w:rsidR="00A1654F" w:rsidRPr="00636F91" w:rsidRDefault="00A1654F" w:rsidP="00A1654F">
      <w:pPr>
        <w:pStyle w:val="FootnoteText"/>
      </w:pPr>
      <w:r w:rsidRPr="00636F91">
        <w:rPr>
          <w:rStyle w:val="FootnoteReference"/>
        </w:rPr>
        <w:footnoteRef/>
      </w:r>
      <w:r w:rsidRPr="00636F91">
        <w:t xml:space="preserve"> JO L 311, 14.11.2002, p. 3.</w:t>
      </w:r>
    </w:p>
  </w:footnote>
  <w:footnote w:id="2">
    <w:p w:rsidR="00A1654F" w:rsidRPr="00636F91" w:rsidRDefault="00A1654F" w:rsidP="00A1654F">
      <w:pPr>
        <w:pStyle w:val="FootnoteText"/>
      </w:pPr>
      <w:r w:rsidRPr="00636F91">
        <w:rPr>
          <w:rStyle w:val="FootnoteReference"/>
        </w:rPr>
        <w:footnoteRef/>
      </w:r>
      <w:r w:rsidRPr="00636F91">
        <w:t xml:space="preserve"> JO L 347, 20.12.2013, p. 884.</w:t>
      </w:r>
    </w:p>
  </w:footnote>
  <w:footnote w:id="3">
    <w:p w:rsidR="00A1654F" w:rsidRPr="00636F91" w:rsidRDefault="00A1654F" w:rsidP="00A1654F">
      <w:pPr>
        <w:pStyle w:val="FootnoteText"/>
      </w:pPr>
      <w:r w:rsidRPr="00636F91">
        <w:rPr>
          <w:rStyle w:val="FootnoteReference"/>
        </w:rPr>
        <w:footnoteRef/>
      </w:r>
      <w:r w:rsidRPr="00636F91">
        <w:t xml:space="preserve"> JO C 373, 20.12.2013, p. 1.</w:t>
      </w:r>
    </w:p>
  </w:footnote>
  <w:footnote w:id="4">
    <w:p w:rsidR="009846A4" w:rsidRPr="00636F91" w:rsidRDefault="009846A4">
      <w:pPr>
        <w:pStyle w:val="FootnoteText"/>
      </w:pPr>
      <w:r w:rsidRPr="00636F91">
        <w:rPr>
          <w:rStyle w:val="FootnoteReference"/>
        </w:rPr>
        <w:footnoteRef/>
      </w:r>
      <w:r w:rsidRPr="00636F91">
        <w:t xml:space="preserve"> COM(2019)0125.</w:t>
      </w:r>
    </w:p>
  </w:footnote>
  <w:footnote w:id="5">
    <w:p w:rsidR="009846A4" w:rsidRPr="00636F91" w:rsidRDefault="009846A4">
      <w:pPr>
        <w:pStyle w:val="FootnoteText"/>
      </w:pPr>
      <w:r w:rsidRPr="00636F91">
        <w:rPr>
          <w:rStyle w:val="FootnoteReference"/>
        </w:rPr>
        <w:footnoteRef/>
      </w:r>
      <w:r w:rsidRPr="00636F91">
        <w:t xml:space="preserve"> Decizia (UE) 2019/420 a Parlamentului European </w:t>
      </w:r>
      <w:r w:rsidR="003F28CA">
        <w:t>ș</w:t>
      </w:r>
      <w:r w:rsidRPr="00636F91">
        <w:t xml:space="preserve">i a Consiliului din 13 martie 2019 de modificare a Deciziei </w:t>
      </w:r>
      <w:r w:rsidR="00B65EA0">
        <w:t xml:space="preserve">  </w:t>
      </w:r>
      <w:r w:rsidRPr="00636F91">
        <w:t>nr. 1313/2013/UE privind un mecanism de protec</w:t>
      </w:r>
      <w:r w:rsidR="003F28CA">
        <w:t>ț</w:t>
      </w:r>
      <w:r w:rsidRPr="00636F91">
        <w:t>ie civilă al Uniunii, JO L 77I, 20.3.2019, p. 1.</w:t>
      </w:r>
    </w:p>
  </w:footnote>
  <w:footnote w:id="6">
    <w:p w:rsidR="006B7F1C" w:rsidRPr="00636F91" w:rsidRDefault="006B7F1C">
      <w:pPr>
        <w:pStyle w:val="FootnoteText"/>
      </w:pPr>
      <w:r w:rsidRPr="00636F91">
        <w:rPr>
          <w:rStyle w:val="FootnoteReference"/>
        </w:rPr>
        <w:footnoteRef/>
      </w:r>
      <w:r w:rsidRPr="00636F91">
        <w:t xml:space="preserve"> P8-TA-PROV(2018)0449.</w:t>
      </w:r>
    </w:p>
  </w:footnote>
  <w:footnote w:id="7">
    <w:p w:rsidR="00A1654F" w:rsidRPr="00636F91" w:rsidRDefault="00A1654F" w:rsidP="00A1654F">
      <w:pPr>
        <w:pStyle w:val="FootnoteText"/>
      </w:pPr>
      <w:r w:rsidRPr="00636F91">
        <w:rPr>
          <w:rStyle w:val="FootnoteReference"/>
        </w:rPr>
        <w:footnoteRef/>
      </w:r>
      <w:r w:rsidRPr="00636F91">
        <w:tab/>
      </w:r>
      <w:r w:rsidRPr="00636F91">
        <w:rPr>
          <w:shd w:val="clear" w:color="auto" w:fill="FFFFFF"/>
        </w:rPr>
        <w:t>JO L 311, 14.11.2002, p. 3.</w:t>
      </w:r>
    </w:p>
  </w:footnote>
  <w:footnote w:id="8">
    <w:p w:rsidR="00A1654F" w:rsidRPr="00636F91" w:rsidRDefault="00A1654F" w:rsidP="00A1654F">
      <w:pPr>
        <w:pStyle w:val="FootnoteText"/>
      </w:pPr>
      <w:r w:rsidRPr="00636F91">
        <w:rPr>
          <w:rStyle w:val="FootnoteReference"/>
        </w:rPr>
        <w:footnoteRef/>
      </w:r>
      <w:r w:rsidRPr="00636F91">
        <w:tab/>
        <w:t>JO C 373, 20.12.2013, p. 1.</w:t>
      </w:r>
    </w:p>
  </w:footnote>
  <w:footnote w:id="9">
    <w:p w:rsidR="00A1654F" w:rsidRPr="00636F91" w:rsidRDefault="00A1654F" w:rsidP="003F28CA">
      <w:pPr>
        <w:pStyle w:val="FootnoteText"/>
        <w:ind w:left="709" w:hanging="709"/>
      </w:pPr>
      <w:r w:rsidRPr="00636F91">
        <w:rPr>
          <w:rStyle w:val="FootnoteReference"/>
        </w:rPr>
        <w:footnoteRef/>
      </w:r>
      <w:r w:rsidRPr="00636F91">
        <w:t xml:space="preserve"> </w:t>
      </w:r>
      <w:r w:rsidR="003F28CA">
        <w:tab/>
      </w:r>
      <w:r w:rsidRPr="00636F91">
        <w:t>Regulamentul (UE, Euratom) nr. 1311/2013 al Consiliului din 2 decembrie 2013 de stabilire a cadrului financiar multianual pentru perioada 2014-2020 (JO L 347, 20.12.2013, p. 884).</w:t>
      </w:r>
    </w:p>
  </w:footnote>
  <w:footnote w:id="10">
    <w:p w:rsidR="003F28CA" w:rsidRPr="006406FD" w:rsidRDefault="003F28CA" w:rsidP="003F28CA">
      <w:pPr>
        <w:pStyle w:val="FootnoteText"/>
      </w:pPr>
      <w:r w:rsidRPr="006406FD">
        <w:rPr>
          <w:rStyle w:val="FootnoteReference"/>
        </w:rPr>
        <w:sym w:font="Symbol" w:char="F02A"/>
      </w:r>
      <w:r w:rsidRPr="006406FD">
        <w:rPr>
          <w:rStyle w:val="FootnoteReference"/>
        </w:rPr>
        <w:sym w:font="Symbol" w:char="F02A"/>
      </w:r>
      <w:r w:rsidRPr="006406FD">
        <w:t xml:space="preserve"> </w:t>
      </w:r>
      <w:r w:rsidR="008A5B4D" w:rsidRPr="008A5B4D">
        <w:rPr>
          <w:i/>
        </w:rPr>
        <w:t>Dată de introdus de către Parlament înainte de publicarea în JO</w:t>
      </w:r>
      <w:r w:rsidRPr="006406FD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CA" w:rsidRDefault="003F28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CA" w:rsidRDefault="003F28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CA" w:rsidRDefault="003F2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pyToNetwork" w:val="-1"/>
    <w:docVar w:name="LastEditedSection" w:val=" 1"/>
    <w:docVar w:name="strDocTypeID" w:val="PR_BUD_Funds"/>
    <w:docVar w:name="strSubDir" w:val="1186"/>
    <w:docVar w:name="TITLEMNU" w:val=" 5"/>
    <w:docVar w:name="TXTLANGUE" w:val="EN"/>
    <w:docVar w:name="TXTLANGUEMIN" w:val="en"/>
    <w:docVar w:name="TXTNRBUD" w:val="2019/2023"/>
    <w:docVar w:name="TXTNRC" w:val="0000/2019"/>
    <w:docVar w:name="TXTNRCOM" w:val="(2019)0206"/>
    <w:docVar w:name="TXTNRPE" w:val="639.746"/>
    <w:docVar w:name="TXTPEorAP" w:val="PE"/>
    <w:docVar w:name="TXTROUTE" w:val="PR\1186055EN.docx"/>
    <w:docVar w:name="TXTTITLE" w:val="on the mobilisation of the European Union Solidarity Fund to provide assistance to Romania, Italy and Austria"/>
    <w:docVar w:name="TXTVERSION" w:val="01-00"/>
  </w:docVars>
  <w:rsids>
    <w:rsidRoot w:val="000A2CF8"/>
    <w:rsid w:val="00004D9B"/>
    <w:rsid w:val="00026F3C"/>
    <w:rsid w:val="000555E6"/>
    <w:rsid w:val="00056D27"/>
    <w:rsid w:val="000974AC"/>
    <w:rsid w:val="000A2CF8"/>
    <w:rsid w:val="00126032"/>
    <w:rsid w:val="00155B2F"/>
    <w:rsid w:val="00167F25"/>
    <w:rsid w:val="00203A53"/>
    <w:rsid w:val="002156BA"/>
    <w:rsid w:val="0022041B"/>
    <w:rsid w:val="002E74A7"/>
    <w:rsid w:val="002F2471"/>
    <w:rsid w:val="00300158"/>
    <w:rsid w:val="00343A17"/>
    <w:rsid w:val="003B4F3D"/>
    <w:rsid w:val="003F28CA"/>
    <w:rsid w:val="00402672"/>
    <w:rsid w:val="004058F9"/>
    <w:rsid w:val="004228DA"/>
    <w:rsid w:val="00441DE7"/>
    <w:rsid w:val="004845BB"/>
    <w:rsid w:val="004D2440"/>
    <w:rsid w:val="00533501"/>
    <w:rsid w:val="0055643C"/>
    <w:rsid w:val="0056269F"/>
    <w:rsid w:val="005B0658"/>
    <w:rsid w:val="005B09DF"/>
    <w:rsid w:val="005C1133"/>
    <w:rsid w:val="005F27D5"/>
    <w:rsid w:val="00601E96"/>
    <w:rsid w:val="006062C0"/>
    <w:rsid w:val="00636F91"/>
    <w:rsid w:val="006406FD"/>
    <w:rsid w:val="006B7F1C"/>
    <w:rsid w:val="00703318"/>
    <w:rsid w:val="007260CD"/>
    <w:rsid w:val="00731ECF"/>
    <w:rsid w:val="00797FEE"/>
    <w:rsid w:val="007F63FC"/>
    <w:rsid w:val="008350B7"/>
    <w:rsid w:val="00843D7C"/>
    <w:rsid w:val="00861675"/>
    <w:rsid w:val="008A5B4D"/>
    <w:rsid w:val="008E1BEE"/>
    <w:rsid w:val="008F1614"/>
    <w:rsid w:val="00917358"/>
    <w:rsid w:val="00945699"/>
    <w:rsid w:val="0097776D"/>
    <w:rsid w:val="009846A4"/>
    <w:rsid w:val="00A01FEF"/>
    <w:rsid w:val="00A1654F"/>
    <w:rsid w:val="00A27E62"/>
    <w:rsid w:val="00AF4089"/>
    <w:rsid w:val="00AF6B2F"/>
    <w:rsid w:val="00B346C6"/>
    <w:rsid w:val="00B65EA0"/>
    <w:rsid w:val="00B811BD"/>
    <w:rsid w:val="00BB725E"/>
    <w:rsid w:val="00BE414C"/>
    <w:rsid w:val="00C2162F"/>
    <w:rsid w:val="00C327B5"/>
    <w:rsid w:val="00C55014"/>
    <w:rsid w:val="00C753BD"/>
    <w:rsid w:val="00CA4836"/>
    <w:rsid w:val="00D068F1"/>
    <w:rsid w:val="00D17520"/>
    <w:rsid w:val="00D461B7"/>
    <w:rsid w:val="00D46F73"/>
    <w:rsid w:val="00D82527"/>
    <w:rsid w:val="00DE1BE3"/>
    <w:rsid w:val="00DF46ED"/>
    <w:rsid w:val="00DF621F"/>
    <w:rsid w:val="00EA7BAF"/>
    <w:rsid w:val="00F130D9"/>
    <w:rsid w:val="00F2146B"/>
    <w:rsid w:val="00F544D3"/>
    <w:rsid w:val="00F63F16"/>
    <w:rsid w:val="00FB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09AB4D"/>
  <w15:chartTrackingRefBased/>
  <w15:docId w15:val="{820D47A7-7356-42CC-B980-6B7AA8F8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Footer">
    <w:name w:val="footer"/>
    <w:basedOn w:val="Normal12a12b"/>
    <w:pPr>
      <w:tabs>
        <w:tab w:val="center" w:pos="4535"/>
        <w:tab w:val="right" w:pos="9071"/>
      </w:tabs>
    </w:pPr>
    <w:rPr>
      <w:sz w:val="22"/>
    </w:rPr>
  </w:style>
  <w:style w:type="paragraph" w:customStyle="1" w:styleId="Normal12a12b">
    <w:name w:val="Normal12a12b"/>
    <w:basedOn w:val="Normal"/>
    <w:pPr>
      <w:spacing w:before="240" w:after="240"/>
    </w:pPr>
  </w:style>
  <w:style w:type="paragraph" w:customStyle="1" w:styleId="Footer2">
    <w:name w:val="Footer2"/>
    <w:basedOn w:val="Normal"/>
    <w:pPr>
      <w:widowControl/>
      <w:tabs>
        <w:tab w:val="right" w:pos="9921"/>
      </w:tabs>
      <w:spacing w:after="240"/>
      <w:ind w:left="-850" w:right="-850"/>
    </w:pPr>
    <w:rPr>
      <w:rFonts w:ascii="Arial" w:hAnsi="Arial" w:cs="Arial"/>
      <w:b/>
      <w:sz w:val="48"/>
    </w:rPr>
  </w:style>
  <w:style w:type="paragraph" w:customStyle="1" w:styleId="Normal12">
    <w:name w:val="Normal12"/>
    <w:basedOn w:val="Normal"/>
    <w:pPr>
      <w:spacing w:after="240"/>
    </w:pPr>
  </w:style>
  <w:style w:type="paragraph" w:styleId="TOC1">
    <w:name w:val="toc 1"/>
    <w:basedOn w:val="Normal12"/>
    <w:next w:val="Normal12"/>
    <w:autoRedefine/>
    <w:uiPriority w:val="39"/>
  </w:style>
  <w:style w:type="paragraph" w:styleId="TOCHeading">
    <w:name w:val="TOC Heading"/>
    <w:basedOn w:val="Normal12"/>
    <w:next w:val="Normal12"/>
    <w:qFormat/>
    <w:pPr>
      <w:keepNext/>
      <w:spacing w:before="240"/>
      <w:jc w:val="center"/>
    </w:pPr>
    <w:rPr>
      <w:rFonts w:ascii="Arial" w:hAnsi="Arial"/>
      <w:b/>
    </w:rPr>
  </w:style>
  <w:style w:type="paragraph" w:customStyle="1" w:styleId="TOCPage">
    <w:name w:val="TOC Page"/>
    <w:basedOn w:val="Normal12"/>
    <w:next w:val="TOC1"/>
    <w:pPr>
      <w:keepNext/>
      <w:jc w:val="right"/>
    </w:pPr>
    <w:rPr>
      <w:rFonts w:ascii="Arial" w:hAnsi="Arial"/>
      <w:b/>
    </w:rPr>
  </w:style>
  <w:style w:type="character" w:customStyle="1" w:styleId="HideTWBInt">
    <w:name w:val="HideTWBInt"/>
    <w:rPr>
      <w:vanish/>
      <w:color w:val="808080"/>
    </w:rPr>
  </w:style>
  <w:style w:type="paragraph" w:customStyle="1" w:styleId="TableofEntries">
    <w:name w:val="Table of Entries"/>
    <w:basedOn w:val="Normal12"/>
    <w:pPr>
      <w:widowControl/>
      <w:tabs>
        <w:tab w:val="right" w:leader="dot" w:pos="9072"/>
      </w:tabs>
      <w:jc w:val="both"/>
    </w:pPr>
  </w:style>
  <w:style w:type="paragraph" w:customStyle="1" w:styleId="PageHeading">
    <w:name w:val="PageHeading"/>
    <w:basedOn w:val="Normal12a12b"/>
    <w:pPr>
      <w:keepNext/>
      <w:jc w:val="center"/>
    </w:pPr>
    <w:rPr>
      <w:rFonts w:ascii="Arial" w:hAnsi="Arial"/>
      <w:b/>
    </w:rPr>
  </w:style>
  <w:style w:type="paragraph" w:customStyle="1" w:styleId="NormalBold">
    <w:name w:val="NormalBold"/>
    <w:basedOn w:val="Normal"/>
    <w:rPr>
      <w:b/>
    </w:rPr>
  </w:style>
  <w:style w:type="paragraph" w:customStyle="1" w:styleId="Normal12Bold">
    <w:name w:val="Normal12Bold"/>
    <w:basedOn w:val="Normal12"/>
    <w:rPr>
      <w:b/>
    </w:rPr>
  </w:style>
  <w:style w:type="paragraph" w:customStyle="1" w:styleId="Normal12Hanging">
    <w:name w:val="Normal12Hanging"/>
    <w:basedOn w:val="Normal12"/>
    <w:pPr>
      <w:ind w:left="567" w:hanging="567"/>
    </w:pPr>
  </w:style>
  <w:style w:type="paragraph" w:customStyle="1" w:styleId="EPName">
    <w:name w:val="EPName"/>
    <w:basedOn w:val="Normal"/>
    <w:rsid w:val="00300158"/>
    <w:pPr>
      <w:spacing w:before="80" w:after="80"/>
    </w:pPr>
    <w:rPr>
      <w:rFonts w:ascii="Arial Narrow" w:hAnsi="Arial Narrow" w:cs="Arial"/>
      <w:b/>
      <w:color w:val="000000"/>
      <w:sz w:val="32"/>
      <w:szCs w:val="22"/>
    </w:rPr>
  </w:style>
  <w:style w:type="paragraph" w:customStyle="1" w:styleId="Normal24">
    <w:name w:val="Normal24"/>
    <w:basedOn w:val="Normal"/>
    <w:pPr>
      <w:spacing w:after="480"/>
    </w:pPr>
  </w:style>
  <w:style w:type="paragraph" w:customStyle="1" w:styleId="Cover12">
    <w:name w:val="Cover12"/>
    <w:basedOn w:val="Normal12"/>
    <w:pPr>
      <w:ind w:left="1418"/>
    </w:pPr>
  </w:style>
  <w:style w:type="paragraph" w:customStyle="1" w:styleId="Cover24">
    <w:name w:val="Cover24"/>
    <w:basedOn w:val="Normal24"/>
    <w:pPr>
      <w:ind w:left="1418"/>
    </w:pPr>
  </w:style>
  <w:style w:type="paragraph" w:customStyle="1" w:styleId="CoverNormal">
    <w:name w:val="CoverNormal"/>
    <w:basedOn w:val="Normal"/>
    <w:pPr>
      <w:ind w:left="1418"/>
    </w:pPr>
  </w:style>
  <w:style w:type="paragraph" w:customStyle="1" w:styleId="Normal12Centre">
    <w:name w:val="Normal12Centre"/>
    <w:basedOn w:val="Normal12"/>
    <w:pPr>
      <w:jc w:val="center"/>
    </w:pPr>
  </w:style>
  <w:style w:type="paragraph" w:customStyle="1" w:styleId="Normal12Keep">
    <w:name w:val="Normal12Keep"/>
    <w:basedOn w:val="Normal12"/>
    <w:pPr>
      <w:keepNext/>
    </w:pPr>
  </w:style>
  <w:style w:type="paragraph" w:customStyle="1" w:styleId="Normal12Tab">
    <w:name w:val="Normal12Tab"/>
    <w:basedOn w:val="Normal12"/>
    <w:rsid w:val="00FB2E5E"/>
    <w:pPr>
      <w:tabs>
        <w:tab w:val="left" w:pos="567"/>
      </w:tabs>
    </w:pPr>
  </w:style>
  <w:style w:type="paragraph" w:customStyle="1" w:styleId="RefProc">
    <w:name w:val="RefProc"/>
    <w:basedOn w:val="Normal"/>
    <w:rsid w:val="0022041B"/>
    <w:pPr>
      <w:spacing w:before="240" w:after="240"/>
      <w:jc w:val="right"/>
    </w:pPr>
    <w:rPr>
      <w:rFonts w:ascii="Arial" w:hAnsi="Arial"/>
      <w:b/>
      <w:caps/>
    </w:rPr>
  </w:style>
  <w:style w:type="paragraph" w:customStyle="1" w:styleId="TypeDoc">
    <w:name w:val="TypeDoc"/>
    <w:basedOn w:val="Normal24"/>
    <w:pPr>
      <w:spacing w:before="480"/>
      <w:ind w:left="1418"/>
    </w:pPr>
    <w:rPr>
      <w:rFonts w:ascii="Arial" w:hAnsi="Arial"/>
      <w:b/>
      <w:sz w:val="48"/>
    </w:rPr>
  </w:style>
  <w:style w:type="paragraph" w:customStyle="1" w:styleId="ZDate">
    <w:name w:val="ZDate"/>
    <w:basedOn w:val="Normal"/>
    <w:pPr>
      <w:spacing w:after="120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ver24Tab">
    <w:name w:val="Cover24Tab"/>
    <w:basedOn w:val="Normal24"/>
    <w:pPr>
      <w:tabs>
        <w:tab w:val="left" w:pos="3686"/>
        <w:tab w:val="left" w:pos="3969"/>
      </w:tabs>
      <w:ind w:left="1418"/>
    </w:pPr>
    <w:rPr>
      <w:snapToGrid w:val="0"/>
      <w:lang w:eastAsia="en-US"/>
    </w:rPr>
  </w:style>
  <w:style w:type="paragraph" w:customStyle="1" w:styleId="Normal12BoldCentre">
    <w:name w:val="Normal12BoldCentre"/>
    <w:basedOn w:val="Normal"/>
    <w:rsid w:val="003B4F3D"/>
    <w:pPr>
      <w:spacing w:after="240"/>
      <w:jc w:val="center"/>
    </w:pPr>
    <w:rPr>
      <w:b/>
    </w:rPr>
  </w:style>
  <w:style w:type="paragraph" w:customStyle="1" w:styleId="Normal24BoldCentre">
    <w:name w:val="Normal24BoldCentre"/>
    <w:basedOn w:val="Normal"/>
    <w:next w:val="Normal12Hanging"/>
    <w:pPr>
      <w:spacing w:after="480"/>
      <w:jc w:val="center"/>
    </w:pPr>
    <w:rPr>
      <w:b/>
      <w:noProof/>
    </w:rPr>
  </w:style>
  <w:style w:type="paragraph" w:customStyle="1" w:styleId="Normal24Bold">
    <w:name w:val="Normal24Bold"/>
    <w:basedOn w:val="Normal"/>
    <w:rsid w:val="00DF46ED"/>
    <w:pPr>
      <w:spacing w:after="480"/>
    </w:pPr>
    <w:rPr>
      <w:b/>
      <w:bCs/>
    </w:rPr>
  </w:style>
  <w:style w:type="table" w:styleId="TableGrid">
    <w:name w:val="Table Grid"/>
    <w:basedOn w:val="TableNormal"/>
    <w:rsid w:val="0053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mmittee">
    <w:name w:val="ZCommittee"/>
    <w:basedOn w:val="Normal"/>
    <w:next w:val="Normal"/>
    <w:rsid w:val="00533501"/>
    <w:pPr>
      <w:jc w:val="center"/>
    </w:pPr>
    <w:rPr>
      <w:rFonts w:ascii="Arial" w:hAnsi="Arial" w:cs="Arial"/>
      <w:i/>
      <w:sz w:val="22"/>
      <w:szCs w:val="22"/>
    </w:rPr>
  </w:style>
  <w:style w:type="paragraph" w:customStyle="1" w:styleId="LineTop">
    <w:name w:val="LineTop"/>
    <w:basedOn w:val="Normal"/>
    <w:next w:val="ZCommittee"/>
    <w:rsid w:val="00533501"/>
    <w:pPr>
      <w:pBdr>
        <w:top w:val="single" w:sz="4" w:space="1" w:color="auto"/>
      </w:pBdr>
      <w:jc w:val="center"/>
    </w:pPr>
    <w:rPr>
      <w:rFonts w:ascii="Arial" w:hAnsi="Arial"/>
      <w:sz w:val="16"/>
      <w:szCs w:val="16"/>
    </w:rPr>
  </w:style>
  <w:style w:type="paragraph" w:customStyle="1" w:styleId="LineBottom">
    <w:name w:val="LineBottom"/>
    <w:basedOn w:val="Normal"/>
    <w:next w:val="Normal"/>
    <w:rsid w:val="00533501"/>
    <w:pPr>
      <w:pBdr>
        <w:bottom w:val="single" w:sz="4" w:space="1" w:color="auto"/>
      </w:pBdr>
      <w:spacing w:after="840"/>
      <w:jc w:val="center"/>
    </w:pPr>
    <w:rPr>
      <w:rFonts w:ascii="Arial" w:hAnsi="Arial"/>
      <w:sz w:val="16"/>
      <w:szCs w:val="16"/>
    </w:rPr>
  </w:style>
  <w:style w:type="paragraph" w:customStyle="1" w:styleId="EPTerm">
    <w:name w:val="EPTerm"/>
    <w:basedOn w:val="Normal"/>
    <w:next w:val="Normal"/>
    <w:rsid w:val="00300158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300158"/>
    <w:pPr>
      <w:jc w:val="right"/>
    </w:pPr>
  </w:style>
  <w:style w:type="paragraph" w:styleId="FootnoteText">
    <w:name w:val="footnote text"/>
    <w:basedOn w:val="Normal"/>
    <w:link w:val="FootnoteTextChar"/>
    <w:uiPriority w:val="99"/>
    <w:rsid w:val="005B09D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9DF"/>
  </w:style>
  <w:style w:type="character" w:styleId="FootnoteReference">
    <w:name w:val="footnote reference"/>
    <w:aliases w:val="Footnote Reference Superscript,Footnote symbol,Footnote,stylish,BVI fnr,Footnote symboFußnotenzeichen,Footnote sign,Footnote Reference Number,E FNZ,-E Fußnotenzeichen,Footnote#,Times 10 Point,Exposant 3 Point,Ref,de nota al pie,SUPER"/>
    <w:basedOn w:val="DefaultParagraphFont"/>
    <w:uiPriority w:val="99"/>
    <w:rsid w:val="005B09DF"/>
    <w:rPr>
      <w:vertAlign w:val="superscript"/>
    </w:rPr>
  </w:style>
  <w:style w:type="paragraph" w:customStyle="1" w:styleId="Titrearticle">
    <w:name w:val="Titre article"/>
    <w:basedOn w:val="Normal"/>
    <w:next w:val="Normal"/>
    <w:rsid w:val="00A1654F"/>
    <w:pPr>
      <w:keepNext/>
      <w:widowControl/>
      <w:spacing w:before="360" w:after="120"/>
      <w:jc w:val="center"/>
    </w:pPr>
    <w:rPr>
      <w:rFonts w:eastAsia="Calibri"/>
      <w:i/>
      <w:szCs w:val="22"/>
      <w:lang w:eastAsia="en-US"/>
    </w:rPr>
  </w:style>
  <w:style w:type="paragraph" w:customStyle="1" w:styleId="Formuledadoption">
    <w:name w:val="Formule d'adoption"/>
    <w:basedOn w:val="Normal"/>
    <w:next w:val="Titrearticle"/>
    <w:rsid w:val="00A1654F"/>
    <w:pPr>
      <w:keepNext/>
      <w:widowControl/>
      <w:spacing w:before="120" w:after="120"/>
      <w:jc w:val="both"/>
    </w:pPr>
    <w:rPr>
      <w:rFonts w:eastAsia="Calibri"/>
      <w:szCs w:val="22"/>
      <w:lang w:eastAsia="en-US"/>
    </w:rPr>
  </w:style>
  <w:style w:type="paragraph" w:customStyle="1" w:styleId="Institutionquiagit">
    <w:name w:val="Institution qui agit"/>
    <w:basedOn w:val="Normal"/>
    <w:next w:val="Normal"/>
    <w:rsid w:val="00A1654F"/>
    <w:pPr>
      <w:keepNext/>
      <w:widowControl/>
      <w:spacing w:before="600" w:after="120"/>
      <w:jc w:val="both"/>
    </w:pPr>
    <w:rPr>
      <w:rFonts w:eastAsia="Calibri"/>
      <w:szCs w:val="22"/>
      <w:lang w:eastAsia="en-US"/>
    </w:rPr>
  </w:style>
  <w:style w:type="paragraph" w:customStyle="1" w:styleId="Titreobjet">
    <w:name w:val="Titre objet"/>
    <w:basedOn w:val="Normal"/>
    <w:next w:val="Normal"/>
    <w:rsid w:val="00A1654F"/>
    <w:pPr>
      <w:widowControl/>
      <w:spacing w:before="360" w:after="360"/>
      <w:jc w:val="center"/>
    </w:pPr>
    <w:rPr>
      <w:rFonts w:eastAsia="Calibri"/>
      <w:b/>
      <w:szCs w:val="22"/>
      <w:lang w:eastAsia="en-US"/>
    </w:rPr>
  </w:style>
  <w:style w:type="paragraph" w:customStyle="1" w:styleId="Typedudocument">
    <w:name w:val="Type du document"/>
    <w:basedOn w:val="Normal"/>
    <w:next w:val="Titreobjet"/>
    <w:rsid w:val="00A1654F"/>
    <w:pPr>
      <w:widowControl/>
      <w:spacing w:before="360"/>
      <w:jc w:val="center"/>
    </w:pPr>
    <w:rPr>
      <w:rFonts w:eastAsia="Calibri"/>
      <w:b/>
      <w:szCs w:val="22"/>
      <w:lang w:eastAsia="en-US"/>
    </w:rPr>
  </w:style>
  <w:style w:type="paragraph" w:customStyle="1" w:styleId="Point0number">
    <w:name w:val="Point 0 (number)"/>
    <w:basedOn w:val="Normal"/>
    <w:rsid w:val="00A1654F"/>
    <w:pPr>
      <w:widowControl/>
      <w:numPr>
        <w:numId w:val="41"/>
      </w:numPr>
      <w:tabs>
        <w:tab w:val="clear" w:pos="850"/>
        <w:tab w:val="num" w:pos="360"/>
      </w:tabs>
      <w:spacing w:before="120" w:after="120"/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Point1number">
    <w:name w:val="Point 1 (number)"/>
    <w:basedOn w:val="Normal"/>
    <w:rsid w:val="00A1654F"/>
    <w:pPr>
      <w:widowControl/>
      <w:numPr>
        <w:ilvl w:val="2"/>
        <w:numId w:val="41"/>
      </w:numPr>
      <w:tabs>
        <w:tab w:val="clear" w:pos="1417"/>
        <w:tab w:val="num" w:pos="360"/>
      </w:tabs>
      <w:spacing w:before="120" w:after="120"/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Point2number">
    <w:name w:val="Point 2 (number)"/>
    <w:basedOn w:val="Normal"/>
    <w:rsid w:val="00A1654F"/>
    <w:pPr>
      <w:widowControl/>
      <w:numPr>
        <w:ilvl w:val="4"/>
        <w:numId w:val="41"/>
      </w:numPr>
      <w:tabs>
        <w:tab w:val="clear" w:pos="1984"/>
        <w:tab w:val="num" w:pos="360"/>
      </w:tabs>
      <w:spacing w:before="120" w:after="120"/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Point3number">
    <w:name w:val="Point 3 (number)"/>
    <w:basedOn w:val="Normal"/>
    <w:rsid w:val="00A1654F"/>
    <w:pPr>
      <w:widowControl/>
      <w:numPr>
        <w:ilvl w:val="6"/>
        <w:numId w:val="41"/>
      </w:numPr>
      <w:tabs>
        <w:tab w:val="clear" w:pos="2551"/>
        <w:tab w:val="num" w:pos="360"/>
      </w:tabs>
      <w:spacing w:before="120" w:after="120"/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Point0letter">
    <w:name w:val="Point 0 (letter)"/>
    <w:basedOn w:val="Normal"/>
    <w:rsid w:val="00A1654F"/>
    <w:pPr>
      <w:widowControl/>
      <w:numPr>
        <w:ilvl w:val="1"/>
        <w:numId w:val="41"/>
      </w:numPr>
      <w:tabs>
        <w:tab w:val="clear" w:pos="850"/>
        <w:tab w:val="num" w:pos="360"/>
      </w:tabs>
      <w:spacing w:before="120" w:after="120"/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Point1letter">
    <w:name w:val="Point 1 (letter)"/>
    <w:basedOn w:val="Normal"/>
    <w:rsid w:val="00A1654F"/>
    <w:pPr>
      <w:widowControl/>
      <w:numPr>
        <w:ilvl w:val="3"/>
        <w:numId w:val="41"/>
      </w:numPr>
      <w:tabs>
        <w:tab w:val="clear" w:pos="1417"/>
        <w:tab w:val="num" w:pos="360"/>
      </w:tabs>
      <w:spacing w:before="120" w:after="120"/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Point2letter">
    <w:name w:val="Point 2 (letter)"/>
    <w:basedOn w:val="Normal"/>
    <w:rsid w:val="00A1654F"/>
    <w:pPr>
      <w:widowControl/>
      <w:numPr>
        <w:ilvl w:val="5"/>
        <w:numId w:val="41"/>
      </w:numPr>
      <w:tabs>
        <w:tab w:val="clear" w:pos="1984"/>
        <w:tab w:val="num" w:pos="360"/>
      </w:tabs>
      <w:spacing w:before="120" w:after="120"/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Point3letter">
    <w:name w:val="Point 3 (letter)"/>
    <w:basedOn w:val="Normal"/>
    <w:rsid w:val="00A1654F"/>
    <w:pPr>
      <w:widowControl/>
      <w:numPr>
        <w:ilvl w:val="7"/>
        <w:numId w:val="41"/>
      </w:numPr>
      <w:tabs>
        <w:tab w:val="clear" w:pos="2551"/>
        <w:tab w:val="num" w:pos="360"/>
      </w:tabs>
      <w:spacing w:before="120" w:after="120"/>
      <w:ind w:left="360" w:hanging="360"/>
      <w:jc w:val="both"/>
    </w:pPr>
    <w:rPr>
      <w:rFonts w:eastAsia="Calibri"/>
      <w:szCs w:val="22"/>
      <w:lang w:eastAsia="en-US"/>
    </w:rPr>
  </w:style>
  <w:style w:type="paragraph" w:customStyle="1" w:styleId="Point4letter">
    <w:name w:val="Point 4 (letter)"/>
    <w:basedOn w:val="Normal"/>
    <w:rsid w:val="00A1654F"/>
    <w:pPr>
      <w:widowControl/>
      <w:numPr>
        <w:ilvl w:val="8"/>
        <w:numId w:val="41"/>
      </w:numPr>
      <w:tabs>
        <w:tab w:val="clear" w:pos="3118"/>
        <w:tab w:val="num" w:pos="360"/>
      </w:tabs>
      <w:spacing w:before="120" w:after="120"/>
      <w:ind w:left="360" w:hanging="360"/>
      <w:jc w:val="both"/>
    </w:pPr>
    <w:rPr>
      <w:rFonts w:eastAsia="Calibri"/>
      <w:szCs w:val="22"/>
      <w:lang w:eastAsia="en-US"/>
    </w:rPr>
  </w:style>
  <w:style w:type="paragraph" w:styleId="BalloonText">
    <w:name w:val="Balloon Text"/>
    <w:basedOn w:val="Normal"/>
    <w:link w:val="BalloonTextChar"/>
    <w:rsid w:val="00C55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5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2852-F88D-42AF-99EF-5220CD03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2056</Words>
  <Characters>11844</Characters>
  <Application>Microsoft Office Word</Application>
  <DocSecurity>0</DocSecurity>
  <Lines>227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PR_BUD_Funds</vt:lpstr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PR_BUD_Funds</dc:title>
  <dc:subject/>
  <dc:creator>MAVRANTONI Ivi</dc:creator>
  <cp:keywords/>
  <dc:description/>
  <cp:lastModifiedBy>DIACONESCU Simona</cp:lastModifiedBy>
  <cp:revision>2</cp:revision>
  <cp:lastPrinted>2019-07-11T11:48:00Z</cp:lastPrinted>
  <dcterms:created xsi:type="dcterms:W3CDTF">2019-07-24T13:50:00Z</dcterms:created>
  <dcterms:modified xsi:type="dcterms:W3CDTF">2019-07-24T13:50:00Z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with">
    <vt:lpwstr>9.6.2 Build [20190327]</vt:lpwstr>
  </property>
  <property fmtid="{D5CDD505-2E9C-101B-9397-08002B2CF9AE}" pid="3" name="LastEdited with">
    <vt:lpwstr>9.6.2 Build [20190327]</vt:lpwstr>
  </property>
  <property fmtid="{D5CDD505-2E9C-101B-9397-08002B2CF9AE}" pid="4" name="&lt;FdR&gt;">
    <vt:lpwstr>1186055</vt:lpwstr>
  </property>
  <property fmtid="{D5CDD505-2E9C-101B-9397-08002B2CF9AE}" pid="5" name="&lt;Type&gt;">
    <vt:lpwstr>PR</vt:lpwstr>
  </property>
  <property fmtid="{D5CDD505-2E9C-101B-9397-08002B2CF9AE}" pid="6" name="&lt;ModelCod&gt;">
    <vt:lpwstr>\\eiciBRUpr1\pdocep$\DocEP\DOCS\General\PR\PR_BUD\BUD\PR_BUD_Funds.dot(08/05/2019 19:44:04)</vt:lpwstr>
  </property>
  <property fmtid="{D5CDD505-2E9C-101B-9397-08002B2CF9AE}" pid="7" name="&lt;ModelTra&gt;">
    <vt:lpwstr>\\eiciBRUpr1\pdocep$\DocEP\TRANSFIL\EN\PR_BUD_Funds.EN(26/10/2018 13:07:59)</vt:lpwstr>
  </property>
  <property fmtid="{D5CDD505-2E9C-101B-9397-08002B2CF9AE}" pid="8" name="&lt;Model&gt;">
    <vt:lpwstr>PR_BUD_Funds</vt:lpwstr>
  </property>
  <property fmtid="{D5CDD505-2E9C-101B-9397-08002B2CF9AE}" pid="9" name="FooterPath">
    <vt:lpwstr>PR\1186055RO.docx</vt:lpwstr>
  </property>
  <property fmtid="{D5CDD505-2E9C-101B-9397-08002B2CF9AE}" pid="10" name="SubscribeElise">
    <vt:lpwstr/>
  </property>
  <property fmtid="{D5CDD505-2E9C-101B-9397-08002B2CF9AE}" pid="11" name="PE number">
    <vt:lpwstr>639.746</vt:lpwstr>
  </property>
  <property fmtid="{D5CDD505-2E9C-101B-9397-08002B2CF9AE}" pid="12" name="SendToEpades">
    <vt:lpwstr>OK - 2019/07/12 16:33</vt:lpwstr>
  </property>
  <property fmtid="{D5CDD505-2E9C-101B-9397-08002B2CF9AE}" pid="13" name="SDLStudio">
    <vt:lpwstr/>
  </property>
  <property fmtid="{D5CDD505-2E9C-101B-9397-08002B2CF9AE}" pid="14" name="&lt;Extension&gt;">
    <vt:lpwstr>RO</vt:lpwstr>
  </property>
  <property fmtid="{D5CDD505-2E9C-101B-9397-08002B2CF9AE}" pid="15" name="Bookout">
    <vt:lpwstr>OK - 2019/07/24 15:50</vt:lpwstr>
  </property>
</Properties>
</file>