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D86DF" w14:textId="77777777" w:rsidR="00E55141" w:rsidRPr="00783D5C" w:rsidRDefault="00F11ECB" w:rsidP="00E55141">
      <w:pPr>
        <w:jc w:val="center"/>
        <w:rPr>
          <w:b/>
          <w:bCs/>
          <w:color w:val="FF0000"/>
          <w:sz w:val="28"/>
          <w:szCs w:val="28"/>
        </w:rPr>
      </w:pPr>
      <w:r w:rsidRPr="00783D5C">
        <w:rPr>
          <w:b/>
          <w:bCs/>
          <w:color w:val="FF0000"/>
          <w:sz w:val="28"/>
          <w:szCs w:val="28"/>
        </w:rPr>
        <w:t>P</w:t>
      </w:r>
      <w:r w:rsidR="00E55141" w:rsidRPr="00783D5C">
        <w:rPr>
          <w:b/>
          <w:bCs/>
          <w:color w:val="FF0000"/>
          <w:sz w:val="28"/>
          <w:szCs w:val="28"/>
        </w:rPr>
        <w:t xml:space="preserve">rogramul </w:t>
      </w:r>
      <w:r w:rsidRPr="00783D5C">
        <w:rPr>
          <w:b/>
          <w:bCs/>
          <w:color w:val="FF0000"/>
          <w:sz w:val="28"/>
          <w:szCs w:val="28"/>
        </w:rPr>
        <w:t>O</w:t>
      </w:r>
      <w:r w:rsidR="00E55141" w:rsidRPr="00783D5C">
        <w:rPr>
          <w:b/>
          <w:bCs/>
          <w:color w:val="FF0000"/>
          <w:sz w:val="28"/>
          <w:szCs w:val="28"/>
        </w:rPr>
        <w:t xml:space="preserve">perational </w:t>
      </w:r>
      <w:r w:rsidRPr="00783D5C">
        <w:rPr>
          <w:b/>
          <w:bCs/>
          <w:color w:val="FF0000"/>
          <w:sz w:val="28"/>
          <w:szCs w:val="28"/>
        </w:rPr>
        <w:t>D</w:t>
      </w:r>
      <w:r w:rsidR="00E55141" w:rsidRPr="00783D5C">
        <w:rPr>
          <w:b/>
          <w:bCs/>
          <w:color w:val="FF0000"/>
          <w:sz w:val="28"/>
          <w:szCs w:val="28"/>
        </w:rPr>
        <w:t>ezvoltare Durabila</w:t>
      </w:r>
    </w:p>
    <w:p w14:paraId="063277B8" w14:textId="1A961540" w:rsidR="00E55141" w:rsidRPr="00783D5C" w:rsidRDefault="00F11ECB" w:rsidP="00E55141">
      <w:pPr>
        <w:jc w:val="center"/>
        <w:rPr>
          <w:b/>
          <w:bCs/>
          <w:color w:val="FF0000"/>
          <w:sz w:val="28"/>
          <w:szCs w:val="28"/>
        </w:rPr>
      </w:pPr>
      <w:r w:rsidRPr="00783D5C">
        <w:rPr>
          <w:b/>
          <w:bCs/>
          <w:color w:val="FF0000"/>
          <w:sz w:val="28"/>
          <w:szCs w:val="28"/>
        </w:rPr>
        <w:t xml:space="preserve"> 2021-2027</w:t>
      </w:r>
    </w:p>
    <w:p w14:paraId="0AB9F937" w14:textId="09A23C2F" w:rsidR="00783D5C" w:rsidRPr="00783D5C" w:rsidRDefault="00783D5C" w:rsidP="00E55141">
      <w:pPr>
        <w:jc w:val="center"/>
        <w:rPr>
          <w:b/>
          <w:bCs/>
          <w:color w:val="FF0000"/>
          <w:sz w:val="28"/>
          <w:szCs w:val="28"/>
        </w:rPr>
      </w:pPr>
    </w:p>
    <w:p w14:paraId="2FEB9EA2" w14:textId="77777777" w:rsidR="00783D5C" w:rsidRPr="00783D5C" w:rsidRDefault="00783D5C" w:rsidP="00783D5C">
      <w:pPr>
        <w:jc w:val="both"/>
        <w:rPr>
          <w:b/>
          <w:bCs/>
          <w:color w:val="FF0000"/>
          <w:sz w:val="28"/>
          <w:szCs w:val="28"/>
        </w:rPr>
      </w:pPr>
    </w:p>
    <w:p w14:paraId="60F291DD" w14:textId="3E6FA86F" w:rsidR="00E55141" w:rsidRPr="00783D5C" w:rsidRDefault="00783D5C" w:rsidP="00783D5C">
      <w:pPr>
        <w:jc w:val="both"/>
        <w:rPr>
          <w:b/>
          <w:bCs/>
          <w:sz w:val="28"/>
          <w:szCs w:val="28"/>
        </w:rPr>
      </w:pPr>
      <w:r w:rsidRPr="00783D5C">
        <w:rPr>
          <w:b/>
          <w:bCs/>
          <w:sz w:val="28"/>
          <w:szCs w:val="28"/>
        </w:rPr>
        <w:t>Axa Prioritară 1. Tranzitie energetică bazată pe eficiență energetică, emisii reduse,  sisteme inteligente de energie, rețele si soluții de stocare</w:t>
      </w:r>
    </w:p>
    <w:p w14:paraId="5C9D8416" w14:textId="2723D5D6" w:rsidR="00783D5C" w:rsidRPr="00783D5C" w:rsidRDefault="00783D5C" w:rsidP="00783D5C">
      <w:pPr>
        <w:jc w:val="both"/>
        <w:rPr>
          <w:b/>
          <w:bCs/>
          <w:sz w:val="28"/>
          <w:szCs w:val="28"/>
        </w:rPr>
      </w:pPr>
      <w:r w:rsidRPr="00783D5C">
        <w:rPr>
          <w:b/>
          <w:bCs/>
          <w:sz w:val="28"/>
          <w:szCs w:val="28"/>
        </w:rPr>
        <w:t>Axa Prioritară 2 - Dezvoltarea infrastructurii de apă și apă uzată și tranziția la o economie circulara</w:t>
      </w:r>
    </w:p>
    <w:p w14:paraId="24CF29F7" w14:textId="7C0A091C" w:rsidR="00783D5C" w:rsidRPr="00783D5C" w:rsidRDefault="00783D5C" w:rsidP="00783D5C">
      <w:pPr>
        <w:jc w:val="both"/>
        <w:rPr>
          <w:b/>
          <w:bCs/>
          <w:sz w:val="28"/>
          <w:szCs w:val="28"/>
        </w:rPr>
      </w:pPr>
      <w:r w:rsidRPr="00783D5C">
        <w:rPr>
          <w:b/>
          <w:bCs/>
          <w:sz w:val="28"/>
          <w:szCs w:val="28"/>
        </w:rPr>
        <w:t>Axa Prioritară 3 - Protecţia mediului prin conservarea biodiversităţii, asigurarea calităţii aerului şi decontaminare a siturilor poluate</w:t>
      </w:r>
    </w:p>
    <w:p w14:paraId="280C646B" w14:textId="26724BD5" w:rsidR="00783D5C" w:rsidRPr="00783D5C" w:rsidRDefault="00783D5C" w:rsidP="00783D5C">
      <w:pPr>
        <w:jc w:val="both"/>
        <w:rPr>
          <w:b/>
          <w:bCs/>
          <w:sz w:val="28"/>
          <w:szCs w:val="28"/>
        </w:rPr>
      </w:pPr>
      <w:r w:rsidRPr="00783D5C">
        <w:rPr>
          <w:b/>
          <w:bCs/>
          <w:sz w:val="28"/>
          <w:szCs w:val="28"/>
        </w:rPr>
        <w:t>Axa Prioritară 4 - Promovarea adaptării la schimbările climatice, prevenirea şi gestionarea riscurilor</w:t>
      </w:r>
    </w:p>
    <w:p w14:paraId="09D3FCBB" w14:textId="77777777" w:rsidR="00783D5C" w:rsidRPr="00783D5C" w:rsidRDefault="00783D5C" w:rsidP="00783D5C">
      <w:pPr>
        <w:jc w:val="both"/>
        <w:rPr>
          <w:b/>
          <w:bCs/>
          <w:sz w:val="28"/>
          <w:szCs w:val="28"/>
        </w:rPr>
      </w:pPr>
    </w:p>
    <w:p w14:paraId="044FBEB7" w14:textId="77777777" w:rsidR="00F11ECB" w:rsidRPr="00783D5C" w:rsidRDefault="00F11ECB" w:rsidP="00F11ECB">
      <w:pPr>
        <w:jc w:val="both"/>
        <w:rPr>
          <w:color w:val="FF0000"/>
          <w:sz w:val="28"/>
          <w:szCs w:val="28"/>
          <w:highlight w:val="yellow"/>
        </w:rPr>
      </w:pPr>
    </w:p>
    <w:p w14:paraId="025416E6" w14:textId="1A48E3AD" w:rsidR="00F11ECB" w:rsidRPr="00783D5C" w:rsidRDefault="00F11ECB" w:rsidP="00F11ECB">
      <w:pPr>
        <w:shd w:val="clear" w:color="auto" w:fill="D9E2F3" w:themeFill="accent1" w:themeFillTint="33"/>
        <w:ind w:right="-284"/>
        <w:jc w:val="both"/>
        <w:rPr>
          <w:sz w:val="28"/>
          <w:szCs w:val="28"/>
        </w:rPr>
      </w:pPr>
      <w:r w:rsidRPr="00783D5C">
        <w:rPr>
          <w:b/>
          <w:sz w:val="28"/>
          <w:szCs w:val="28"/>
        </w:rPr>
        <w:t>Axa Prioritară 1. Tranzitie energetică bazată pe eficiență energetică, emisii reduse,  sisteme inteligente de energie, rețele si soluții de stocare</w:t>
      </w:r>
      <w:r w:rsidR="00E55141" w:rsidRPr="00783D5C">
        <w:rPr>
          <w:sz w:val="28"/>
          <w:szCs w:val="28"/>
        </w:rPr>
        <w:t xml:space="preserve"> </w:t>
      </w:r>
    </w:p>
    <w:p w14:paraId="6EFF33AB" w14:textId="77777777" w:rsidR="00F11ECB" w:rsidRPr="00783D5C" w:rsidRDefault="00F11ECB" w:rsidP="00F11ECB">
      <w:pPr>
        <w:jc w:val="both"/>
        <w:rPr>
          <w:sz w:val="28"/>
          <w:szCs w:val="28"/>
        </w:rPr>
      </w:pPr>
    </w:p>
    <w:p w14:paraId="66BF76FC" w14:textId="77777777" w:rsidR="00F11ECB" w:rsidRPr="00783D5C" w:rsidRDefault="00F11ECB" w:rsidP="00F11ECB">
      <w:pPr>
        <w:jc w:val="both"/>
        <w:rPr>
          <w:rFonts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0"/>
      </w:tblGrid>
      <w:tr w:rsidR="00003AD2" w:rsidRPr="00783D5C" w14:paraId="6267C01C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39E3" w14:textId="5E476EEE" w:rsidR="00003AD2" w:rsidRPr="00783D5C" w:rsidRDefault="00003AD2" w:rsidP="00003AD2">
            <w:pPr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Obiectiv Specific FEDR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/FC</w:t>
            </w:r>
          </w:p>
          <w:p w14:paraId="11D68447" w14:textId="754092E1" w:rsidR="00003AD2" w:rsidRPr="00783D5C" w:rsidRDefault="00003AD2" w:rsidP="00003AD2">
            <w:pPr>
              <w:rPr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(i) Promovarea eficienței energetice și reducerea emisiilor de gaze cu efect de seră</w:t>
            </w:r>
          </w:p>
        </w:tc>
      </w:tr>
      <w:tr w:rsidR="00003AD2" w:rsidRPr="00783D5C" w14:paraId="18E9FF47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3D7" w14:textId="0821BE0A" w:rsidR="00003AD2" w:rsidRPr="00783D5C" w:rsidRDefault="00003AD2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b/>
                <w:sz w:val="28"/>
                <w:szCs w:val="28"/>
              </w:rPr>
              <w:t>Operațiuni</w:t>
            </w:r>
          </w:p>
        </w:tc>
      </w:tr>
      <w:tr w:rsidR="00003AD2" w:rsidRPr="00783D5C" w14:paraId="120B1F0D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D5D" w14:textId="4A391114" w:rsidR="00003AD2" w:rsidRPr="00783D5C" w:rsidRDefault="00003AD2" w:rsidP="00003AD2">
            <w:pPr>
              <w:rPr>
                <w:sz w:val="28"/>
                <w:szCs w:val="28"/>
              </w:rPr>
            </w:pPr>
            <w:r w:rsidRPr="00783D5C">
              <w:rPr>
                <w:rFonts w:cs="Arial"/>
                <w:color w:val="000000"/>
                <w:sz w:val="28"/>
                <w:szCs w:val="28"/>
              </w:rPr>
              <w:t>-</w:t>
            </w:r>
            <w:r w:rsidRPr="00783D5C">
              <w:rPr>
                <w:sz w:val="28"/>
                <w:szCs w:val="28"/>
                <w:lang w:val="it-IT"/>
              </w:rPr>
              <w:t>Proiecte demonstrative și de eficientă energetică în IMM-uri și masuri de sprijin adiacente.</w:t>
            </w:r>
          </w:p>
        </w:tc>
      </w:tr>
      <w:tr w:rsidR="00003AD2" w:rsidRPr="00783D5C" w14:paraId="3F1192DA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82" w14:textId="737447A9" w:rsidR="00003AD2" w:rsidRPr="00783D5C" w:rsidRDefault="00003AD2" w:rsidP="00003AD2">
            <w:pPr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  <w:lang w:val="it-IT"/>
              </w:rPr>
              <w:t>-Proiecte de eficiență energetică in intreprinderile mari și masuri de sprijin adiacente.</w:t>
            </w:r>
          </w:p>
        </w:tc>
      </w:tr>
      <w:tr w:rsidR="00003AD2" w:rsidRPr="00783D5C" w14:paraId="3E75FC8C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186" w14:textId="77777777" w:rsidR="00003AD2" w:rsidRPr="00783D5C" w:rsidRDefault="00003AD2">
            <w:pPr>
              <w:rPr>
                <w:b/>
                <w:i/>
                <w:color w:val="538135" w:themeColor="accent6" w:themeShade="BF"/>
                <w:sz w:val="28"/>
                <w:szCs w:val="28"/>
              </w:rPr>
            </w:pPr>
          </w:p>
          <w:p w14:paraId="1FB3594F" w14:textId="0B9B0D18" w:rsidR="00003AD2" w:rsidRPr="00783D5C" w:rsidRDefault="00003AD2">
            <w:pPr>
              <w:rPr>
                <w:b/>
                <w:sz w:val="28"/>
                <w:szCs w:val="28"/>
                <w:lang w:val="it-IT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Obiectiv specific FEDR/FC 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(iii)</w:t>
            </w:r>
            <w:r w:rsidRPr="00783D5C">
              <w:rPr>
                <w:b/>
                <w:sz w:val="28"/>
                <w:szCs w:val="28"/>
              </w:rPr>
              <w:t xml:space="preserve"> 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Dezvoltarea de sisteme inteligente de energie, rețele și stocare în afara TEN-E.</w:t>
            </w:r>
          </w:p>
        </w:tc>
      </w:tr>
      <w:tr w:rsidR="00003AD2" w:rsidRPr="00783D5C" w14:paraId="501D2788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997" w14:textId="7B09BCED" w:rsidR="00003AD2" w:rsidRPr="00783D5C" w:rsidRDefault="009A6D81" w:rsidP="009A6D81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b/>
                <w:sz w:val="28"/>
                <w:szCs w:val="28"/>
              </w:rPr>
              <w:t>Operatiuni</w:t>
            </w:r>
          </w:p>
        </w:tc>
      </w:tr>
      <w:tr w:rsidR="009A6D81" w:rsidRPr="00783D5C" w14:paraId="086D9438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532" w14:textId="74ECB733" w:rsidR="009A6D81" w:rsidRPr="00783D5C" w:rsidRDefault="009A6D81" w:rsidP="009A6D81">
            <w:pPr>
              <w:rPr>
                <w:sz w:val="28"/>
                <w:szCs w:val="28"/>
                <w:lang w:val="it-IT"/>
              </w:rPr>
            </w:pPr>
            <w:r w:rsidRPr="00783D5C">
              <w:rPr>
                <w:sz w:val="28"/>
                <w:szCs w:val="28"/>
                <w:lang w:val="it-IT"/>
              </w:rPr>
              <w:t>-Echipamente şi sisteme inteligente pentru asigurarea calității energiei electrice</w:t>
            </w:r>
          </w:p>
        </w:tc>
      </w:tr>
      <w:tr w:rsidR="009A6D81" w:rsidRPr="00783D5C" w14:paraId="6C879634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70BE" w14:textId="77777777" w:rsidR="009A6D81" w:rsidRPr="00783D5C" w:rsidRDefault="009A6D81" w:rsidP="009A6D81">
            <w:pPr>
              <w:rPr>
                <w:sz w:val="28"/>
                <w:szCs w:val="28"/>
                <w:lang w:val="it-IT"/>
              </w:rPr>
            </w:pPr>
            <w:r w:rsidRPr="00783D5C">
              <w:rPr>
                <w:sz w:val="28"/>
                <w:szCs w:val="28"/>
                <w:lang w:val="it-IT"/>
              </w:rPr>
              <w:t>-Implementarea  de soluții digitale pentru izolarea defectelor și realimentarea cu energie in mediul rural și urban</w:t>
            </w:r>
          </w:p>
        </w:tc>
      </w:tr>
      <w:tr w:rsidR="009A6D81" w:rsidRPr="00783D5C" w14:paraId="6D9AE14D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0407" w14:textId="5FE07314" w:rsidR="009A6D81" w:rsidRPr="00783D5C" w:rsidRDefault="009A6D81" w:rsidP="009A6D81">
            <w:pPr>
              <w:rPr>
                <w:sz w:val="28"/>
                <w:szCs w:val="28"/>
                <w:lang w:val="it-IT"/>
              </w:rPr>
            </w:pPr>
            <w:r w:rsidRPr="00783D5C">
              <w:rPr>
                <w:sz w:val="28"/>
                <w:szCs w:val="28"/>
                <w:lang w:val="it-IT"/>
              </w:rPr>
              <w:t xml:space="preserve">-Digitalizarea stațiilor de transformare şi soluții privind controlul rețelei de la distanță - integrare stații în SCADA- </w:t>
            </w:r>
          </w:p>
        </w:tc>
      </w:tr>
      <w:tr w:rsidR="009A6D81" w:rsidRPr="00783D5C" w14:paraId="7852526D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8D2" w14:textId="77777777" w:rsidR="009A6D81" w:rsidRPr="00783D5C" w:rsidRDefault="009A6D81" w:rsidP="009A6D81">
            <w:pPr>
              <w:jc w:val="both"/>
              <w:rPr>
                <w:color w:val="222222"/>
                <w:sz w:val="28"/>
                <w:szCs w:val="28"/>
              </w:rPr>
            </w:pPr>
            <w:r w:rsidRPr="00783D5C">
              <w:rPr>
                <w:sz w:val="28"/>
                <w:szCs w:val="28"/>
                <w:lang w:val="it-IT"/>
              </w:rPr>
              <w:t>-Măsuri de creștere a adecvanței rețelei naționale de energie electrică</w:t>
            </w:r>
          </w:p>
        </w:tc>
      </w:tr>
      <w:tr w:rsidR="009A6D81" w:rsidRPr="00783D5C" w14:paraId="2D7E6F0A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AAF" w14:textId="19385418" w:rsidR="009A6D81" w:rsidRPr="00783D5C" w:rsidRDefault="009A6D81" w:rsidP="009A6D81">
            <w:pPr>
              <w:rPr>
                <w:rFonts w:cs="Arial"/>
                <w:color w:val="000000"/>
                <w:sz w:val="28"/>
                <w:szCs w:val="28"/>
              </w:rPr>
            </w:pPr>
            <w:r w:rsidRPr="00783D5C">
              <w:rPr>
                <w:sz w:val="28"/>
                <w:szCs w:val="28"/>
                <w:lang w:val="it-IT"/>
              </w:rPr>
              <w:t>-Creșterea capacității disponibile pentru comerțul transfrontalier</w:t>
            </w:r>
          </w:p>
        </w:tc>
      </w:tr>
      <w:tr w:rsidR="009A6D81" w:rsidRPr="00783D5C" w14:paraId="470F32D5" w14:textId="77777777" w:rsidTr="00003AD2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BD56" w14:textId="77777777" w:rsidR="009A6D81" w:rsidRPr="00783D5C" w:rsidRDefault="009A6D81" w:rsidP="009A6D81">
            <w:pPr>
              <w:rPr>
                <w:sz w:val="28"/>
                <w:szCs w:val="28"/>
                <w:lang w:val="en-US"/>
              </w:rPr>
            </w:pPr>
            <w:r w:rsidRPr="00783D5C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783D5C">
              <w:rPr>
                <w:sz w:val="28"/>
                <w:szCs w:val="28"/>
                <w:lang w:val="en-US"/>
              </w:rPr>
              <w:t>Implementarea</w:t>
            </w:r>
            <w:proofErr w:type="spellEnd"/>
            <w:r w:rsidRPr="00783D5C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83D5C">
              <w:rPr>
                <w:sz w:val="28"/>
                <w:szCs w:val="28"/>
                <w:lang w:val="en-US"/>
              </w:rPr>
              <w:t>solutii</w:t>
            </w:r>
            <w:proofErr w:type="spellEnd"/>
            <w:r w:rsidRPr="00783D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D5C">
              <w:rPr>
                <w:sz w:val="28"/>
                <w:szCs w:val="28"/>
                <w:lang w:val="en-US"/>
              </w:rPr>
              <w:t>privind</w:t>
            </w:r>
            <w:proofErr w:type="spellEnd"/>
            <w:r w:rsidRPr="00783D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D5C">
              <w:rPr>
                <w:sz w:val="28"/>
                <w:szCs w:val="28"/>
                <w:lang w:val="en-US"/>
              </w:rPr>
              <w:t>stocarea</w:t>
            </w:r>
            <w:proofErr w:type="spellEnd"/>
            <w:r w:rsidRPr="00783D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3D5C">
              <w:rPr>
                <w:sz w:val="28"/>
                <w:szCs w:val="28"/>
                <w:lang w:val="en-US"/>
              </w:rPr>
              <w:t>energiei</w:t>
            </w:r>
            <w:proofErr w:type="spellEnd"/>
            <w:r w:rsidRPr="00783D5C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2D1DEFF8" w14:textId="77777777" w:rsidR="00F11ECB" w:rsidRPr="00783D5C" w:rsidRDefault="00F11ECB" w:rsidP="00F11ECB">
      <w:pPr>
        <w:jc w:val="both"/>
        <w:rPr>
          <w:sz w:val="28"/>
          <w:szCs w:val="28"/>
        </w:rPr>
      </w:pPr>
    </w:p>
    <w:p w14:paraId="3C90A16A" w14:textId="77777777" w:rsidR="00F11ECB" w:rsidRPr="00783D5C" w:rsidRDefault="00F11ECB" w:rsidP="00F11ECB">
      <w:pPr>
        <w:jc w:val="both"/>
        <w:rPr>
          <w:sz w:val="28"/>
          <w:szCs w:val="28"/>
        </w:rPr>
      </w:pPr>
    </w:p>
    <w:p w14:paraId="54F9AD11" w14:textId="167D3A97" w:rsidR="00BB3D37" w:rsidRPr="00783D5C" w:rsidRDefault="00BB3D37" w:rsidP="00BB3D37">
      <w:pPr>
        <w:shd w:val="clear" w:color="auto" w:fill="D9E2F3" w:themeFill="accent1" w:themeFillTint="33"/>
        <w:ind w:right="-284"/>
        <w:jc w:val="both"/>
        <w:rPr>
          <w:sz w:val="28"/>
          <w:szCs w:val="28"/>
        </w:rPr>
      </w:pPr>
      <w:r w:rsidRPr="00783D5C">
        <w:rPr>
          <w:b/>
          <w:sz w:val="28"/>
          <w:szCs w:val="28"/>
        </w:rPr>
        <w:t>Axa Prioritară</w:t>
      </w:r>
      <w:r w:rsidR="005E0A44" w:rsidRPr="00783D5C">
        <w:rPr>
          <w:b/>
          <w:sz w:val="28"/>
          <w:szCs w:val="28"/>
        </w:rPr>
        <w:t xml:space="preserve"> </w:t>
      </w:r>
      <w:r w:rsidR="008B3D96" w:rsidRPr="00783D5C">
        <w:rPr>
          <w:b/>
          <w:sz w:val="28"/>
          <w:szCs w:val="28"/>
        </w:rPr>
        <w:t xml:space="preserve">2 </w:t>
      </w:r>
      <w:r w:rsidR="005E0A44" w:rsidRPr="00783D5C">
        <w:rPr>
          <w:b/>
          <w:sz w:val="28"/>
          <w:szCs w:val="28"/>
        </w:rPr>
        <w:t>- Dezvoltarea infrastructurii de apă și apă uzată și tranziția la o economie circulara</w:t>
      </w:r>
    </w:p>
    <w:p w14:paraId="097146A9" w14:textId="77777777" w:rsidR="00BB3D37" w:rsidRPr="00783D5C" w:rsidRDefault="00BB3D37" w:rsidP="00BB3D37">
      <w:pPr>
        <w:jc w:val="both"/>
        <w:rPr>
          <w:sz w:val="28"/>
          <w:szCs w:val="28"/>
        </w:rPr>
      </w:pPr>
    </w:p>
    <w:p w14:paraId="4CB92C9A" w14:textId="77777777" w:rsidR="00BB3D37" w:rsidRPr="00783D5C" w:rsidRDefault="00BB3D37" w:rsidP="00BB3D37">
      <w:pPr>
        <w:jc w:val="both"/>
        <w:rPr>
          <w:rFonts w:cs="Arial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5"/>
      </w:tblGrid>
      <w:tr w:rsidR="00003AD2" w:rsidRPr="00783D5C" w14:paraId="6822A902" w14:textId="77777777" w:rsidTr="00003AD2">
        <w:trPr>
          <w:trHeight w:val="201"/>
        </w:trPr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DF44" w14:textId="554F84AE" w:rsidR="00003AD2" w:rsidRPr="00783D5C" w:rsidRDefault="009A6D81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Obiectiv s</w:t>
            </w:r>
            <w:r w:rsidR="00003AD2"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pecific FEDR</w:t>
            </w:r>
            <w:r w:rsidR="00003AD2"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/FC </w:t>
            </w:r>
            <w:r w:rsidR="00003AD2"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(v) Promovarea managementului durabil al apei</w:t>
            </w:r>
          </w:p>
        </w:tc>
      </w:tr>
      <w:tr w:rsidR="00003AD2" w:rsidRPr="00783D5C" w14:paraId="27DF1882" w14:textId="77777777" w:rsidTr="00003AD2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45CA" w14:textId="2E6614E2" w:rsidR="00003AD2" w:rsidRPr="00783D5C" w:rsidRDefault="00003AD2" w:rsidP="004758A4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b/>
                <w:sz w:val="28"/>
                <w:szCs w:val="28"/>
              </w:rPr>
              <w:t>Operațiuni</w:t>
            </w:r>
          </w:p>
        </w:tc>
      </w:tr>
      <w:tr w:rsidR="00003AD2" w:rsidRPr="00783D5C" w14:paraId="4EBFF6EC" w14:textId="77777777" w:rsidTr="00003AD2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6504" w14:textId="48AE4BF9" w:rsidR="00003AD2" w:rsidRPr="00783D5C" w:rsidRDefault="00003AD2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 xml:space="preserve">Continuarea acţiunilor integrate de dezvoltare a sistemelor de apă, respectiv: reabilitarea și construcţia de stații de tratare, transport și distribuire a apei destinate consumului uman şi apă uzată, respectiv: construirea și reabilitarea reţelelor de canalizare şi construirea/reabilitarea/ modernizare (treaptă terțiară) a stațiilor de epurare a apelor uzate care asigură colectarea şi epurarea încărcării organice biodegradabile în aglomerări mai mari de 2.000 l.e.,  acordându-se prioritate aglomerărilor cu peste 10.000 l.e.), inclusiv prin consolidarea suplimentară și extinderea operatorilor regionali. Investițiile vor viza in proporție preponderent mai mare sectorul privind apa uzata. </w:t>
            </w:r>
          </w:p>
          <w:p w14:paraId="63EFA1DE" w14:textId="77777777" w:rsidR="00003AD2" w:rsidRPr="00783D5C" w:rsidRDefault="00003AD2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Totodată, se vor continua investițiile în managementul nămolului rezultat în cadrul procesului de epurare a apelor uzate/tratare a apei potabile</w:t>
            </w:r>
          </w:p>
          <w:p w14:paraId="0BE5660E" w14:textId="11F28DA4" w:rsidR="00003AD2" w:rsidRPr="00783D5C" w:rsidRDefault="00003AD2" w:rsidP="00B94218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Pe langa continuarea investițiilor integrate regionale  PODD va finanța:</w:t>
            </w:r>
          </w:p>
          <w:p w14:paraId="7A88ED24" w14:textId="423C14B8" w:rsidR="00003AD2" w:rsidRPr="00783D5C" w:rsidRDefault="00003AD2" w:rsidP="00B94218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-</w:t>
            </w:r>
            <w:r w:rsidRPr="00783D5C">
              <w:rPr>
                <w:sz w:val="28"/>
                <w:szCs w:val="28"/>
              </w:rPr>
              <w:tab/>
              <w:t xml:space="preserve">proiecte noi investiții – cu dimensiuni mai mici,  si care adresează in proporție mai mare apa uzata  </w:t>
            </w:r>
          </w:p>
          <w:p w14:paraId="71FE77E9" w14:textId="23CD1758" w:rsidR="00003AD2" w:rsidRPr="00783D5C" w:rsidRDefault="00003AD2" w:rsidP="00B94218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-</w:t>
            </w:r>
            <w:r w:rsidRPr="00783D5C">
              <w:rPr>
                <w:sz w:val="28"/>
                <w:szCs w:val="28"/>
              </w:rPr>
              <w:tab/>
              <w:t xml:space="preserve">proiecte de investiții de mici dimensiuni /, care susțin consolidarea regionalizării in contextul extinderii/fuziunii OR (ex. SCADA integrat) </w:t>
            </w:r>
          </w:p>
          <w:p w14:paraId="3C3D7284" w14:textId="77777777" w:rsidR="00003AD2" w:rsidRPr="00783D5C" w:rsidRDefault="00003AD2" w:rsidP="00B94218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-</w:t>
            </w:r>
            <w:r w:rsidRPr="00783D5C">
              <w:rPr>
                <w:sz w:val="28"/>
                <w:szCs w:val="28"/>
              </w:rPr>
              <w:tab/>
              <w:t xml:space="preserve">sisteme individuale – incepand cu 2025-2027, ulterior implementarii noului cadru metodologic  pregatit de MMAP  </w:t>
            </w:r>
          </w:p>
          <w:p w14:paraId="56D06595" w14:textId="1BC82169" w:rsidR="00003AD2" w:rsidRPr="00783D5C" w:rsidRDefault="00003AD2" w:rsidP="00B94218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De asemenea, se are in vedere finanțarea acțiunilor de consolidare a capacității de reglementare economică a sectorului de apă și apă uzată, astfel încât să se eficientizeze procesul de realizare a planurilor de investiții pentru conformare.</w:t>
            </w:r>
          </w:p>
        </w:tc>
      </w:tr>
      <w:tr w:rsidR="00003AD2" w:rsidRPr="00783D5C" w14:paraId="44E27E72" w14:textId="77777777" w:rsidTr="00003AD2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C55" w14:textId="473A5AE8" w:rsidR="00003AD2" w:rsidRPr="00783D5C" w:rsidRDefault="009A6D81" w:rsidP="00003AD2">
            <w:pPr>
              <w:spacing w:after="200" w:line="276" w:lineRule="auto"/>
              <w:ind w:left="166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Obiectiv specific FEDR/FC  </w:t>
            </w:r>
            <w:r w:rsidR="00003AD2"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(vi) Promovarea tranziţiei către o economie circulară.</w:t>
            </w:r>
          </w:p>
        </w:tc>
      </w:tr>
      <w:tr w:rsidR="00003AD2" w:rsidRPr="00783D5C" w14:paraId="5507E944" w14:textId="77777777" w:rsidTr="00003AD2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FD8" w14:textId="77777777" w:rsidR="00003AD2" w:rsidRPr="00783D5C" w:rsidRDefault="00003AD2" w:rsidP="001609B6">
            <w:pPr>
              <w:numPr>
                <w:ilvl w:val="0"/>
                <w:numId w:val="17"/>
              </w:numPr>
              <w:spacing w:after="200" w:line="276" w:lineRule="auto"/>
              <w:ind w:left="166" w:hanging="166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Extinderea schemelor de gestionare a deșeurilor la nivel de județ, inclusiv îmbunătăţirea sistemelor integrate existente de gestionare a deșeurilor, pentru a crește reutilizarea și reciclarea, pentru a preveni generarea deșeurilor și devierea de la depozitele de deșeuri, în conformitate cu nevoile identificate în PNGD și PJGD-uri, respectiv:</w:t>
            </w:r>
          </w:p>
          <w:p w14:paraId="2A831027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 xml:space="preserve">extinderea sistemului de colectare separată a deșeurilor reciclabile </w:t>
            </w:r>
          </w:p>
          <w:p w14:paraId="010F61DE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>extinderea capacităților de sortare și reciclare</w:t>
            </w:r>
          </w:p>
          <w:p w14:paraId="462A2FE1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lastRenderedPageBreak/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 xml:space="preserve">extinderea sistemului de colectare separată a biodeșeurilor </w:t>
            </w:r>
          </w:p>
          <w:p w14:paraId="5B7BA759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 xml:space="preserve">realizarea de capacități de compostare pentru deșeurile verzi </w:t>
            </w:r>
          </w:p>
          <w:p w14:paraId="31CFFA1E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 xml:space="preserve">realizarea de instalații de digestie anaerobă </w:t>
            </w:r>
          </w:p>
          <w:p w14:paraId="12BB233F" w14:textId="77777777" w:rsidR="00003AD2" w:rsidRPr="00783D5C" w:rsidRDefault="00003AD2" w:rsidP="001609B6">
            <w:pPr>
              <w:spacing w:after="200" w:line="276" w:lineRule="auto"/>
              <w:ind w:left="708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•</w:t>
            </w:r>
            <w:r w:rsidRPr="00783D5C">
              <w:rPr>
                <w:rFonts w:eastAsia="Calibri" w:cs="Times New Roman"/>
                <w:sz w:val="28"/>
                <w:szCs w:val="28"/>
              </w:rPr>
              <w:tab/>
              <w:t>instalații TMB cu biouscare</w:t>
            </w:r>
          </w:p>
          <w:p w14:paraId="3043F344" w14:textId="77777777" w:rsidR="00003AD2" w:rsidRPr="00783D5C" w:rsidRDefault="00003AD2" w:rsidP="001609B6">
            <w:pPr>
              <w:numPr>
                <w:ilvl w:val="0"/>
                <w:numId w:val="17"/>
              </w:numPr>
              <w:spacing w:after="200" w:line="276" w:lineRule="auto"/>
              <w:ind w:left="166" w:hanging="166"/>
              <w:contextualSpacing/>
              <w:jc w:val="both"/>
              <w:rPr>
                <w:rFonts w:eastAsia="Times New Roman" w:cs="Times New Roman"/>
                <w:i/>
                <w:noProof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Investiții individuale suplimentare pentru închiderea depozitelor de deșeuri.</w:t>
            </w:r>
          </w:p>
          <w:p w14:paraId="23BF85D7" w14:textId="5020EB82" w:rsidR="00003AD2" w:rsidRPr="00783D5C" w:rsidRDefault="00003AD2" w:rsidP="00D0308A">
            <w:pPr>
              <w:numPr>
                <w:ilvl w:val="0"/>
                <w:numId w:val="17"/>
              </w:numPr>
              <w:spacing w:after="200" w:line="276" w:lineRule="auto"/>
              <w:ind w:left="166" w:hanging="166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intarirea capacitatii de pregatire pentru implementarea economiei circulare la nivelul autoritatilor publice (MMAP, ANPM, UAT)</w:t>
            </w:r>
          </w:p>
          <w:p w14:paraId="64F27C84" w14:textId="77777777" w:rsidR="00003AD2" w:rsidRPr="00783D5C" w:rsidRDefault="00003AD2" w:rsidP="004758A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570A6A8" w14:textId="77777777" w:rsidR="00BB3D37" w:rsidRPr="00783D5C" w:rsidRDefault="00BB3D37" w:rsidP="00BB3D37">
      <w:pPr>
        <w:jc w:val="both"/>
        <w:rPr>
          <w:sz w:val="28"/>
          <w:szCs w:val="28"/>
        </w:rPr>
      </w:pPr>
    </w:p>
    <w:p w14:paraId="48676CFF" w14:textId="77777777" w:rsidR="00BB3D37" w:rsidRPr="00783D5C" w:rsidRDefault="00BB3D37" w:rsidP="00BB3D37">
      <w:pPr>
        <w:jc w:val="both"/>
        <w:rPr>
          <w:sz w:val="28"/>
          <w:szCs w:val="28"/>
        </w:rPr>
      </w:pPr>
    </w:p>
    <w:p w14:paraId="42CD55D8" w14:textId="50643AF2" w:rsidR="00BB3D37" w:rsidRPr="00783D5C" w:rsidRDefault="00BB3D37" w:rsidP="00BB3D37">
      <w:pPr>
        <w:shd w:val="clear" w:color="auto" w:fill="D9E2F3" w:themeFill="accent1" w:themeFillTint="33"/>
        <w:ind w:right="-284"/>
        <w:jc w:val="both"/>
        <w:rPr>
          <w:sz w:val="28"/>
          <w:szCs w:val="28"/>
        </w:rPr>
      </w:pPr>
      <w:r w:rsidRPr="00783D5C">
        <w:rPr>
          <w:b/>
          <w:sz w:val="28"/>
          <w:szCs w:val="28"/>
        </w:rPr>
        <w:t>Axa Prioritară</w:t>
      </w:r>
      <w:r w:rsidR="005E0A44" w:rsidRPr="00783D5C">
        <w:rPr>
          <w:b/>
          <w:sz w:val="28"/>
          <w:szCs w:val="28"/>
        </w:rPr>
        <w:t xml:space="preserve"> </w:t>
      </w:r>
      <w:r w:rsidR="008B3D96" w:rsidRPr="00783D5C">
        <w:rPr>
          <w:b/>
          <w:sz w:val="28"/>
          <w:szCs w:val="28"/>
        </w:rPr>
        <w:t xml:space="preserve">3 </w:t>
      </w:r>
      <w:r w:rsidR="005E0A44" w:rsidRPr="00783D5C">
        <w:rPr>
          <w:b/>
          <w:sz w:val="28"/>
          <w:szCs w:val="28"/>
        </w:rPr>
        <w:t>- Protecţia mediului prin conservarea biodiversităţii, asigurarea calităţii aerului şi decontaminare a siturilor poluate</w:t>
      </w:r>
    </w:p>
    <w:p w14:paraId="5A6305D3" w14:textId="77777777" w:rsidR="00BB3D37" w:rsidRPr="00783D5C" w:rsidRDefault="00BB3D37" w:rsidP="00BB3D37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5"/>
      </w:tblGrid>
      <w:tr w:rsidR="009A6D81" w:rsidRPr="00783D5C" w14:paraId="30132384" w14:textId="77777777" w:rsidTr="009A6D81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88CE" w14:textId="76E992F4" w:rsidR="009A6D81" w:rsidRPr="00783D5C" w:rsidRDefault="009A6D81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Obiectiv Specific FEDR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/FC (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vii) Îmbunătățirea protecției naturii și a biodiversității, a infrastructurii verzi în special în mediul urban și reducerea poluării</w:t>
            </w:r>
          </w:p>
        </w:tc>
      </w:tr>
      <w:tr w:rsidR="009A6D81" w:rsidRPr="00783D5C" w14:paraId="60461D25" w14:textId="77777777" w:rsidTr="009A6D81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C5F" w14:textId="01B6B31B" w:rsidR="009A6D81" w:rsidRPr="00783D5C" w:rsidRDefault="009A6D81" w:rsidP="004758A4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b/>
                <w:sz w:val="28"/>
                <w:szCs w:val="28"/>
              </w:rPr>
              <w:t>Operațiuni</w:t>
            </w:r>
          </w:p>
        </w:tc>
      </w:tr>
      <w:tr w:rsidR="009A6D81" w:rsidRPr="00783D5C" w14:paraId="2BB5A2F5" w14:textId="77777777" w:rsidTr="009A6D81">
        <w:trPr>
          <w:trHeight w:val="625"/>
        </w:trPr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7F55" w14:textId="34E9B885" w:rsidR="009A6D81" w:rsidRPr="00783D5C" w:rsidRDefault="009A6D81" w:rsidP="00F921B5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Biodiversitate</w:t>
            </w:r>
          </w:p>
          <w:p w14:paraId="5161447F" w14:textId="77777777" w:rsidR="009A6D81" w:rsidRPr="00783D5C" w:rsidRDefault="009A6D81" w:rsidP="00F921B5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 xml:space="preserve">Prin PODD se vor realiza investiții în rețeaua Natura 2000, respectiv: elaborarea, revizuirea și implementarea Planurilor de management a siturilor Natura 2000/ Planuri de acțiune pentru specii; măsuri de menținere și de refacere a siturilor Natura 2000 pentru specii și habitate, precum și a ecosistemelor degradate și a serviciilor furnizate în afara ariilor naturale protejate. </w:t>
            </w:r>
          </w:p>
          <w:p w14:paraId="5498AE9A" w14:textId="1B8DAE68" w:rsidR="009A6D81" w:rsidRPr="00783D5C" w:rsidRDefault="009A6D81" w:rsidP="00F921B5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Totodata, se au in vedere acțiuni de completare a nivelului de cunoaștere a biodiversității și a ecosistemelor și realizarea de studii științifice, precum si masuri și investiții în infrastructura verde si investiții in consolidarea capacitații administrative a autorităților si entităților cu rol in managementul rețelei Natura 2000 si a altor arii naturale protejate.</w:t>
            </w:r>
          </w:p>
        </w:tc>
      </w:tr>
      <w:tr w:rsidR="009A6D81" w:rsidRPr="00783D5C" w14:paraId="2101DEF9" w14:textId="77777777" w:rsidTr="009A6D81">
        <w:trPr>
          <w:trHeight w:val="625"/>
        </w:trPr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515" w14:textId="77777777" w:rsidR="009A6D81" w:rsidRPr="00783D5C" w:rsidRDefault="009A6D81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Calitatea aerului</w:t>
            </w:r>
          </w:p>
          <w:p w14:paraId="1C3F6DAD" w14:textId="77777777" w:rsidR="009A6D81" w:rsidRPr="00783D5C" w:rsidRDefault="009A6D81" w:rsidP="00F921B5">
            <w:pPr>
              <w:numPr>
                <w:ilvl w:val="0"/>
                <w:numId w:val="17"/>
              </w:numPr>
              <w:spacing w:after="200" w:line="276" w:lineRule="auto"/>
              <w:ind w:left="166" w:hanging="166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dotarea RNMCA cu echipamente noi, prin înlocuirea echipamentelor existente de măsurare a poluanților uzate din punct de vedere moral și tehnic, astfel încât să se continue conformarea cu cerințele de asigurare și controlul calității datelor și de raportare a RO la CE</w:t>
            </w:r>
          </w:p>
          <w:p w14:paraId="1C32C798" w14:textId="7E51861A" w:rsidR="009A6D81" w:rsidRPr="00783D5C" w:rsidRDefault="009A6D81" w:rsidP="006D1E31">
            <w:pPr>
              <w:numPr>
                <w:ilvl w:val="0"/>
                <w:numId w:val="17"/>
              </w:numPr>
              <w:spacing w:after="200" w:line="276" w:lineRule="auto"/>
              <w:ind w:left="166" w:hanging="166"/>
              <w:contextualSpacing/>
              <w:jc w:val="both"/>
              <w:rPr>
                <w:sz w:val="28"/>
                <w:szCs w:val="28"/>
              </w:rPr>
            </w:pPr>
            <w:r w:rsidRPr="00783D5C">
              <w:rPr>
                <w:rFonts w:eastAsia="Calibri" w:cs="Times New Roman"/>
                <w:sz w:val="28"/>
                <w:szCs w:val="28"/>
              </w:rPr>
              <w:t>achiziția de echipamente pentru măsurarea poluanților în aerului ambiental cu respectarea prevederilor directivelor europene.</w:t>
            </w:r>
          </w:p>
        </w:tc>
      </w:tr>
      <w:tr w:rsidR="009A6D81" w:rsidRPr="00783D5C" w14:paraId="1D9EA8EC" w14:textId="77777777" w:rsidTr="009A6D81">
        <w:trPr>
          <w:trHeight w:val="625"/>
        </w:trPr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A8CC" w14:textId="2EA8A60C" w:rsidR="009A6D81" w:rsidRPr="00783D5C" w:rsidRDefault="009A6D81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 xml:space="preserve">Decontaminarea siturilor - </w:t>
            </w:r>
          </w:p>
          <w:p w14:paraId="27F81AAF" w14:textId="76A4E315" w:rsidR="009A6D81" w:rsidRPr="00783D5C" w:rsidRDefault="009A6D81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lastRenderedPageBreak/>
              <w:t>decontaminarea si ecologizarea siturilor contaminate si potential contaminate, inclusiv refacerea ecosistemelor naturale si asigurarea calitatii fatorilor de mediu, în vederea protejării sănătăţii umane</w:t>
            </w:r>
          </w:p>
        </w:tc>
      </w:tr>
    </w:tbl>
    <w:p w14:paraId="7239588F" w14:textId="77777777" w:rsidR="00BB3D37" w:rsidRPr="00783D5C" w:rsidRDefault="00BB3D37" w:rsidP="00BB3D37">
      <w:pPr>
        <w:jc w:val="both"/>
        <w:rPr>
          <w:sz w:val="28"/>
          <w:szCs w:val="28"/>
        </w:rPr>
      </w:pPr>
    </w:p>
    <w:p w14:paraId="1D0751B3" w14:textId="77777777" w:rsidR="00BB3D37" w:rsidRPr="00783D5C" w:rsidRDefault="00BB3D37" w:rsidP="00BB3D37">
      <w:pPr>
        <w:jc w:val="both"/>
        <w:rPr>
          <w:sz w:val="28"/>
          <w:szCs w:val="28"/>
        </w:rPr>
      </w:pPr>
    </w:p>
    <w:p w14:paraId="6142EE29" w14:textId="3C5992AD" w:rsidR="00D93F55" w:rsidRPr="00783D5C" w:rsidRDefault="00D93F55" w:rsidP="00D93F55">
      <w:pPr>
        <w:shd w:val="clear" w:color="auto" w:fill="D9E2F3" w:themeFill="accent1" w:themeFillTint="33"/>
        <w:ind w:right="-284"/>
        <w:jc w:val="both"/>
        <w:rPr>
          <w:sz w:val="28"/>
          <w:szCs w:val="28"/>
        </w:rPr>
      </w:pPr>
      <w:r w:rsidRPr="00783D5C">
        <w:rPr>
          <w:b/>
          <w:sz w:val="28"/>
          <w:szCs w:val="28"/>
        </w:rPr>
        <w:t>Axa Prioritară</w:t>
      </w:r>
      <w:r w:rsidR="00BD51BF" w:rsidRPr="00783D5C">
        <w:rPr>
          <w:b/>
          <w:sz w:val="28"/>
          <w:szCs w:val="28"/>
        </w:rPr>
        <w:t xml:space="preserve"> </w:t>
      </w:r>
      <w:r w:rsidR="008B3D96" w:rsidRPr="00783D5C">
        <w:rPr>
          <w:b/>
          <w:sz w:val="28"/>
          <w:szCs w:val="28"/>
        </w:rPr>
        <w:t xml:space="preserve">4 </w:t>
      </w:r>
      <w:r w:rsidR="00BD51BF" w:rsidRPr="00783D5C">
        <w:rPr>
          <w:b/>
          <w:sz w:val="28"/>
          <w:szCs w:val="28"/>
        </w:rPr>
        <w:t>- Promovarea adaptării la schimbările climatice, prevenirea şi gestionarea riscurilor</w:t>
      </w:r>
    </w:p>
    <w:p w14:paraId="5FB78285" w14:textId="77777777" w:rsidR="00D93F55" w:rsidRPr="00783D5C" w:rsidRDefault="00D93F55" w:rsidP="00D93F55">
      <w:pPr>
        <w:jc w:val="both"/>
        <w:rPr>
          <w:sz w:val="28"/>
          <w:szCs w:val="28"/>
        </w:rPr>
      </w:pPr>
    </w:p>
    <w:p w14:paraId="0FA4B669" w14:textId="77777777" w:rsidR="00982637" w:rsidRPr="00783D5C" w:rsidRDefault="00982637" w:rsidP="00733192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5"/>
      </w:tblGrid>
      <w:tr w:rsidR="007457D0" w:rsidRPr="00783D5C" w14:paraId="74679A85" w14:textId="77777777" w:rsidTr="007457D0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AFA" w14:textId="3184F50B" w:rsidR="007457D0" w:rsidRPr="00783D5C" w:rsidRDefault="007457D0" w:rsidP="004758A4">
            <w:pPr>
              <w:jc w:val="both"/>
              <w:rPr>
                <w:sz w:val="28"/>
                <w:szCs w:val="28"/>
              </w:rPr>
            </w:pP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Obiectiv specific FEDR/FC (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>iv) Promovarea adaptării la schimbările climatice, a prevenirii riscurilor și a rezilienței în urma dezastrelor</w:t>
            </w:r>
            <w:r w:rsidRPr="00783D5C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7457D0" w:rsidRPr="00783D5C" w14:paraId="607ED310" w14:textId="77777777" w:rsidTr="007457D0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950" w14:textId="264A20B3" w:rsidR="007457D0" w:rsidRPr="00783D5C" w:rsidRDefault="007457D0" w:rsidP="004758A4">
            <w:pPr>
              <w:jc w:val="both"/>
              <w:rPr>
                <w:b/>
                <w:sz w:val="28"/>
                <w:szCs w:val="28"/>
              </w:rPr>
            </w:pPr>
            <w:r w:rsidRPr="00783D5C">
              <w:rPr>
                <w:b/>
                <w:sz w:val="28"/>
                <w:szCs w:val="28"/>
              </w:rPr>
              <w:t>Operațiuni</w:t>
            </w:r>
          </w:p>
        </w:tc>
      </w:tr>
      <w:tr w:rsidR="007457D0" w:rsidRPr="00783D5C" w14:paraId="37B10BC7" w14:textId="77777777" w:rsidTr="007457D0">
        <w:tc>
          <w:tcPr>
            <w:tcW w:w="1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9AD" w14:textId="2D2C93A0" w:rsidR="007457D0" w:rsidRPr="00783D5C" w:rsidRDefault="007457D0" w:rsidP="00F31261">
            <w:pPr>
              <w:pStyle w:val="ListParagraph"/>
              <w:numPr>
                <w:ilvl w:val="0"/>
                <w:numId w:val="18"/>
              </w:numPr>
              <w:ind w:left="188" w:hanging="142"/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Managementul inundațiilor si reducerea impactului acestora  și ale celorlalte fenomene naturale asociate principalelor riscuri accentuate de schimbările climatice asupra populaţiei, proprietății și mediului</w:t>
            </w:r>
          </w:p>
          <w:p w14:paraId="5B8F323D" w14:textId="6555DB5E" w:rsidR="007457D0" w:rsidRPr="00783D5C" w:rsidRDefault="007457D0" w:rsidP="00F31261">
            <w:pPr>
              <w:pStyle w:val="ListParagraph"/>
              <w:numPr>
                <w:ilvl w:val="0"/>
                <w:numId w:val="18"/>
              </w:numPr>
              <w:ind w:left="188" w:hanging="142"/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Dezvoltarea infrastructurii de monitorizare şi avertizare a fenomenelor hidro-meteorologice severe</w:t>
            </w:r>
          </w:p>
          <w:p w14:paraId="21BCBB27" w14:textId="62A96530" w:rsidR="007457D0" w:rsidRPr="00783D5C" w:rsidRDefault="007457D0" w:rsidP="00F31261">
            <w:pPr>
              <w:pStyle w:val="ListParagraph"/>
              <w:numPr>
                <w:ilvl w:val="0"/>
                <w:numId w:val="18"/>
              </w:numPr>
              <w:ind w:left="188" w:hanging="142"/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Reducerea impactului manifestării secetei si furtunilor asupra populaţiei, proprietății și mediului</w:t>
            </w:r>
          </w:p>
          <w:p w14:paraId="0D6AF375" w14:textId="6DD11BDC" w:rsidR="007457D0" w:rsidRPr="00783D5C" w:rsidRDefault="007457D0" w:rsidP="00F31261">
            <w:pPr>
              <w:pStyle w:val="ListParagraph"/>
              <w:numPr>
                <w:ilvl w:val="0"/>
                <w:numId w:val="18"/>
              </w:numPr>
              <w:ind w:left="188" w:hanging="142"/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Măsuri de limitare a efectelor negative ale eroziunii costiere</w:t>
            </w:r>
          </w:p>
          <w:p w14:paraId="625189A0" w14:textId="5D9048FC" w:rsidR="007457D0" w:rsidRPr="00783D5C" w:rsidRDefault="007457D0" w:rsidP="00F31261">
            <w:pPr>
              <w:pStyle w:val="ListParagraph"/>
              <w:numPr>
                <w:ilvl w:val="0"/>
                <w:numId w:val="18"/>
              </w:numPr>
              <w:ind w:left="188" w:hanging="142"/>
              <w:jc w:val="both"/>
              <w:rPr>
                <w:sz w:val="28"/>
                <w:szCs w:val="28"/>
              </w:rPr>
            </w:pPr>
            <w:r w:rsidRPr="00783D5C">
              <w:rPr>
                <w:sz w:val="28"/>
                <w:szCs w:val="28"/>
              </w:rPr>
              <w:t>Măsuri pentru sistemul de gestionare a riscurilor, inclusiv creșterea rezilienței la nivel național și adaptarea continuă la realitatea operațională.</w:t>
            </w:r>
          </w:p>
          <w:p w14:paraId="1DA0EC3E" w14:textId="1F8739AF" w:rsidR="007457D0" w:rsidRPr="00783D5C" w:rsidRDefault="007457D0" w:rsidP="00BD51B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E1D9661" w14:textId="77777777" w:rsidR="00D93F55" w:rsidRPr="00783D5C" w:rsidRDefault="00D93F55" w:rsidP="00D93F55">
      <w:pPr>
        <w:jc w:val="both"/>
        <w:rPr>
          <w:sz w:val="28"/>
          <w:szCs w:val="28"/>
        </w:rPr>
      </w:pPr>
    </w:p>
    <w:p w14:paraId="701ECCD8" w14:textId="77777777" w:rsidR="00D93F55" w:rsidRPr="00783D5C" w:rsidRDefault="00D93F55" w:rsidP="00D93F55">
      <w:pPr>
        <w:jc w:val="both"/>
        <w:rPr>
          <w:sz w:val="28"/>
          <w:szCs w:val="28"/>
        </w:rPr>
      </w:pPr>
      <w:bookmarkStart w:id="0" w:name="_GoBack"/>
      <w:bookmarkEnd w:id="0"/>
    </w:p>
    <w:sectPr w:rsidR="00D93F55" w:rsidRPr="00783D5C" w:rsidSect="00885F12">
      <w:footerReference w:type="default" r:id="rId8"/>
      <w:pgSz w:w="16840" w:h="11900" w:orient="landscape"/>
      <w:pgMar w:top="851" w:right="709" w:bottom="851" w:left="851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245DE" w14:textId="77777777" w:rsidR="001C7A12" w:rsidRDefault="001C7A12" w:rsidP="001F3924">
      <w:r>
        <w:separator/>
      </w:r>
    </w:p>
  </w:endnote>
  <w:endnote w:type="continuationSeparator" w:id="0">
    <w:p w14:paraId="207C96C6" w14:textId="77777777" w:rsidR="001C7A12" w:rsidRDefault="001C7A12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613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11A0C749" w:rsidR="004B0D91" w:rsidRDefault="004B0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D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894B5D" w14:textId="77777777" w:rsidR="004B0D91" w:rsidRDefault="004B0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147B" w14:textId="77777777" w:rsidR="001C7A12" w:rsidRDefault="001C7A12" w:rsidP="001F3924">
      <w:r>
        <w:separator/>
      </w:r>
    </w:p>
  </w:footnote>
  <w:footnote w:type="continuationSeparator" w:id="0">
    <w:p w14:paraId="32D907E6" w14:textId="77777777" w:rsidR="001C7A12" w:rsidRDefault="001C7A12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0A9F"/>
    <w:multiLevelType w:val="hybridMultilevel"/>
    <w:tmpl w:val="F31ACDD0"/>
    <w:lvl w:ilvl="0" w:tplc="93EA0F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34AF"/>
    <w:multiLevelType w:val="multilevel"/>
    <w:tmpl w:val="A8F8A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605B59"/>
    <w:multiLevelType w:val="hybridMultilevel"/>
    <w:tmpl w:val="506838FA"/>
    <w:lvl w:ilvl="0" w:tplc="E92CD3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2387E"/>
    <w:multiLevelType w:val="hybridMultilevel"/>
    <w:tmpl w:val="C1F8C55A"/>
    <w:lvl w:ilvl="0" w:tplc="F704E3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F6AE2"/>
    <w:multiLevelType w:val="multilevel"/>
    <w:tmpl w:val="06702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4541D6"/>
    <w:multiLevelType w:val="hybridMultilevel"/>
    <w:tmpl w:val="D12C01B6"/>
    <w:lvl w:ilvl="0" w:tplc="FB00C32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214C"/>
    <w:multiLevelType w:val="hybridMultilevel"/>
    <w:tmpl w:val="1A6876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2BF4"/>
    <w:multiLevelType w:val="hybridMultilevel"/>
    <w:tmpl w:val="C13A6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D609C8"/>
    <w:multiLevelType w:val="hybridMultilevel"/>
    <w:tmpl w:val="EEE679D6"/>
    <w:lvl w:ilvl="0" w:tplc="03CE397E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24591F"/>
    <w:multiLevelType w:val="multilevel"/>
    <w:tmpl w:val="8F06500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BE65886"/>
    <w:multiLevelType w:val="multilevel"/>
    <w:tmpl w:val="B9CC3C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color w:val="auto"/>
      </w:rPr>
    </w:lvl>
  </w:abstractNum>
  <w:abstractNum w:abstractNumId="11" w15:restartNumberingAfterBreak="0">
    <w:nsid w:val="613E5860"/>
    <w:multiLevelType w:val="hybridMultilevel"/>
    <w:tmpl w:val="E044353C"/>
    <w:lvl w:ilvl="0" w:tplc="633C8CC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32941"/>
    <w:multiLevelType w:val="hybridMultilevel"/>
    <w:tmpl w:val="D0B40554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3" w15:restartNumberingAfterBreak="0">
    <w:nsid w:val="64EB6448"/>
    <w:multiLevelType w:val="multilevel"/>
    <w:tmpl w:val="E8F21ECE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68736038"/>
    <w:multiLevelType w:val="hybridMultilevel"/>
    <w:tmpl w:val="383A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10AA9"/>
    <w:multiLevelType w:val="hybridMultilevel"/>
    <w:tmpl w:val="74BAA93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A0898"/>
    <w:multiLevelType w:val="hybridMultilevel"/>
    <w:tmpl w:val="5C243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E735A"/>
    <w:multiLevelType w:val="multilevel"/>
    <w:tmpl w:val="2F80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6"/>
  </w:num>
  <w:num w:numId="11">
    <w:abstractNumId w:val="17"/>
  </w:num>
  <w:num w:numId="12">
    <w:abstractNumId w:val="12"/>
  </w:num>
  <w:num w:numId="13">
    <w:abstractNumId w:val="14"/>
  </w:num>
  <w:num w:numId="14">
    <w:abstractNumId w:val="0"/>
  </w:num>
  <w:num w:numId="15">
    <w:abstractNumId w:val="7"/>
  </w:num>
  <w:num w:numId="16">
    <w:abstractNumId w:val="7"/>
  </w:num>
  <w:num w:numId="17">
    <w:abstractNumId w:val="1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7"/>
    <w:rsid w:val="00003AD2"/>
    <w:rsid w:val="00006BB0"/>
    <w:rsid w:val="00007759"/>
    <w:rsid w:val="0002145E"/>
    <w:rsid w:val="00022459"/>
    <w:rsid w:val="00051BB1"/>
    <w:rsid w:val="00054187"/>
    <w:rsid w:val="00057976"/>
    <w:rsid w:val="00082FAC"/>
    <w:rsid w:val="0008490F"/>
    <w:rsid w:val="000B34F3"/>
    <w:rsid w:val="000E55A3"/>
    <w:rsid w:val="000E754B"/>
    <w:rsid w:val="000F0752"/>
    <w:rsid w:val="000F1248"/>
    <w:rsid w:val="000F3ED1"/>
    <w:rsid w:val="001143BD"/>
    <w:rsid w:val="00123702"/>
    <w:rsid w:val="00136934"/>
    <w:rsid w:val="0014135A"/>
    <w:rsid w:val="001435F7"/>
    <w:rsid w:val="001609B6"/>
    <w:rsid w:val="001658FD"/>
    <w:rsid w:val="001765C9"/>
    <w:rsid w:val="00187C98"/>
    <w:rsid w:val="001B39B4"/>
    <w:rsid w:val="001C41F8"/>
    <w:rsid w:val="001C4F84"/>
    <w:rsid w:val="001C647F"/>
    <w:rsid w:val="001C7A12"/>
    <w:rsid w:val="001F3924"/>
    <w:rsid w:val="00204369"/>
    <w:rsid w:val="00224B6F"/>
    <w:rsid w:val="002340E7"/>
    <w:rsid w:val="0024093F"/>
    <w:rsid w:val="00250CBD"/>
    <w:rsid w:val="00267F29"/>
    <w:rsid w:val="00270614"/>
    <w:rsid w:val="00271115"/>
    <w:rsid w:val="002A2434"/>
    <w:rsid w:val="002A77A1"/>
    <w:rsid w:val="002B2EA8"/>
    <w:rsid w:val="002B63F7"/>
    <w:rsid w:val="002F2EE5"/>
    <w:rsid w:val="00302FD0"/>
    <w:rsid w:val="00304F38"/>
    <w:rsid w:val="00316377"/>
    <w:rsid w:val="00326DCC"/>
    <w:rsid w:val="00336931"/>
    <w:rsid w:val="003403BA"/>
    <w:rsid w:val="003508B3"/>
    <w:rsid w:val="003524EE"/>
    <w:rsid w:val="00355E8B"/>
    <w:rsid w:val="00372B92"/>
    <w:rsid w:val="00377F68"/>
    <w:rsid w:val="00381FF9"/>
    <w:rsid w:val="00382CF8"/>
    <w:rsid w:val="003845F0"/>
    <w:rsid w:val="003921E8"/>
    <w:rsid w:val="00393B97"/>
    <w:rsid w:val="003A1325"/>
    <w:rsid w:val="003B1C36"/>
    <w:rsid w:val="003B1EC7"/>
    <w:rsid w:val="003C6FE5"/>
    <w:rsid w:val="003F450D"/>
    <w:rsid w:val="003F6EFA"/>
    <w:rsid w:val="00415D92"/>
    <w:rsid w:val="00420770"/>
    <w:rsid w:val="00421289"/>
    <w:rsid w:val="0043396A"/>
    <w:rsid w:val="004412F3"/>
    <w:rsid w:val="00460E86"/>
    <w:rsid w:val="0046695E"/>
    <w:rsid w:val="0047505D"/>
    <w:rsid w:val="00482F78"/>
    <w:rsid w:val="004B0D91"/>
    <w:rsid w:val="004B2AA5"/>
    <w:rsid w:val="004B6307"/>
    <w:rsid w:val="004C0C9C"/>
    <w:rsid w:val="004D72E7"/>
    <w:rsid w:val="004E7677"/>
    <w:rsid w:val="00506FFA"/>
    <w:rsid w:val="00521852"/>
    <w:rsid w:val="00526546"/>
    <w:rsid w:val="00526811"/>
    <w:rsid w:val="00533B97"/>
    <w:rsid w:val="005363F3"/>
    <w:rsid w:val="00541AF8"/>
    <w:rsid w:val="005427D9"/>
    <w:rsid w:val="00555B7C"/>
    <w:rsid w:val="005609FD"/>
    <w:rsid w:val="005832C6"/>
    <w:rsid w:val="005954EB"/>
    <w:rsid w:val="005976A9"/>
    <w:rsid w:val="005A7C35"/>
    <w:rsid w:val="005B0D88"/>
    <w:rsid w:val="005C1B6A"/>
    <w:rsid w:val="005C3060"/>
    <w:rsid w:val="005E0A44"/>
    <w:rsid w:val="005E1672"/>
    <w:rsid w:val="005F706B"/>
    <w:rsid w:val="00602721"/>
    <w:rsid w:val="00617579"/>
    <w:rsid w:val="00623C43"/>
    <w:rsid w:val="00652C9A"/>
    <w:rsid w:val="006563BF"/>
    <w:rsid w:val="006609F2"/>
    <w:rsid w:val="00660C24"/>
    <w:rsid w:val="00682EB4"/>
    <w:rsid w:val="0069282F"/>
    <w:rsid w:val="006B7187"/>
    <w:rsid w:val="006D1E31"/>
    <w:rsid w:val="006D5B25"/>
    <w:rsid w:val="006E173A"/>
    <w:rsid w:val="006E6884"/>
    <w:rsid w:val="00722395"/>
    <w:rsid w:val="00733192"/>
    <w:rsid w:val="00733707"/>
    <w:rsid w:val="007457D0"/>
    <w:rsid w:val="00746C56"/>
    <w:rsid w:val="00760010"/>
    <w:rsid w:val="00767406"/>
    <w:rsid w:val="0077787E"/>
    <w:rsid w:val="007833B0"/>
    <w:rsid w:val="00783D5C"/>
    <w:rsid w:val="00787F3E"/>
    <w:rsid w:val="00796D27"/>
    <w:rsid w:val="007C1CCF"/>
    <w:rsid w:val="007C31F5"/>
    <w:rsid w:val="007D0DB6"/>
    <w:rsid w:val="007F470B"/>
    <w:rsid w:val="008003AD"/>
    <w:rsid w:val="00804097"/>
    <w:rsid w:val="008040BC"/>
    <w:rsid w:val="008153BF"/>
    <w:rsid w:val="00820E5C"/>
    <w:rsid w:val="00824F44"/>
    <w:rsid w:val="00825F5D"/>
    <w:rsid w:val="0084312A"/>
    <w:rsid w:val="008468B3"/>
    <w:rsid w:val="00876C62"/>
    <w:rsid w:val="00882E20"/>
    <w:rsid w:val="00885F12"/>
    <w:rsid w:val="0089179B"/>
    <w:rsid w:val="008A040F"/>
    <w:rsid w:val="008B3D96"/>
    <w:rsid w:val="008C0426"/>
    <w:rsid w:val="008C2F55"/>
    <w:rsid w:val="008C545B"/>
    <w:rsid w:val="008E369E"/>
    <w:rsid w:val="008E3BF4"/>
    <w:rsid w:val="008F030F"/>
    <w:rsid w:val="008F456A"/>
    <w:rsid w:val="00905ECA"/>
    <w:rsid w:val="00920C43"/>
    <w:rsid w:val="00923EFA"/>
    <w:rsid w:val="00926802"/>
    <w:rsid w:val="00932C2D"/>
    <w:rsid w:val="00932F25"/>
    <w:rsid w:val="00937B16"/>
    <w:rsid w:val="00962E72"/>
    <w:rsid w:val="00965E31"/>
    <w:rsid w:val="009667D7"/>
    <w:rsid w:val="009704DD"/>
    <w:rsid w:val="00982637"/>
    <w:rsid w:val="009A6D81"/>
    <w:rsid w:val="009F3D15"/>
    <w:rsid w:val="00A00A08"/>
    <w:rsid w:val="00A01B9A"/>
    <w:rsid w:val="00A064B2"/>
    <w:rsid w:val="00A0742A"/>
    <w:rsid w:val="00A2283D"/>
    <w:rsid w:val="00A309F9"/>
    <w:rsid w:val="00A43250"/>
    <w:rsid w:val="00A5075A"/>
    <w:rsid w:val="00A50F44"/>
    <w:rsid w:val="00A64018"/>
    <w:rsid w:val="00A66FB9"/>
    <w:rsid w:val="00A81075"/>
    <w:rsid w:val="00A8513E"/>
    <w:rsid w:val="00A864AD"/>
    <w:rsid w:val="00A9194A"/>
    <w:rsid w:val="00A92469"/>
    <w:rsid w:val="00AB4556"/>
    <w:rsid w:val="00AC7BFF"/>
    <w:rsid w:val="00AD7C45"/>
    <w:rsid w:val="00AE0F91"/>
    <w:rsid w:val="00AE278C"/>
    <w:rsid w:val="00AE68A0"/>
    <w:rsid w:val="00AF584D"/>
    <w:rsid w:val="00B030A1"/>
    <w:rsid w:val="00B1670E"/>
    <w:rsid w:val="00B171F9"/>
    <w:rsid w:val="00B338C2"/>
    <w:rsid w:val="00B711D8"/>
    <w:rsid w:val="00B83003"/>
    <w:rsid w:val="00B94218"/>
    <w:rsid w:val="00BA2212"/>
    <w:rsid w:val="00BB3D37"/>
    <w:rsid w:val="00BB74A0"/>
    <w:rsid w:val="00BC2643"/>
    <w:rsid w:val="00BD51BF"/>
    <w:rsid w:val="00BF4594"/>
    <w:rsid w:val="00BF4C33"/>
    <w:rsid w:val="00C11BD5"/>
    <w:rsid w:val="00C26A3B"/>
    <w:rsid w:val="00C32652"/>
    <w:rsid w:val="00C733C2"/>
    <w:rsid w:val="00C77FB2"/>
    <w:rsid w:val="00C87C54"/>
    <w:rsid w:val="00CC0CA1"/>
    <w:rsid w:val="00CD2D9C"/>
    <w:rsid w:val="00CE413F"/>
    <w:rsid w:val="00CE6FB1"/>
    <w:rsid w:val="00CE777B"/>
    <w:rsid w:val="00CF1A09"/>
    <w:rsid w:val="00CF570D"/>
    <w:rsid w:val="00D021EC"/>
    <w:rsid w:val="00D0308A"/>
    <w:rsid w:val="00D20A38"/>
    <w:rsid w:val="00D245CA"/>
    <w:rsid w:val="00D30FF7"/>
    <w:rsid w:val="00D35CCF"/>
    <w:rsid w:val="00D63917"/>
    <w:rsid w:val="00D662A7"/>
    <w:rsid w:val="00D7252A"/>
    <w:rsid w:val="00D7610D"/>
    <w:rsid w:val="00D93F55"/>
    <w:rsid w:val="00D96AE4"/>
    <w:rsid w:val="00DA20D5"/>
    <w:rsid w:val="00DB5ADA"/>
    <w:rsid w:val="00DB6273"/>
    <w:rsid w:val="00DC74D2"/>
    <w:rsid w:val="00DE1C34"/>
    <w:rsid w:val="00E015BD"/>
    <w:rsid w:val="00E01BD3"/>
    <w:rsid w:val="00E2729A"/>
    <w:rsid w:val="00E30CBA"/>
    <w:rsid w:val="00E33D87"/>
    <w:rsid w:val="00E4197C"/>
    <w:rsid w:val="00E46C22"/>
    <w:rsid w:val="00E55141"/>
    <w:rsid w:val="00E6419A"/>
    <w:rsid w:val="00E84E51"/>
    <w:rsid w:val="00E91908"/>
    <w:rsid w:val="00EA7E2D"/>
    <w:rsid w:val="00EB2C83"/>
    <w:rsid w:val="00EB5B11"/>
    <w:rsid w:val="00ED55C5"/>
    <w:rsid w:val="00ED6EB7"/>
    <w:rsid w:val="00EE5B4C"/>
    <w:rsid w:val="00F01D1A"/>
    <w:rsid w:val="00F01E60"/>
    <w:rsid w:val="00F11ECB"/>
    <w:rsid w:val="00F30343"/>
    <w:rsid w:val="00F31261"/>
    <w:rsid w:val="00F43C8D"/>
    <w:rsid w:val="00F52276"/>
    <w:rsid w:val="00F63217"/>
    <w:rsid w:val="00F7023B"/>
    <w:rsid w:val="00F921B5"/>
    <w:rsid w:val="00F97C9F"/>
    <w:rsid w:val="00FB5689"/>
    <w:rsid w:val="00FC1363"/>
    <w:rsid w:val="00FD5973"/>
    <w:rsid w:val="00FD6EE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507A"/>
  <w15:docId w15:val="{B9345741-9950-4DF9-89C8-6200C7AB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basedOn w:val="DefaultParagraphFont"/>
    <w:uiPriority w:val="99"/>
    <w:semiHidden/>
    <w:unhideWhenUsed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9F1E-5F02-4544-BEB8-42495135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6</cp:revision>
  <cp:lastPrinted>2020-03-19T07:11:00Z</cp:lastPrinted>
  <dcterms:created xsi:type="dcterms:W3CDTF">2020-04-10T10:11:00Z</dcterms:created>
  <dcterms:modified xsi:type="dcterms:W3CDTF">2020-04-10T10:44:00Z</dcterms:modified>
</cp:coreProperties>
</file>