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415EFB" w:rsidRDefault="00415EFB" w:rsidP="0074742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15EFB" w:rsidRDefault="00415EFB" w:rsidP="00415EFB">
      <w:pPr>
        <w:pStyle w:val="Title"/>
      </w:pPr>
      <w:r>
        <w:t>FONDUL</w:t>
      </w:r>
      <w:r w:rsidR="00B016B9">
        <w:t xml:space="preserve"> PENTRU </w:t>
      </w:r>
      <w:r w:rsidR="007F55AC">
        <w:t>INOVARE</w:t>
      </w:r>
    </w:p>
    <w:p w:rsidR="00415EFB" w:rsidRDefault="00415EFB" w:rsidP="0074742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15EFB" w:rsidRDefault="009A2800" w:rsidP="00747420">
      <w:pPr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Prezentare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="00B016B9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sintetică</w:t>
      </w:r>
      <w:proofErr w:type="spellEnd"/>
    </w:p>
    <w:p w:rsidR="007F55AC" w:rsidRDefault="007F55AC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instituit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articolul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10a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alineatul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(8) din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Directiva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2003/87/CE</w:t>
      </w:r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sprijini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F55AC">
        <w:rPr>
          <w:rFonts w:ascii="Times New Roman" w:hAnsi="Times New Roman" w:cs="Times New Roman"/>
          <w:i/>
          <w:sz w:val="24"/>
          <w:szCs w:val="24"/>
        </w:rPr>
        <w:t xml:space="preserve"> in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statele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membre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</w:t>
      </w:r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tehnologii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emisii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reduse</w:t>
      </w:r>
      <w:proofErr w:type="spellEnd"/>
      <w:r w:rsidRPr="007F55AC">
        <w:rPr>
          <w:rFonts w:ascii="Times New Roman" w:hAnsi="Times New Roman" w:cs="Times New Roman"/>
          <w:i/>
          <w:sz w:val="24"/>
          <w:szCs w:val="24"/>
        </w:rPr>
        <w:t xml:space="preserve"> de carbon din </w:t>
      </w:r>
      <w:proofErr w:type="spellStart"/>
      <w:r w:rsidRPr="007F55AC">
        <w:rPr>
          <w:rFonts w:ascii="Times New Roman" w:hAnsi="Times New Roman" w:cs="Times New Roman"/>
          <w:i/>
          <w:sz w:val="24"/>
          <w:szCs w:val="24"/>
        </w:rPr>
        <w:t>sectoare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regenerabil</w:t>
      </w:r>
      <w:r w:rsidR="00AA14B6">
        <w:rPr>
          <w:rFonts w:ascii="Times New Roman" w:hAnsi="Times New Roman" w:cs="Times New Roman"/>
          <w:i/>
          <w:sz w:val="24"/>
          <w:szCs w:val="24"/>
        </w:rPr>
        <w:t>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stocare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energie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produsă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aceste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instalații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captare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stocare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utilizare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carbon, diverse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sectoare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industrie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606F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606F">
        <w:rPr>
          <w:rFonts w:ascii="Times New Roman" w:hAnsi="Times New Roman" w:cs="Times New Roman"/>
          <w:i/>
          <w:sz w:val="24"/>
          <w:szCs w:val="24"/>
        </w:rPr>
        <w:t>segmente</w:t>
      </w:r>
      <w:proofErr w:type="spellEnd"/>
      <w:r w:rsidR="005826D9">
        <w:rPr>
          <w:rFonts w:ascii="Times New Roman" w:hAnsi="Times New Roman" w:cs="Times New Roman"/>
          <w:i/>
          <w:sz w:val="24"/>
          <w:szCs w:val="24"/>
        </w:rPr>
        <w:t xml:space="preserve"> inter-</w:t>
      </w:r>
      <w:proofErr w:type="spellStart"/>
      <w:r w:rsidR="0057606F">
        <w:rPr>
          <w:rFonts w:ascii="Times New Roman" w:hAnsi="Times New Roman" w:cs="Times New Roman"/>
          <w:i/>
          <w:sz w:val="24"/>
          <w:szCs w:val="24"/>
        </w:rPr>
        <w:t>sectoriale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inovarea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33D8">
        <w:rPr>
          <w:rFonts w:ascii="Times New Roman" w:hAnsi="Times New Roman" w:cs="Times New Roman"/>
          <w:i/>
          <w:sz w:val="24"/>
          <w:szCs w:val="24"/>
        </w:rPr>
        <w:t>contribui</w:t>
      </w:r>
      <w:proofErr w:type="spellEnd"/>
      <w:r w:rsidR="007B5F30"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5F30" w:rsidRPr="007B5F30">
        <w:rPr>
          <w:rFonts w:ascii="Times New Roman" w:hAnsi="Times New Roman" w:cs="Times New Roman"/>
          <w:i/>
          <w:sz w:val="24"/>
          <w:szCs w:val="24"/>
        </w:rPr>
        <w:t>substanțial</w:t>
      </w:r>
      <w:proofErr w:type="spellEnd"/>
      <w:r w:rsidR="007B5F30" w:rsidRPr="007B5F30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7B5F30" w:rsidRPr="007B5F30">
        <w:rPr>
          <w:rFonts w:ascii="Times New Roman" w:hAnsi="Times New Roman" w:cs="Times New Roman"/>
          <w:i/>
          <w:sz w:val="24"/>
          <w:szCs w:val="24"/>
        </w:rPr>
        <w:t>diminuarea</w:t>
      </w:r>
      <w:proofErr w:type="spellEnd"/>
      <w:r w:rsidR="007B5F30"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5F30" w:rsidRPr="007B5F30">
        <w:rPr>
          <w:rFonts w:ascii="Times New Roman" w:hAnsi="Times New Roman" w:cs="Times New Roman"/>
          <w:i/>
          <w:sz w:val="24"/>
          <w:szCs w:val="24"/>
        </w:rPr>
        <w:t>schimbărilor</w:t>
      </w:r>
      <w:proofErr w:type="spellEnd"/>
      <w:r w:rsidR="007B5F30"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B5F30" w:rsidRPr="007B5F30">
        <w:rPr>
          <w:rFonts w:ascii="Times New Roman" w:hAnsi="Times New Roman" w:cs="Times New Roman"/>
          <w:i/>
          <w:sz w:val="24"/>
          <w:szCs w:val="24"/>
        </w:rPr>
        <w:t>climatice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33D8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33D8">
        <w:rPr>
          <w:rFonts w:ascii="Times New Roman" w:hAnsi="Times New Roman" w:cs="Times New Roman"/>
          <w:i/>
          <w:sz w:val="24"/>
          <w:szCs w:val="24"/>
        </w:rPr>
        <w:t>facilita</w:t>
      </w:r>
      <w:proofErr w:type="spellEnd"/>
      <w:r w:rsid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33D8">
        <w:rPr>
          <w:rFonts w:ascii="Times New Roman" w:hAnsi="Times New Roman" w:cs="Times New Roman"/>
          <w:i/>
          <w:sz w:val="24"/>
          <w:szCs w:val="24"/>
        </w:rPr>
        <w:t>evoluția</w:t>
      </w:r>
      <w:proofErr w:type="spellEnd"/>
      <w:r w:rsid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633D8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606F">
        <w:rPr>
          <w:rFonts w:ascii="Times New Roman" w:hAnsi="Times New Roman" w:cs="Times New Roman"/>
          <w:i/>
          <w:sz w:val="24"/>
          <w:szCs w:val="24"/>
        </w:rPr>
        <w:t>energia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7606F">
        <w:rPr>
          <w:rFonts w:ascii="Times New Roman" w:hAnsi="Times New Roman" w:cs="Times New Roman"/>
          <w:i/>
          <w:sz w:val="24"/>
          <w:szCs w:val="24"/>
        </w:rPr>
        <w:t>curat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="0057606F">
        <w:rPr>
          <w:rFonts w:ascii="Times New Roman" w:hAnsi="Times New Roman" w:cs="Times New Roman"/>
          <w:i/>
          <w:sz w:val="24"/>
          <w:szCs w:val="24"/>
        </w:rPr>
        <w:t>.</w:t>
      </w:r>
    </w:p>
    <w:p w:rsidR="002633D8" w:rsidRDefault="002633D8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Proiectele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633D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aibă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potențialul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de a fi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aplicate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largă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diminua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semnificativ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costurile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tranziției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economie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emisii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scăzute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de carbon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sectoarele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cauză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>.</w:t>
      </w:r>
    </w:p>
    <w:p w:rsidR="002633D8" w:rsidRDefault="002633D8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Tehnologiile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primesc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sprijin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633D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nu fie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încă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disponibile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piață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dar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repr</w:t>
      </w:r>
      <w:r>
        <w:rPr>
          <w:rFonts w:ascii="Times New Roman" w:hAnsi="Times New Roman" w:cs="Times New Roman"/>
          <w:i/>
          <w:sz w:val="24"/>
          <w:szCs w:val="24"/>
        </w:rPr>
        <w:t>ezinte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soluții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revoluționare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2633D8">
        <w:rPr>
          <w:rFonts w:ascii="Times New Roman" w:hAnsi="Times New Roman" w:cs="Times New Roman"/>
          <w:i/>
          <w:sz w:val="24"/>
          <w:szCs w:val="24"/>
        </w:rPr>
        <w:t>suficient</w:t>
      </w:r>
      <w:proofErr w:type="spellEnd"/>
      <w:r w:rsidRPr="002633D8">
        <w:rPr>
          <w:rFonts w:ascii="Times New Roman" w:hAnsi="Times New Roman" w:cs="Times New Roman"/>
          <w:i/>
          <w:sz w:val="24"/>
          <w:szCs w:val="24"/>
        </w:rPr>
        <w:t xml:space="preserve"> de mature</w:t>
      </w:r>
      <w:r>
        <w:rPr>
          <w:rFonts w:ascii="Times New Roman" w:hAnsi="Times New Roman" w:cs="Times New Roman"/>
          <w:i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precomercială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7606F" w:rsidRDefault="003223C7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Exemplificativ</w:t>
      </w:r>
      <w:proofErr w:type="spellEnd"/>
      <w:r w:rsidR="0057606F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  <w:gridCol w:w="5601"/>
      </w:tblGrid>
      <w:tr w:rsidR="0057606F" w:rsidTr="0057606F">
        <w:trPr>
          <w:trHeight w:val="303"/>
        </w:trPr>
        <w:tc>
          <w:tcPr>
            <w:tcW w:w="3402" w:type="dxa"/>
          </w:tcPr>
          <w:p w:rsidR="0057606F" w:rsidRPr="0057606F" w:rsidRDefault="0057606F" w:rsidP="005826D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Sectoare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care se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supun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criteriilor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eligibilitate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conform, </w:t>
            </w:r>
            <w:r w:rsidR="005826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art. 10a</w:t>
            </w:r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(8) din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Directiva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2003/87/CE</w:t>
            </w:r>
          </w:p>
        </w:tc>
        <w:tc>
          <w:tcPr>
            <w:tcW w:w="5601" w:type="dxa"/>
          </w:tcPr>
          <w:p w:rsidR="0057606F" w:rsidRPr="0057606F" w:rsidRDefault="0057606F" w:rsidP="005760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Exemple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de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potențiale</w:t>
            </w:r>
            <w:proofErr w:type="spellEnd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760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proiecte</w:t>
            </w:r>
            <w:proofErr w:type="spellEnd"/>
          </w:p>
        </w:tc>
      </w:tr>
      <w:tr w:rsidR="0057606F" w:rsidTr="0057606F">
        <w:trPr>
          <w:trHeight w:val="314"/>
        </w:trPr>
        <w:tc>
          <w:tcPr>
            <w:tcW w:w="3402" w:type="dxa"/>
          </w:tcPr>
          <w:p w:rsidR="0057606F" w:rsidRDefault="003223C7" w:rsidP="003223C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Wind energy </w:t>
            </w:r>
          </w:p>
        </w:tc>
        <w:tc>
          <w:tcPr>
            <w:tcW w:w="5601" w:type="dxa"/>
          </w:tcPr>
          <w:p w:rsidR="0057606F" w:rsidRDefault="003223C7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Floating </w:t>
            </w:r>
            <w:r w:rsidR="0031233D">
              <w:rPr>
                <w:rFonts w:ascii="Times New Roman" w:hAnsi="Times New Roman" w:cs="Times New Roman"/>
                <w:i/>
                <w:sz w:val="24"/>
                <w:szCs w:val="24"/>
              </w:rPr>
              <w:t>off-shore wind power plants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Next generation turbines</w:t>
            </w:r>
          </w:p>
        </w:tc>
      </w:tr>
      <w:tr w:rsidR="0057606F" w:rsidTr="0057606F">
        <w:trPr>
          <w:trHeight w:val="303"/>
        </w:trPr>
        <w:tc>
          <w:tcPr>
            <w:tcW w:w="3402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Solar energy</w:t>
            </w:r>
          </w:p>
        </w:tc>
        <w:tc>
          <w:tcPr>
            <w:tcW w:w="5601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Concentrated solar power plants</w:t>
            </w:r>
          </w:p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Flexible organic cells</w:t>
            </w:r>
          </w:p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Floating photovoltaics installations</w:t>
            </w:r>
          </w:p>
          <w:p w:rsidR="0031233D" w:rsidRDefault="0031233D" w:rsidP="0031233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Hybrid photovoltaic, concentrating solar power and storage technologies</w:t>
            </w:r>
          </w:p>
        </w:tc>
      </w:tr>
      <w:tr w:rsidR="0057606F" w:rsidTr="0057606F">
        <w:trPr>
          <w:trHeight w:val="314"/>
        </w:trPr>
        <w:tc>
          <w:tcPr>
            <w:tcW w:w="3402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Geothermal energy</w:t>
            </w:r>
          </w:p>
        </w:tc>
        <w:tc>
          <w:tcPr>
            <w:tcW w:w="5601" w:type="dxa"/>
          </w:tcPr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Enhanced geothermal systems</w:t>
            </w:r>
          </w:p>
        </w:tc>
      </w:tr>
      <w:tr w:rsidR="0057606F" w:rsidTr="0057606F">
        <w:trPr>
          <w:trHeight w:val="314"/>
        </w:trPr>
        <w:tc>
          <w:tcPr>
            <w:tcW w:w="3402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Bioenergy</w:t>
            </w:r>
          </w:p>
        </w:tc>
        <w:tc>
          <w:tcPr>
            <w:tcW w:w="5601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Advanced biofuels</w:t>
            </w:r>
          </w:p>
        </w:tc>
      </w:tr>
      <w:tr w:rsidR="0057606F" w:rsidTr="0057606F">
        <w:trPr>
          <w:trHeight w:val="303"/>
        </w:trPr>
        <w:tc>
          <w:tcPr>
            <w:tcW w:w="3402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Energy storage</w:t>
            </w:r>
          </w:p>
        </w:tc>
        <w:tc>
          <w:tcPr>
            <w:tcW w:w="5601" w:type="dxa"/>
          </w:tcPr>
          <w:p w:rsidR="0057606F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Product innovation (thermal storage, pumped heat electricity storage, flow batteries, lithium ion or post lithium technology, compressed air and liquid air energy storage); </w:t>
            </w:r>
          </w:p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Process innovation (block chain technologies and artificial intelligence)</w:t>
            </w:r>
          </w:p>
          <w:p w:rsidR="0031233D" w:rsidRDefault="0031233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System innovation (energy management systems and charging stations at ports)</w:t>
            </w:r>
          </w:p>
          <w:p w:rsidR="0031233D" w:rsidRDefault="0031233D" w:rsidP="00A20F6D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Large scale demonstration of renewable hydrogen </w:t>
            </w:r>
            <w:r w:rsidR="00A20F6D">
              <w:rPr>
                <w:rFonts w:ascii="Times New Roman" w:hAnsi="Times New Roman" w:cs="Times New Roman"/>
                <w:i/>
                <w:sz w:val="24"/>
                <w:szCs w:val="24"/>
              </w:rPr>
              <w:t>production and its use for energy storage (electrolysis of water coupled with hydrogen storage systems)</w:t>
            </w:r>
          </w:p>
        </w:tc>
      </w:tr>
      <w:tr w:rsidR="0057606F" w:rsidTr="0057606F">
        <w:trPr>
          <w:trHeight w:val="314"/>
        </w:trPr>
        <w:tc>
          <w:tcPr>
            <w:tcW w:w="3402" w:type="dxa"/>
          </w:tcPr>
          <w:p w:rsidR="0057606F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Carbon capture and storage(CCS)</w:t>
            </w:r>
          </w:p>
        </w:tc>
        <w:tc>
          <w:tcPr>
            <w:tcW w:w="5601" w:type="dxa"/>
          </w:tcPr>
          <w:p w:rsidR="0057606F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Full chain CCS projects</w:t>
            </w:r>
          </w:p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Part chain CCS projects, with secured storage contracts </w:t>
            </w:r>
          </w:p>
        </w:tc>
      </w:tr>
      <w:tr w:rsidR="0057606F" w:rsidTr="0057606F">
        <w:trPr>
          <w:trHeight w:val="303"/>
        </w:trPr>
        <w:tc>
          <w:tcPr>
            <w:tcW w:w="3402" w:type="dxa"/>
          </w:tcPr>
          <w:p w:rsidR="0057606F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Carbon capture and utilisation (CCU)</w:t>
            </w:r>
          </w:p>
        </w:tc>
        <w:tc>
          <w:tcPr>
            <w:tcW w:w="5601" w:type="dxa"/>
          </w:tcPr>
          <w:p w:rsidR="0057606F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Capture CO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and other carbon containing gaseous effluents and converting them to useable fuels or products</w:t>
            </w:r>
          </w:p>
          <w:p w:rsidR="00A20F6D" w:rsidRP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Manufacture of coke and refined  petroleum products</w:t>
            </w:r>
          </w:p>
        </w:tc>
        <w:tc>
          <w:tcPr>
            <w:tcW w:w="5601" w:type="dxa"/>
          </w:tcPr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Switching to low carbon hydrogen</w:t>
            </w:r>
          </w:p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Use of alternative sustainable feedstocks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Manufacture of basic ferrous metals</w:t>
            </w:r>
          </w:p>
        </w:tc>
        <w:tc>
          <w:tcPr>
            <w:tcW w:w="5601" w:type="dxa"/>
          </w:tcPr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New smelting reduction technologies</w:t>
            </w:r>
          </w:p>
          <w:p w:rsidR="00A20F6D" w:rsidRDefault="00A20F6D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Direct reduction technologies</w:t>
            </w:r>
            <w:r w:rsidR="003E26A0">
              <w:rPr>
                <w:rFonts w:ascii="Times New Roman" w:hAnsi="Times New Roman" w:cs="Times New Roman"/>
                <w:i/>
                <w:sz w:val="24"/>
                <w:szCs w:val="24"/>
              </w:rPr>
              <w:t>, based on low-carbon hydrogen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Electricity based steel production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Top gas recycling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E26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Manufacture of basic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non-</w:t>
            </w:r>
            <w:r w:rsidRPr="003E26A0">
              <w:rPr>
                <w:rFonts w:ascii="Times New Roman" w:hAnsi="Times New Roman" w:cs="Times New Roman"/>
                <w:i/>
                <w:sz w:val="24"/>
                <w:szCs w:val="24"/>
              </w:rPr>
              <w:t>ferrous metals</w:t>
            </w:r>
          </w:p>
        </w:tc>
        <w:tc>
          <w:tcPr>
            <w:tcW w:w="5601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Low emission electrolysis 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Inert anodes/wetted drained cathodes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Magnetic billet heating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Waste heat recovery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Cement and concrete product manufacturing</w:t>
            </w:r>
          </w:p>
        </w:tc>
        <w:tc>
          <w:tcPr>
            <w:tcW w:w="5601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Less  carbon cement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Low carbon cement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Changes in concrete composition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Lime and gypsum products</w:t>
            </w:r>
          </w:p>
        </w:tc>
        <w:tc>
          <w:tcPr>
            <w:tcW w:w="5601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Increase of CO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concentration (e.g. by looping)</w:t>
            </w:r>
          </w:p>
          <w:p w:rsidR="003E26A0" w:rsidRP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Combination with oxygen -fuel process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Glass and glass product manufacturing</w:t>
            </w:r>
          </w:p>
        </w:tc>
        <w:tc>
          <w:tcPr>
            <w:tcW w:w="5601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 furnaces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Oxygen-fuel combustion (incl. heat recovery)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Fuel switch to biofuels or low carbon hydrogen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Batch reformulation and batch palletisation (e.g. non-carbonated materials and glass with lower melting temperature)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Clay product and refractory manufacturing</w:t>
            </w:r>
          </w:p>
        </w:tc>
        <w:tc>
          <w:tcPr>
            <w:tcW w:w="5601" w:type="dxa"/>
          </w:tcPr>
          <w:p w:rsidR="00A20F6D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 furnaces and dryers</w:t>
            </w:r>
          </w:p>
          <w:p w:rsidR="003E26A0" w:rsidRDefault="003E26A0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Design of non-fired or low-fired products</w:t>
            </w:r>
          </w:p>
          <w:p w:rsidR="003E26A0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Other product innovations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Manufacture of paper and paper products </w:t>
            </w:r>
          </w:p>
        </w:tc>
        <w:tc>
          <w:tcPr>
            <w:tcW w:w="5601" w:type="dxa"/>
          </w:tcPr>
          <w:p w:rsidR="00A20F6D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New drying techniques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Foaming of fibrous materials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Black liquor gasification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Enzymatic pre-treatment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Heat recovery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Electrochemical depolymerisation of lignin</w:t>
            </w:r>
          </w:p>
        </w:tc>
      </w:tr>
      <w:tr w:rsidR="00A20F6D" w:rsidTr="0057606F">
        <w:trPr>
          <w:trHeight w:val="303"/>
        </w:trPr>
        <w:tc>
          <w:tcPr>
            <w:tcW w:w="3402" w:type="dxa"/>
          </w:tcPr>
          <w:p w:rsidR="00A20F6D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Manufacture of chemicals and chemical products</w:t>
            </w:r>
          </w:p>
        </w:tc>
        <w:tc>
          <w:tcPr>
            <w:tcW w:w="5601" w:type="dxa"/>
          </w:tcPr>
          <w:p w:rsidR="00A20F6D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Utilisation or better utilisation of alternative sources of carbon : CO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biomass, waste, exhaust gases, residues and recycled materials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Materials “breakthroughs”( high performance functional materials including lightweight materials for low-carbon energy, mobility and housing)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Utilisation of renewable electricity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Production and use of low carbon hydrogen</w:t>
            </w:r>
          </w:p>
          <w:p w:rsidR="006B1804" w:rsidRDefault="006B1804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Electrified process </w:t>
            </w:r>
            <w:r w:rsidR="005826D9">
              <w:rPr>
                <w:rFonts w:ascii="Times New Roman" w:hAnsi="Times New Roman" w:cs="Times New Roman"/>
                <w:i/>
                <w:sz w:val="24"/>
                <w:szCs w:val="24"/>
              </w:rPr>
              <w:t>including through non-conventional energy forms</w:t>
            </w:r>
          </w:p>
          <w:p w:rsidR="005826D9" w:rsidRPr="006B1804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B1804" w:rsidTr="0057606F">
        <w:trPr>
          <w:trHeight w:val="303"/>
        </w:trPr>
        <w:tc>
          <w:tcPr>
            <w:tcW w:w="3402" w:type="dxa"/>
          </w:tcPr>
          <w:p w:rsidR="006B1804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Other sectors</w:t>
            </w:r>
          </w:p>
        </w:tc>
        <w:tc>
          <w:tcPr>
            <w:tcW w:w="5601" w:type="dxa"/>
          </w:tcPr>
          <w:p w:rsidR="006B1804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Production of low carbon hydrogen with renewable electricity or with CCS</w:t>
            </w:r>
          </w:p>
          <w:p w:rsidR="005826D9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Innovative low carbon tyre production</w:t>
            </w:r>
          </w:p>
        </w:tc>
      </w:tr>
      <w:tr w:rsidR="006B1804" w:rsidTr="0057606F">
        <w:trPr>
          <w:trHeight w:val="303"/>
        </w:trPr>
        <w:tc>
          <w:tcPr>
            <w:tcW w:w="3402" w:type="dxa"/>
          </w:tcPr>
          <w:p w:rsidR="006B1804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Inter-sectorial</w:t>
            </w:r>
          </w:p>
        </w:tc>
        <w:tc>
          <w:tcPr>
            <w:tcW w:w="5601" w:type="dxa"/>
          </w:tcPr>
          <w:p w:rsidR="006B1804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Carbon capture from several industrial plants, transport of CO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</w:rPr>
              <w:t xml:space="preserve">2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utilisation and storage</w:t>
            </w:r>
          </w:p>
          <w:p w:rsidR="005826D9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Production and demonstration of new chemistry large-scale batteries</w:t>
            </w:r>
          </w:p>
          <w:p w:rsidR="005826D9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Low-carbon hydrogen use and storage, and infrastructure projects</w:t>
            </w:r>
          </w:p>
          <w:p w:rsidR="005826D9" w:rsidRDefault="005826D9" w:rsidP="001748A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Electric charging</w:t>
            </w:r>
          </w:p>
          <w:p w:rsidR="005826D9" w:rsidRDefault="005826D9" w:rsidP="005826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Hybrid renewable energy system </w:t>
            </w:r>
          </w:p>
          <w:p w:rsidR="005826D9" w:rsidRPr="005826D9" w:rsidRDefault="005826D9" w:rsidP="005826D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Industrial heat system using heat pumps </w:t>
            </w:r>
          </w:p>
        </w:tc>
      </w:tr>
    </w:tbl>
    <w:p w:rsidR="0057606F" w:rsidRDefault="0057606F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55AC" w:rsidRDefault="0099748C" w:rsidP="001748A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Fondul de inovare este succesor al programului NER 300 și are alocate cel puțin 450 de milioane de </w:t>
      </w:r>
      <w:r w:rsidR="00AA14B6">
        <w:rPr>
          <w:rFonts w:ascii="Times New Roman" w:hAnsi="Times New Roman" w:cs="Times New Roman"/>
          <w:i/>
          <w:sz w:val="24"/>
          <w:szCs w:val="24"/>
          <w:highlight w:val="yellow"/>
          <w:lang w:val="ro-RO"/>
        </w:rPr>
        <w:t>certificate</w:t>
      </w:r>
      <w:r w:rsidRPr="008E7D05">
        <w:rPr>
          <w:rFonts w:ascii="Times New Roman" w:hAnsi="Times New Roman" w:cs="Times New Roman"/>
          <w:i/>
          <w:sz w:val="24"/>
          <w:szCs w:val="24"/>
          <w:highlight w:val="yellow"/>
          <w:lang w:val="ro-RO"/>
        </w:rPr>
        <w:t xml:space="preserve"> </w:t>
      </w:r>
      <w:r w:rsidR="007B5F30">
        <w:rPr>
          <w:rFonts w:ascii="Times New Roman" w:hAnsi="Times New Roman" w:cs="Times New Roman"/>
          <w:i/>
          <w:sz w:val="24"/>
          <w:szCs w:val="24"/>
          <w:lang w:val="ro-RO"/>
        </w:rPr>
        <w:t>cu titlu gratuit</w:t>
      </w:r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respectiv între 55 și 68 de milioane de euro pentru sectoarele eligibile. Fondul de inovare este complementar programului </w:t>
      </w:r>
      <w:proofErr w:type="spellStart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>Horizon</w:t>
      </w:r>
      <w:proofErr w:type="spellEnd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Europe(ciclul 2021-2027), iar programe precum Mecanismul pentru Interconectarea Europei (</w:t>
      </w:r>
      <w:proofErr w:type="spellStart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>Connecting</w:t>
      </w:r>
      <w:proofErr w:type="spellEnd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Europe </w:t>
      </w:r>
      <w:proofErr w:type="spellStart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>Facility</w:t>
      </w:r>
      <w:proofErr w:type="spellEnd"/>
      <w:r w:rsid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) și Fonduri Structurale și de Investiții europene (Fonduri ESI) constituie surse de finanțare suplimentare pentru proiecte în infrastructură. </w:t>
      </w:r>
    </w:p>
    <w:p w:rsidR="009C0648" w:rsidRDefault="00A32127" w:rsidP="001748A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osturile relevante ale unui proiect la scară mică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vor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co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n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>st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it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>u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i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total al cheltuielilor de capital pentru un astfel de proiect.</w:t>
      </w:r>
      <w:r>
        <w:t xml:space="preserve"> O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parte semnificativă a finanțării prin Fondul pentru inovare 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 xml:space="preserve">va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fi</w:t>
      </w:r>
      <w:r w:rsidRPr="00A32127">
        <w:rPr>
          <w:rFonts w:ascii="Times New Roman" w:hAnsi="Times New Roman" w:cs="Times New Roman"/>
          <w:i/>
          <w:sz w:val="24"/>
          <w:szCs w:val="24"/>
          <w:lang w:val="ro-RO"/>
        </w:rPr>
        <w:t xml:space="preserve"> furnizată sub forma unui grant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>, însă pot exista mai multe mecanisme</w:t>
      </w:r>
      <w:r w:rsidR="008F0E39" w:rsidRPr="008F0E39">
        <w:rPr>
          <w:rFonts w:ascii="Times New Roman" w:hAnsi="Times New Roman" w:cs="Times New Roman"/>
          <w:i/>
          <w:sz w:val="24"/>
          <w:szCs w:val="24"/>
          <w:lang w:val="ro-RO"/>
        </w:rPr>
        <w:t>: (a) granturi; (b) contribuții la operațiunile de finanțare mixtă în cadrul instrumentului de sprij</w:t>
      </w:r>
      <w:r w:rsidR="009C0648">
        <w:rPr>
          <w:rFonts w:ascii="Times New Roman" w:hAnsi="Times New Roman" w:cs="Times New Roman"/>
          <w:i/>
          <w:sz w:val="24"/>
          <w:szCs w:val="24"/>
          <w:lang w:val="ro-RO"/>
        </w:rPr>
        <w:t>in pentru investiții al Uniunii.</w:t>
      </w:r>
    </w:p>
    <w:p w:rsidR="000127A2" w:rsidRDefault="008F0E39" w:rsidP="001748A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8F0E39">
        <w:t xml:space="preserve"> </w:t>
      </w:r>
      <w:r w:rsid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Procedura </w:t>
      </w:r>
      <w:r w:rsidR="000127A2" w:rsidRP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de depunere a cererilor </w:t>
      </w:r>
      <w:r w:rsid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se desfășoară </w:t>
      </w:r>
      <w:r w:rsidR="000127A2" w:rsidRP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în două etape, </w:t>
      </w:r>
      <w:r w:rsidR="000127A2">
        <w:rPr>
          <w:rFonts w:ascii="Times New Roman" w:hAnsi="Times New Roman" w:cs="Times New Roman"/>
          <w:i/>
          <w:sz w:val="24"/>
          <w:szCs w:val="24"/>
          <w:lang w:val="ro-RO"/>
        </w:rPr>
        <w:t>respectiv</w:t>
      </w:r>
      <w:r w:rsidR="000127A2" w:rsidRP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o scrisoare de exprimare a </w:t>
      </w:r>
      <w:r w:rsidR="000127A2">
        <w:rPr>
          <w:rFonts w:ascii="Times New Roman" w:hAnsi="Times New Roman" w:cs="Times New Roman"/>
          <w:i/>
          <w:sz w:val="24"/>
          <w:szCs w:val="24"/>
          <w:lang w:val="ro-RO"/>
        </w:rPr>
        <w:t>interesului și o cerere completă, depuse direct de către iniți</w:t>
      </w:r>
      <w:r w:rsidR="000127A2" w:rsidRPr="000127A2">
        <w:rPr>
          <w:rFonts w:ascii="Times New Roman" w:hAnsi="Times New Roman" w:cs="Times New Roman"/>
          <w:i/>
          <w:sz w:val="24"/>
          <w:szCs w:val="24"/>
          <w:lang w:val="ro-RO"/>
        </w:rPr>
        <w:t>ator</w:t>
      </w:r>
      <w:r w:rsidR="000127A2">
        <w:rPr>
          <w:rFonts w:ascii="Times New Roman" w:hAnsi="Times New Roman" w:cs="Times New Roman"/>
          <w:i/>
          <w:sz w:val="24"/>
          <w:szCs w:val="24"/>
          <w:lang w:val="ro-RO"/>
        </w:rPr>
        <w:t>ul proiectului/beneficiar.</w:t>
      </w:r>
    </w:p>
    <w:p w:rsidR="007F55AC" w:rsidRDefault="000127A2" w:rsidP="001748A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În sprijinul proiectelor</w:t>
      </w:r>
      <w:r w:rsidRP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ale căror planificare, model de afaceri și structură financiară și juridică nu sunt suficient de mature, în special având în vedere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posibilitatea de a nu beneficia </w:t>
      </w:r>
      <w:r w:rsidRPr="000127A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sprijin din partea statelor membre în cauză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la nivel național, Comisia Europeană </w:t>
      </w:r>
      <w:r w:rsidR="008E7D05">
        <w:rPr>
          <w:rFonts w:ascii="Times New Roman" w:hAnsi="Times New Roman" w:cs="Times New Roman"/>
          <w:i/>
          <w:sz w:val="24"/>
          <w:szCs w:val="24"/>
          <w:lang w:val="ro-RO"/>
        </w:rPr>
        <w:t xml:space="preserve">(Comisia)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 decis includerea acestora pe lista proiectelor eligibile (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>în special proiecte la scară mică și proiecte</w:t>
      </w:r>
      <w:r w:rsidR="008F0E39" w:rsidRPr="008F0E3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din statele membre cu venituri mai reduse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>)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, fiind evaluate individual și motivată o eventuală decizie de respingere de finanțare a acestora.</w:t>
      </w:r>
    </w:p>
    <w:p w:rsidR="008F0E39" w:rsidRDefault="00B016B9" w:rsidP="001748AE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Comisia va </w:t>
      </w:r>
      <w:r w:rsidR="008F0E39" w:rsidRPr="008F0E39">
        <w:rPr>
          <w:rFonts w:ascii="Times New Roman" w:hAnsi="Times New Roman" w:cs="Times New Roman"/>
          <w:i/>
          <w:sz w:val="24"/>
          <w:szCs w:val="24"/>
          <w:lang w:val="ro-RO"/>
        </w:rPr>
        <w:t>delega unele dintre acțiunile de punere în aplicare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anume </w:t>
      </w:r>
      <w:r w:rsidR="008F0E39" w:rsidRPr="008F0E39">
        <w:rPr>
          <w:rFonts w:ascii="Times New Roman" w:hAnsi="Times New Roman" w:cs="Times New Roman"/>
          <w:i/>
          <w:sz w:val="24"/>
          <w:szCs w:val="24"/>
          <w:lang w:val="ro-RO"/>
        </w:rPr>
        <w:t xml:space="preserve">organizarea cererii de propuneri, preselecția proiectelor sau gestionarea contractuală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a granturilor, către organisme</w:t>
      </w:r>
      <w:r w:rsidR="008F0E39" w:rsidRPr="008F0E39"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execuție</w:t>
      </w:r>
      <w:r w:rsidR="008F0E39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</w:p>
    <w:p w:rsidR="00295CFA" w:rsidRDefault="00B016B9" w:rsidP="00295CFA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B016B9">
        <w:rPr>
          <w:rFonts w:ascii="Times New Roman" w:hAnsi="Times New Roman" w:cs="Times New Roman"/>
          <w:i/>
          <w:sz w:val="24"/>
          <w:szCs w:val="24"/>
          <w:lang w:val="ro-RO"/>
        </w:rPr>
        <w:t xml:space="preserve">Până la 40 % din suma totală a sprijinului acordat prin Fondul pentru inovare, inclusiv asistența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pentru dezvoltarea de proiecte, </w:t>
      </w:r>
      <w:r w:rsidRPr="00B016B9">
        <w:rPr>
          <w:rFonts w:ascii="Times New Roman" w:hAnsi="Times New Roman" w:cs="Times New Roman"/>
          <w:i/>
          <w:sz w:val="24"/>
          <w:szCs w:val="24"/>
          <w:lang w:val="ro-RO"/>
        </w:rPr>
        <w:t>se plătește la închiderea financiară sau la atingerea unui obiectiv de etapă specific care precede închiderea financiară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. </w:t>
      </w:r>
      <w:proofErr w:type="spellStart"/>
      <w:proofErr w:type="gram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Aceasta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fi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plătită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parțial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înainte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demararea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tranșe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anuale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după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demararea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acestuia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8F0E39" w:rsidRDefault="00430081" w:rsidP="00295CFA">
      <w:pPr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430081">
        <w:rPr>
          <w:rFonts w:ascii="Times New Roman" w:hAnsi="Times New Roman" w:cs="Times New Roman"/>
          <w:i/>
          <w:sz w:val="24"/>
          <w:szCs w:val="24"/>
          <w:lang w:val="ro-RO"/>
        </w:rPr>
        <w:t>Se pot sprijini până la 60 % din costurile relevante ale proiectelor</w:t>
      </w:r>
      <w:r w:rsidR="00295C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(</w:t>
      </w:r>
      <w:r w:rsidR="00295CFA" w:rsidRPr="00295CFA">
        <w:rPr>
          <w:rFonts w:ascii="Times New Roman" w:hAnsi="Times New Roman" w:cs="Times New Roman"/>
          <w:i/>
          <w:sz w:val="24"/>
          <w:szCs w:val="24"/>
          <w:lang w:val="ro-RO"/>
        </w:rPr>
        <w:t>costurile suplimentare suportate de inițiatorul proiectului ca</w:t>
      </w:r>
      <w:r w:rsidR="00295C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urmare a aplicării tehnologiei </w:t>
      </w:r>
      <w:r w:rsidR="00295CFA" w:rsidRPr="00295CFA">
        <w:rPr>
          <w:rFonts w:ascii="Times New Roman" w:hAnsi="Times New Roman" w:cs="Times New Roman"/>
          <w:i/>
          <w:sz w:val="24"/>
          <w:szCs w:val="24"/>
          <w:lang w:val="ro-RO"/>
        </w:rPr>
        <w:t>inovatoare legate de reducerea sau evitarea emisiilor de gaze cu efect de seră</w:t>
      </w:r>
      <w:r w:rsidR="00295C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) </w:t>
      </w:r>
      <w:r w:rsidRPr="00430081">
        <w:rPr>
          <w:rFonts w:ascii="Times New Roman" w:hAnsi="Times New Roman" w:cs="Times New Roman"/>
          <w:i/>
          <w:sz w:val="24"/>
          <w:szCs w:val="24"/>
          <w:lang w:val="ro-RO"/>
        </w:rPr>
        <w:t>, din care până la 40 % nu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sunt raportate la condiția de reducere</w:t>
      </w:r>
      <w:r w:rsidRPr="0043008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emi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siilor de gaze cu efect de seră.</w:t>
      </w:r>
    </w:p>
    <w:p w:rsidR="00166026" w:rsidRDefault="00166026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166026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proofErr w:type="gram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648">
        <w:rPr>
          <w:rFonts w:ascii="Times New Roman" w:hAnsi="Times New Roman" w:cs="Times New Roman"/>
          <w:i/>
          <w:sz w:val="24"/>
          <w:szCs w:val="24"/>
        </w:rPr>
        <w:t>finan</w:t>
      </w:r>
      <w:proofErr w:type="spellEnd"/>
      <w:r w:rsidR="009C0648">
        <w:rPr>
          <w:rFonts w:ascii="Times New Roman" w:hAnsi="Times New Roman" w:cs="Times New Roman"/>
          <w:i/>
          <w:sz w:val="24"/>
          <w:szCs w:val="24"/>
          <w:lang w:val="ro-RO"/>
        </w:rPr>
        <w:t>ța</w:t>
      </w:r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până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la 60% din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costurile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de capital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66026">
        <w:rPr>
          <w:rFonts w:ascii="Times New Roman" w:hAnsi="Times New Roman" w:cs="Times New Roman"/>
          <w:i/>
          <w:sz w:val="24"/>
          <w:szCs w:val="24"/>
        </w:rPr>
        <w:t>operaționale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segmentului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9C0648">
        <w:rPr>
          <w:rFonts w:ascii="Times New Roman" w:hAnsi="Times New Roman" w:cs="Times New Roman"/>
          <w:i/>
          <w:sz w:val="24"/>
          <w:szCs w:val="24"/>
        </w:rPr>
        <w:t>i</w:t>
      </w:r>
      <w:r>
        <w:rPr>
          <w:rFonts w:ascii="Times New Roman" w:hAnsi="Times New Roman" w:cs="Times New Roman"/>
          <w:i/>
          <w:sz w:val="24"/>
          <w:szCs w:val="24"/>
        </w:rPr>
        <w:t>novator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166026">
        <w:rPr>
          <w:rFonts w:ascii="Times New Roman" w:hAnsi="Times New Roman" w:cs="Times New Roman"/>
          <w:i/>
          <w:sz w:val="24"/>
          <w:szCs w:val="24"/>
        </w:rPr>
        <w:t>.</w:t>
      </w:r>
    </w:p>
    <w:p w:rsidR="00166026" w:rsidRDefault="00442065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442065">
        <w:rPr>
          <w:rFonts w:ascii="Times New Roman" w:hAnsi="Times New Roman" w:cs="Times New Roman"/>
          <w:i/>
          <w:sz w:val="24"/>
          <w:szCs w:val="24"/>
        </w:rPr>
        <w:t>Comisia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delega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monetizarea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certificatelor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gestionarea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veniturilor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Fondului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către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Banca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Europeană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442065">
        <w:rPr>
          <w:rFonts w:ascii="Times New Roman" w:hAnsi="Times New Roman" w:cs="Times New Roman"/>
          <w:i/>
          <w:sz w:val="24"/>
          <w:szCs w:val="24"/>
        </w:rPr>
        <w:t>Investiții</w:t>
      </w:r>
      <w:proofErr w:type="spellEnd"/>
      <w:r w:rsidRPr="00442065">
        <w:rPr>
          <w:rFonts w:ascii="Times New Roman" w:hAnsi="Times New Roman" w:cs="Times New Roman"/>
          <w:i/>
          <w:sz w:val="24"/>
          <w:szCs w:val="24"/>
        </w:rPr>
        <w:t xml:space="preserve"> (BEI).</w:t>
      </w:r>
      <w:proofErr w:type="gramEnd"/>
    </w:p>
    <w:p w:rsidR="007F55AC" w:rsidRPr="001748AE" w:rsidRDefault="007F55AC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748AE" w:rsidRPr="00415EFB" w:rsidRDefault="001748AE" w:rsidP="001748AE">
      <w:pPr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Norme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specifice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privind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lansarea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apelurilor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pentru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proiecte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și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procedura</w:t>
      </w:r>
      <w:proofErr w:type="spellEnd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de </w:t>
      </w:r>
      <w:proofErr w:type="spellStart"/>
      <w:r w:rsidRPr="00415EFB">
        <w:rPr>
          <w:rFonts w:ascii="Times New Roman" w:hAnsi="Times New Roman" w:cs="Times New Roman"/>
          <w:b/>
          <w:i/>
          <w:sz w:val="24"/>
          <w:szCs w:val="24"/>
          <w:u w:val="single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implementare</w:t>
      </w:r>
      <w:proofErr w:type="spellEnd"/>
    </w:p>
    <w:p w:rsidR="001748AE" w:rsidRDefault="007B5F30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F30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proofErr w:type="gramStart"/>
      <w:r w:rsidRPr="007B5F30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  <w:proofErr w:type="gram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mică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” </w:t>
      </w:r>
      <w:r>
        <w:rPr>
          <w:rFonts w:ascii="Times New Roman" w:hAnsi="Times New Roman" w:cs="Times New Roman"/>
          <w:i/>
          <w:sz w:val="24"/>
          <w:szCs w:val="24"/>
        </w:rPr>
        <w:t>-</w:t>
      </w:r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cu o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valoare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totală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cheltuielilor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capital care nu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depășește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7 500 000 EUR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:rsidR="007B5F30" w:rsidRPr="007B5F30" w:rsidRDefault="007B5F30" w:rsidP="007B5F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F30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proofErr w:type="gramStart"/>
      <w:r w:rsidRPr="007B5F30">
        <w:rPr>
          <w:rFonts w:ascii="Times New Roman" w:hAnsi="Times New Roman" w:cs="Times New Roman"/>
          <w:i/>
          <w:sz w:val="24"/>
          <w:szCs w:val="24"/>
        </w:rPr>
        <w:t>închidere</w:t>
      </w:r>
      <w:proofErr w:type="spellEnd"/>
      <w:proofErr w:type="gram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financiară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” -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momentul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ciclul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dezvoltare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acordurile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finanțare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semnate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condițiile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îndeplinite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>.</w:t>
      </w:r>
    </w:p>
    <w:p w:rsidR="007B5F30" w:rsidRPr="007B5F30" w:rsidRDefault="007B5F30" w:rsidP="007B5F3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B5F30">
        <w:rPr>
          <w:rFonts w:ascii="Times New Roman" w:hAnsi="Times New Roman" w:cs="Times New Roman"/>
          <w:i/>
          <w:sz w:val="24"/>
          <w:szCs w:val="24"/>
        </w:rPr>
        <w:t>„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demarare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” -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momentul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ciclul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dezvoltare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care au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fost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testate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elementele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sistemele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necesare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funcționarea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care au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început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activitățile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conduc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evitarea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efectivă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emisiilor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gaze cu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efect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7B5F30">
        <w:rPr>
          <w:rFonts w:ascii="Times New Roman" w:hAnsi="Times New Roman" w:cs="Times New Roman"/>
          <w:i/>
          <w:sz w:val="24"/>
          <w:szCs w:val="24"/>
        </w:rPr>
        <w:t>seră</w:t>
      </w:r>
      <w:proofErr w:type="spellEnd"/>
      <w:r w:rsidRPr="007B5F30">
        <w:rPr>
          <w:rFonts w:ascii="Times New Roman" w:hAnsi="Times New Roman" w:cs="Times New Roman"/>
          <w:i/>
          <w:sz w:val="24"/>
          <w:szCs w:val="24"/>
        </w:rPr>
        <w:t>.</w:t>
      </w:r>
    </w:p>
    <w:p w:rsidR="00295CFA" w:rsidRDefault="00295CFA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Decizia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Comisiei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lansare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cererilor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propuneri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include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cel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puțin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următoarele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95CFA" w:rsidRDefault="00295CFA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295CFA">
        <w:rPr>
          <w:rFonts w:ascii="Times New Roman" w:hAnsi="Times New Roman" w:cs="Times New Roman"/>
          <w:i/>
          <w:sz w:val="24"/>
          <w:szCs w:val="24"/>
        </w:rPr>
        <w:t>suma</w:t>
      </w:r>
      <w:proofErr w:type="spellEnd"/>
      <w:proofErr w:type="gram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totală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sprijinului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acordat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disponib</w:t>
      </w:r>
      <w:r>
        <w:rPr>
          <w:rFonts w:ascii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cererea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propuneri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95CFA" w:rsidRDefault="00295CFA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Pr="00295CFA">
        <w:rPr>
          <w:rFonts w:ascii="Times New Roman" w:hAnsi="Times New Roman" w:cs="Times New Roman"/>
          <w:i/>
          <w:sz w:val="24"/>
          <w:szCs w:val="24"/>
        </w:rPr>
        <w:t>suma</w:t>
      </w:r>
      <w:proofErr w:type="spellEnd"/>
      <w:proofErr w:type="gram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maximă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sprijinului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acordat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disponibil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acordarea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asistență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dezvoltarea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proiecte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295CFA" w:rsidRDefault="00295CFA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Pr="00295CFA">
        <w:rPr>
          <w:rFonts w:ascii="Times New Roman" w:hAnsi="Times New Roman" w:cs="Times New Roman"/>
          <w:i/>
          <w:sz w:val="24"/>
          <w:szCs w:val="24"/>
        </w:rPr>
        <w:t>tipurile</w:t>
      </w:r>
      <w:proofErr w:type="spellEnd"/>
      <w:proofErr w:type="gram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</w:t>
      </w:r>
      <w:r>
        <w:rPr>
          <w:rFonts w:ascii="Times New Roman" w:hAnsi="Times New Roman" w:cs="Times New Roman"/>
          <w:i/>
          <w:sz w:val="24"/>
          <w:szCs w:val="24"/>
        </w:rPr>
        <w:t>oiecte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sectoare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solicitate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1F5E" w:rsidRDefault="00295CFA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 xml:space="preserve">- </w:t>
      </w:r>
      <w:proofErr w:type="gramStart"/>
      <w:r w:rsidRPr="00295CFA"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descriere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procedurii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depunere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cererilor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listă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detaliată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informațiilor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documentației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prezentate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fiecare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etapă</w:t>
      </w:r>
      <w:proofErr w:type="spellEnd"/>
      <w:r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295CFA">
        <w:rPr>
          <w:rFonts w:ascii="Times New Roman" w:hAnsi="Times New Roman" w:cs="Times New Roman"/>
          <w:i/>
          <w:sz w:val="24"/>
          <w:szCs w:val="24"/>
        </w:rPr>
        <w:t>proce</w:t>
      </w:r>
      <w:r>
        <w:rPr>
          <w:rFonts w:ascii="Times New Roman" w:hAnsi="Times New Roman" w:cs="Times New Roman"/>
          <w:i/>
          <w:sz w:val="24"/>
          <w:szCs w:val="24"/>
        </w:rPr>
        <w:t>durii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depunere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cererilor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1F5E" w:rsidRDefault="00A11F5E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informații</w:t>
      </w:r>
      <w:proofErr w:type="spellEnd"/>
      <w:proofErr w:type="gram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detaliate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procedura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selecție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inclusiv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metodolo</w:t>
      </w:r>
      <w:r>
        <w:rPr>
          <w:rFonts w:ascii="Times New Roman" w:hAnsi="Times New Roman" w:cs="Times New Roman"/>
          <w:i/>
          <w:sz w:val="24"/>
          <w:szCs w:val="24"/>
        </w:rPr>
        <w:t>gia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evaluare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clasificare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1F5E" w:rsidRDefault="00A11F5E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proofErr w:type="gram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proofErr w:type="gram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specifice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depunere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cererilor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selecție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proiectele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mică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normele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re</w:t>
      </w:r>
      <w:r>
        <w:rPr>
          <w:rFonts w:ascii="Times New Roman" w:hAnsi="Times New Roman" w:cs="Times New Roman"/>
          <w:i/>
          <w:sz w:val="24"/>
          <w:szCs w:val="24"/>
        </w:rPr>
        <w:t>spectivele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proceduri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specifice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A11F5E" w:rsidRDefault="00A11F5E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Comisia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rezervă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proiectele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mică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o parte din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suma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totală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sprijinului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disponibilă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cererea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propune</w:t>
      </w:r>
      <w:r>
        <w:rPr>
          <w:rFonts w:ascii="Times New Roman" w:hAnsi="Times New Roman" w:cs="Times New Roman"/>
          <w:i/>
          <w:sz w:val="24"/>
          <w:szCs w:val="24"/>
        </w:rPr>
        <w:t>ri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valoarea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părții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respective;</w:t>
      </w:r>
    </w:p>
    <w:p w:rsidR="007B5F30" w:rsidRDefault="00A11F5E" w:rsidP="001748AE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care se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aplică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criterii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selecție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suplimentare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vederea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distribuții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echilibrate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punct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vedere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geografic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sprijinului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acordat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Fondul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295CFA" w:rsidRPr="00295CFA">
        <w:rPr>
          <w:rFonts w:ascii="Times New Roman" w:hAnsi="Times New Roman" w:cs="Times New Roman"/>
          <w:i/>
          <w:sz w:val="24"/>
          <w:szCs w:val="24"/>
        </w:rPr>
        <w:t>criteriile</w:t>
      </w:r>
      <w:proofErr w:type="spellEnd"/>
      <w:r w:rsidR="00295CFA" w:rsidRPr="00295CFA">
        <w:rPr>
          <w:rFonts w:ascii="Times New Roman" w:hAnsi="Times New Roman" w:cs="Times New Roman"/>
          <w:i/>
          <w:sz w:val="24"/>
          <w:szCs w:val="24"/>
        </w:rPr>
        <w:t xml:space="preserve"> respective.</w:t>
      </w:r>
    </w:p>
    <w:p w:rsidR="001748AE" w:rsidRPr="00A11F5E" w:rsidRDefault="00A11F5E" w:rsidP="00A11F5E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etapa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exprimare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interesului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inițiatorul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prezinte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descriere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principalelor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caracteristici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conformitate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cerințele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prevăzute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cererea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propuneri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relevantă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inclusiv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descrierea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eficacității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gradului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gradului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maturitate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748AE" w:rsidRDefault="00A11F5E" w:rsidP="0074742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Î</w:t>
      </w:r>
      <w:r w:rsidRPr="00A11F5E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etapa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depunere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cererii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complete</w:t>
      </w:r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inițiatorul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proofErr w:type="gram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prezinte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descriere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detaliată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toate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documentele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justificative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inclusiv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planul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schimbul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cunoștințe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>.</w:t>
      </w:r>
    </w:p>
    <w:p w:rsidR="00A11F5E" w:rsidRDefault="00A11F5E" w:rsidP="00747420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proiectele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la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scară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mică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se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aplica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o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procedură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simplificată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depunere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cererilor</w:t>
      </w:r>
      <w:proofErr w:type="spellEnd"/>
      <w:r w:rsidR="00255D43">
        <w:rPr>
          <w:rFonts w:ascii="Times New Roman" w:hAnsi="Times New Roman" w:cs="Times New Roman"/>
          <w:i/>
          <w:sz w:val="24"/>
          <w:szCs w:val="24"/>
        </w:rPr>
        <w:t>.</w:t>
      </w:r>
      <w:proofErr w:type="gramEnd"/>
    </w:p>
    <w:p w:rsidR="00255D43" w:rsidRDefault="00255D43" w:rsidP="00747420">
      <w:pPr>
        <w:rPr>
          <w:rFonts w:ascii="Times New Roman" w:hAnsi="Times New Roman" w:cs="Times New Roman"/>
          <w:i/>
          <w:sz w:val="24"/>
          <w:szCs w:val="24"/>
        </w:rPr>
      </w:pPr>
    </w:p>
    <w:p w:rsidR="00255D43" w:rsidRDefault="00255D43" w:rsidP="007474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drawing>
          <wp:inline distT="0" distB="0" distL="0" distR="0">
            <wp:extent cx="5695950" cy="2240581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4EAB3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0276" cy="2242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43" w:rsidRDefault="00255D43" w:rsidP="00747420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11F5E" w:rsidRPr="00A11F5E" w:rsidRDefault="00A11F5E" w:rsidP="00696A4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lastRenderedPageBreak/>
        <w:t>Criterii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b/>
          <w:i/>
          <w:sz w:val="24"/>
          <w:szCs w:val="24"/>
        </w:rPr>
        <w:t>selecție</w:t>
      </w:r>
      <w:proofErr w:type="spellEnd"/>
      <w:r w:rsidRPr="00A11F5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11F5E" w:rsidRDefault="00A11F5E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F5E">
        <w:rPr>
          <w:rFonts w:ascii="Times New Roman" w:hAnsi="Times New Roman" w:cs="Times New Roman"/>
          <w:i/>
          <w:sz w:val="24"/>
          <w:szCs w:val="24"/>
        </w:rPr>
        <w:t xml:space="preserve">a)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eficacitatea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privește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potențialul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evitare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emisiilor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gaze cu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efect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seră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comparație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valorile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referință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menționate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articolul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10a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alineatul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(2) din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Directiva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2003/87/CE; </w:t>
      </w:r>
    </w:p>
    <w:p w:rsidR="00A11F5E" w:rsidRDefault="00A11F5E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F5E">
        <w:rPr>
          <w:rFonts w:ascii="Times New Roman" w:hAnsi="Times New Roman" w:cs="Times New Roman"/>
          <w:i/>
          <w:sz w:val="24"/>
          <w:szCs w:val="24"/>
        </w:rPr>
        <w:t xml:space="preserve">(b) </w:t>
      </w:r>
      <w:proofErr w:type="spellStart"/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gradul</w:t>
      </w:r>
      <w:proofErr w:type="spellEnd"/>
      <w:proofErr w:type="gram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al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proiectelor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stadiul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actual al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tehnologiei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A11F5E" w:rsidRDefault="00A11F5E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F5E">
        <w:rPr>
          <w:rFonts w:ascii="Times New Roman" w:hAnsi="Times New Roman" w:cs="Times New Roman"/>
          <w:i/>
          <w:sz w:val="24"/>
          <w:szCs w:val="24"/>
        </w:rPr>
        <w:t xml:space="preserve">(c) </w:t>
      </w:r>
      <w:proofErr w:type="spellStart"/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maturitatea</w:t>
      </w:r>
      <w:proofErr w:type="spellEnd"/>
      <w:proofErr w:type="gram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privește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planificarea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modelul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afaceri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structura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financiară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juridică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precum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perspectiva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realiza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închiderea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financiară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într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-un interval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timp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predefinit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nu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depășească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patru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ani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la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decizia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acordare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sprijinului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A11F5E" w:rsidRDefault="00A11F5E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F5E">
        <w:rPr>
          <w:rFonts w:ascii="Times New Roman" w:hAnsi="Times New Roman" w:cs="Times New Roman"/>
          <w:i/>
          <w:sz w:val="24"/>
          <w:szCs w:val="24"/>
        </w:rPr>
        <w:t xml:space="preserve">(d) </w:t>
      </w:r>
      <w:proofErr w:type="spellStart"/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potențialul</w:t>
      </w:r>
      <w:proofErr w:type="spellEnd"/>
      <w:proofErr w:type="gram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tehnic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comercial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aplicații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scară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largă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replicare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pentru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reduceri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viitoare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costurilor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; </w:t>
      </w:r>
    </w:p>
    <w:p w:rsidR="00A11F5E" w:rsidRDefault="00A11F5E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1F5E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eficiența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privește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costurile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relevante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minus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orice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contribuție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costurile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respective din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partea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inițiatorului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împărțită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la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cantitatea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totală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estimată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emisiilor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gaze cu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efect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seră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trebuie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evitată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energia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urmează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produsă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stocată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CO2 care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urmează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fie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stocat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primii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10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ani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funcționare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>.</w:t>
      </w:r>
    </w:p>
    <w:p w:rsidR="00255D43" w:rsidRPr="00A11F5E" w:rsidRDefault="00255D43" w:rsidP="00696A4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55D43" w:rsidRDefault="00A11F5E" w:rsidP="00696A47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organismul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execuție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concluzionat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11F5E">
        <w:rPr>
          <w:rFonts w:ascii="Times New Roman" w:hAnsi="Times New Roman" w:cs="Times New Roman"/>
          <w:i/>
          <w:sz w:val="24"/>
          <w:szCs w:val="24"/>
        </w:rPr>
        <w:t>un</w:t>
      </w:r>
      <w:proofErr w:type="gram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îndeplinește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criteriile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selecție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b), dar nu c),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organismul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execuție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poate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acorda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11F5E">
        <w:rPr>
          <w:rFonts w:ascii="Times New Roman" w:hAnsi="Times New Roman" w:cs="Times New Roman"/>
          <w:i/>
          <w:sz w:val="24"/>
          <w:szCs w:val="24"/>
        </w:rPr>
        <w:t>cauză</w:t>
      </w:r>
      <w:proofErr w:type="spellEnd"/>
      <w:r w:rsidRPr="00A11F5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b/>
          <w:i/>
          <w:sz w:val="24"/>
          <w:szCs w:val="24"/>
        </w:rPr>
        <w:t>asistență</w:t>
      </w:r>
      <w:proofErr w:type="spellEnd"/>
      <w:r w:rsidRPr="004420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b/>
          <w:i/>
          <w:sz w:val="24"/>
          <w:szCs w:val="24"/>
        </w:rPr>
        <w:t>pentru</w:t>
      </w:r>
      <w:proofErr w:type="spellEnd"/>
      <w:r w:rsidRPr="004420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42065">
        <w:rPr>
          <w:rFonts w:ascii="Times New Roman" w:hAnsi="Times New Roman" w:cs="Times New Roman"/>
          <w:b/>
          <w:i/>
          <w:sz w:val="24"/>
          <w:szCs w:val="24"/>
        </w:rPr>
        <w:t>dezvoltare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raport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potențialul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gradul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inovare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care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îl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evaluează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în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respectivul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proiect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Următoarele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activități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pot fi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finanțate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prin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intermediul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asistenței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pen</w:t>
      </w:r>
      <w:r w:rsidR="00442065">
        <w:rPr>
          <w:rFonts w:ascii="Times New Roman" w:hAnsi="Times New Roman" w:cs="Times New Roman"/>
          <w:i/>
          <w:sz w:val="24"/>
          <w:szCs w:val="24"/>
        </w:rPr>
        <w:t>tru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dezvoltarea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proiecte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>:</w:t>
      </w:r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îmbunătățirea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dezv</w:t>
      </w:r>
      <w:r w:rsidR="00255D43">
        <w:rPr>
          <w:rFonts w:ascii="Times New Roman" w:hAnsi="Times New Roman" w:cs="Times New Roman"/>
          <w:i/>
          <w:sz w:val="24"/>
          <w:szCs w:val="24"/>
        </w:rPr>
        <w:t>oltarea</w:t>
      </w:r>
      <w:proofErr w:type="spellEnd"/>
      <w:r w:rsidR="00255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5D43">
        <w:rPr>
          <w:rFonts w:ascii="Times New Roman" w:hAnsi="Times New Roman" w:cs="Times New Roman"/>
          <w:i/>
          <w:sz w:val="24"/>
          <w:szCs w:val="24"/>
        </w:rPr>
        <w:t>unei</w:t>
      </w:r>
      <w:proofErr w:type="spellEnd"/>
      <w:r w:rsidR="00255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55D43">
        <w:rPr>
          <w:rFonts w:ascii="Times New Roman" w:hAnsi="Times New Roman" w:cs="Times New Roman"/>
          <w:i/>
          <w:sz w:val="24"/>
          <w:szCs w:val="24"/>
        </w:rPr>
        <w:t>documentații</w:t>
      </w:r>
      <w:proofErr w:type="spellEnd"/>
      <w:r w:rsidR="00255D4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aferente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sau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unor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elemente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ale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conceperii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, cu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scopul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de a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asigura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un grad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suficient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42065">
        <w:rPr>
          <w:rFonts w:ascii="Times New Roman" w:hAnsi="Times New Roman" w:cs="Times New Roman"/>
          <w:i/>
          <w:sz w:val="24"/>
          <w:szCs w:val="24"/>
        </w:rPr>
        <w:t xml:space="preserve">de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maturitate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>;</w:t>
      </w:r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evaluarea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fezabilității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inclusiv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st</w:t>
      </w:r>
      <w:r w:rsidR="00442065">
        <w:rPr>
          <w:rFonts w:ascii="Times New Roman" w:hAnsi="Times New Roman" w:cs="Times New Roman"/>
          <w:i/>
          <w:sz w:val="24"/>
          <w:szCs w:val="24"/>
        </w:rPr>
        <w:t>udiile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tehnice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economice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>;</w:t>
      </w:r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consiliere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privind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structura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financiar</w:t>
      </w:r>
      <w:r w:rsidR="00442065">
        <w:rPr>
          <w:rFonts w:ascii="Times New Roman" w:hAnsi="Times New Roman" w:cs="Times New Roman"/>
          <w:i/>
          <w:sz w:val="24"/>
          <w:szCs w:val="24"/>
        </w:rPr>
        <w:t>ă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și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juridică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 a </w:t>
      </w:r>
      <w:proofErr w:type="spellStart"/>
      <w:r w:rsid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>
        <w:rPr>
          <w:rFonts w:ascii="Times New Roman" w:hAnsi="Times New Roman" w:cs="Times New Roman"/>
          <w:i/>
          <w:sz w:val="24"/>
          <w:szCs w:val="24"/>
        </w:rPr>
        <w:t xml:space="preserve">;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consolidarea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capacității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inițiatorului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42065" w:rsidRPr="00442065">
        <w:rPr>
          <w:rFonts w:ascii="Times New Roman" w:hAnsi="Times New Roman" w:cs="Times New Roman"/>
          <w:i/>
          <w:sz w:val="24"/>
          <w:szCs w:val="24"/>
        </w:rPr>
        <w:t>proiectului</w:t>
      </w:r>
      <w:proofErr w:type="spellEnd"/>
      <w:r w:rsidR="00442065" w:rsidRPr="00442065">
        <w:rPr>
          <w:rFonts w:ascii="Times New Roman" w:hAnsi="Times New Roman" w:cs="Times New Roman"/>
          <w:i/>
          <w:sz w:val="24"/>
          <w:szCs w:val="24"/>
        </w:rPr>
        <w:t>.</w:t>
      </w:r>
    </w:p>
    <w:p w:rsidR="00255D43" w:rsidRDefault="00255D43" w:rsidP="0074742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en-GB"/>
        </w:rPr>
        <w:drawing>
          <wp:inline distT="0" distB="0" distL="0" distR="0" wp14:anchorId="67DD9D22" wp14:editId="3BE2156B">
            <wp:extent cx="4883150" cy="27051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D4B584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2056" cy="2704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D43" w:rsidRDefault="00255D43" w:rsidP="00747420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eGrid"/>
        <w:tblW w:w="883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32"/>
      </w:tblGrid>
      <w:tr w:rsidR="00255D43" w:rsidTr="00E63D21">
        <w:trPr>
          <w:trHeight w:val="3678"/>
        </w:trPr>
        <w:tc>
          <w:tcPr>
            <w:tcW w:w="8832" w:type="dxa"/>
            <w:shd w:val="clear" w:color="auto" w:fill="F2F2F2" w:themeFill="background1" w:themeFillShade="F2"/>
          </w:tcPr>
          <w:p w:rsidR="00255D43" w:rsidRPr="008E7D05" w:rsidRDefault="00255D43" w:rsidP="00E63D21">
            <w:pPr>
              <w:jc w:val="both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Comisia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Europeană</w:t>
            </w:r>
            <w:proofErr w:type="spellEnd"/>
            <w:r w:rsid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lansa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primul</w:t>
            </w:r>
            <w:proofErr w:type="spellEnd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apel</w:t>
            </w:r>
            <w:proofErr w:type="spellEnd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în</w:t>
            </w:r>
            <w:proofErr w:type="spellEnd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luna</w:t>
            </w:r>
            <w:proofErr w:type="spellEnd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696A47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iulie</w:t>
            </w:r>
            <w:proofErr w:type="spellEnd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, </w:t>
            </w:r>
            <w:proofErr w:type="spellStart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deschis</w:t>
            </w:r>
            <w:proofErr w:type="spellEnd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</w:t>
            </w:r>
            <w:proofErr w:type="spellStart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pentru</w:t>
            </w:r>
            <w:proofErr w:type="spellEnd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o </w:t>
            </w:r>
            <w:proofErr w:type="spellStart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perioadă</w:t>
            </w:r>
            <w:proofErr w:type="spellEnd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 xml:space="preserve"> de 3 </w:t>
            </w:r>
            <w:proofErr w:type="spellStart"/>
            <w:r w:rsidR="00BD7CA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  <w:u w:val="single"/>
              </w:rPr>
              <w:t>luni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Inițiatorii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proiectelor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vor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solicita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finanțare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prin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intermediul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cererilor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depuse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direct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platforma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Comisiei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Înainte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adoptarea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Deciziei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lansare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a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apelului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care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cuprinde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date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specifice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cu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privire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la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procedura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depunere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a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cererilor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finanțare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Comisia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consulta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statele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membre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cu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privire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la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proiectul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Decizie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.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Ministerul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Energiei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Economiei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și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Mediului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Afaceri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prin</w:t>
            </w:r>
            <w:proofErr w:type="spellEnd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Direcția</w:t>
            </w:r>
            <w:proofErr w:type="spellEnd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Eficiență</w:t>
            </w:r>
            <w:proofErr w:type="spellEnd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AA14B6"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Energetică</w:t>
            </w:r>
            <w:proofErr w:type="spellEnd"/>
            <w:r w:rsidRPr="00AA14B6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este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punct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de contact.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Astfel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în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cursul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lunii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iunie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vom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transmite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informațiile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detaliate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în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Decizia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Comisiei</w:t>
            </w:r>
            <w:proofErr w:type="spellEnd"/>
            <w:r w:rsidRPr="008E7D05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.</w:t>
            </w:r>
          </w:p>
          <w:p w:rsidR="00255D43" w:rsidRDefault="00255D43" w:rsidP="00E63D2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Vă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rugăm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să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accesați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următorul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link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informații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utile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această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etapă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:rsidR="00255D43" w:rsidRDefault="00C43B7F" w:rsidP="00E63D21">
            <w:pPr>
              <w:jc w:val="both"/>
            </w:pPr>
            <w:hyperlink r:id="rId11" w:history="1">
              <w:r w:rsidR="00255D43" w:rsidRPr="00166026">
                <w:rPr>
                  <w:color w:val="0000FF"/>
                  <w:u w:val="single"/>
                </w:rPr>
                <w:t>https://ec.europa.eu/clima/policies/innovation-fund_en</w:t>
              </w:r>
            </w:hyperlink>
          </w:p>
          <w:p w:rsidR="00255D43" w:rsidRPr="00A36B35" w:rsidRDefault="00255D43" w:rsidP="00E63D2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Vă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mulțumim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interes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și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așteptăm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propunerile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dumneavoastră</w:t>
            </w:r>
            <w:proofErr w:type="spellEnd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la</w:t>
            </w:r>
            <w:r w:rsidRPr="00A36B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9C0648">
              <w:rPr>
                <w:rFonts w:ascii="Times New Roman" w:hAnsi="Times New Roman" w:cs="Times New Roman"/>
                <w:i/>
                <w:sz w:val="24"/>
                <w:szCs w:val="24"/>
              </w:rPr>
              <w:t>adresa</w:t>
            </w:r>
            <w:proofErr w:type="spellEnd"/>
            <w:r w:rsidRPr="00A36B3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55D43" w:rsidRPr="00255D43" w:rsidRDefault="00C43B7F" w:rsidP="00E63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55D43" w:rsidRPr="00F92C09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secretariatdee@energie.gov.ro</w:t>
              </w:r>
            </w:hyperlink>
          </w:p>
          <w:p w:rsidR="00255D43" w:rsidRPr="00A36B35" w:rsidRDefault="00255D43" w:rsidP="00E63D21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Date de contact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  <w:proofErr w:type="gramEnd"/>
            <w:r w:rsidRPr="00A36B35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Adresa</w:t>
            </w:r>
            <w:proofErr w:type="spellEnd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: </w:t>
            </w:r>
            <w:proofErr w:type="spellStart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Splaiul</w:t>
            </w:r>
            <w:proofErr w:type="spellEnd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Independenței</w:t>
            </w:r>
            <w:proofErr w:type="spellEnd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nr</w:t>
            </w:r>
            <w:proofErr w:type="spellEnd"/>
            <w:r w:rsidRPr="00A36B3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. 202E, sector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6,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București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, cod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poștal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060023</w:t>
            </w:r>
          </w:p>
          <w:p w:rsidR="00255D43" w:rsidRPr="00255D43" w:rsidRDefault="00255D43" w:rsidP="00E63D21">
            <w:pPr>
              <w:jc w:val="both"/>
            </w:pPr>
            <w:r w:rsidRPr="00A36B35">
              <w:rPr>
                <w:rFonts w:ascii="Times New Roman" w:hAnsi="Times New Roman" w:cs="Times New Roman"/>
                <w:i/>
                <w:sz w:val="24"/>
                <w:szCs w:val="24"/>
              </w:rPr>
              <w:t>www.economie.gov.ro</w:t>
            </w:r>
          </w:p>
        </w:tc>
      </w:tr>
    </w:tbl>
    <w:p w:rsidR="00C771CB" w:rsidRPr="00EA5A33" w:rsidRDefault="00C771CB" w:rsidP="00C771CB">
      <w:pPr>
        <w:rPr>
          <w:rFonts w:ascii="Times New Roman" w:hAnsi="Times New Roman" w:cs="Times New Roman"/>
          <w:b/>
          <w:sz w:val="24"/>
          <w:szCs w:val="24"/>
        </w:rPr>
      </w:pPr>
    </w:p>
    <w:sectPr w:rsidR="00C771CB" w:rsidRPr="00EA5A33" w:rsidSect="001748AE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7F" w:rsidRDefault="00C43B7F" w:rsidP="001C59E6">
      <w:pPr>
        <w:spacing w:after="0" w:line="240" w:lineRule="auto"/>
      </w:pPr>
      <w:r>
        <w:separator/>
      </w:r>
    </w:p>
  </w:endnote>
  <w:endnote w:type="continuationSeparator" w:id="0">
    <w:p w:rsidR="00C43B7F" w:rsidRDefault="00C43B7F" w:rsidP="001C5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780642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D05" w:rsidRDefault="008E7D0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14B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8E7D05" w:rsidRDefault="008E7D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7F" w:rsidRDefault="00C43B7F" w:rsidP="001C59E6">
      <w:pPr>
        <w:spacing w:after="0" w:line="240" w:lineRule="auto"/>
      </w:pPr>
      <w:r>
        <w:separator/>
      </w:r>
    </w:p>
  </w:footnote>
  <w:footnote w:type="continuationSeparator" w:id="0">
    <w:p w:rsidR="00C43B7F" w:rsidRDefault="00C43B7F" w:rsidP="001C5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D05" w:rsidRDefault="008E7D05">
    <w:pPr>
      <w:pStyle w:val="Header"/>
    </w:pPr>
    <w:r w:rsidRPr="00415EFB">
      <w:rPr>
        <w:rFonts w:ascii="Calibri" w:eastAsia="Calibri" w:hAnsi="Calibri" w:cs="Times New Roman"/>
        <w:noProof/>
        <w:lang w:eastAsia="en-GB"/>
      </w:rPr>
      <w:drawing>
        <wp:inline distT="0" distB="0" distL="0" distR="0" wp14:anchorId="4F5A91D0" wp14:editId="6098B95E">
          <wp:extent cx="4017645" cy="914400"/>
          <wp:effectExtent l="0" t="0" r="190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764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83D"/>
    <w:multiLevelType w:val="hybridMultilevel"/>
    <w:tmpl w:val="C6A07AB6"/>
    <w:lvl w:ilvl="0" w:tplc="BB1468D4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0302B44"/>
    <w:multiLevelType w:val="hybridMultilevel"/>
    <w:tmpl w:val="2FECE9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9B143F7"/>
    <w:multiLevelType w:val="hybridMultilevel"/>
    <w:tmpl w:val="FBA201A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4">
    <w:nsid w:val="1D5A45D8"/>
    <w:multiLevelType w:val="hybridMultilevel"/>
    <w:tmpl w:val="BB32FA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25CC4BD9"/>
    <w:multiLevelType w:val="hybridMultilevel"/>
    <w:tmpl w:val="ECBC8CDE"/>
    <w:lvl w:ilvl="0" w:tplc="BB1468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06543FF"/>
    <w:multiLevelType w:val="hybridMultilevel"/>
    <w:tmpl w:val="E200CF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661C63"/>
    <w:multiLevelType w:val="hybridMultilevel"/>
    <w:tmpl w:val="CD2487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25E4D74"/>
    <w:multiLevelType w:val="hybridMultilevel"/>
    <w:tmpl w:val="4B44C0B0"/>
    <w:lvl w:ilvl="0" w:tplc="BB1468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4A94713"/>
    <w:multiLevelType w:val="hybridMultilevel"/>
    <w:tmpl w:val="3C5632B0"/>
    <w:lvl w:ilvl="0" w:tplc="46885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30FD3"/>
    <w:multiLevelType w:val="hybridMultilevel"/>
    <w:tmpl w:val="A9B2B9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1414C01"/>
    <w:multiLevelType w:val="hybridMultilevel"/>
    <w:tmpl w:val="F3082534"/>
    <w:lvl w:ilvl="0" w:tplc="BB1468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7D40F5"/>
    <w:multiLevelType w:val="hybridMultilevel"/>
    <w:tmpl w:val="6AC2329C"/>
    <w:lvl w:ilvl="0" w:tplc="BB1468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0E41AD"/>
    <w:multiLevelType w:val="hybridMultilevel"/>
    <w:tmpl w:val="85CEC40E"/>
    <w:lvl w:ilvl="0" w:tplc="BB1468D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6">
    <w:nsid w:val="7F301922"/>
    <w:multiLevelType w:val="hybridMultilevel"/>
    <w:tmpl w:val="D98A2D80"/>
    <w:lvl w:ilvl="0" w:tplc="BB1468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7"/>
  </w:num>
  <w:num w:numId="9">
    <w:abstractNumId w:val="8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4"/>
  </w:num>
  <w:num w:numId="13">
    <w:abstractNumId w:val="2"/>
  </w:num>
  <w:num w:numId="14">
    <w:abstractNumId w:val="11"/>
  </w:num>
  <w:num w:numId="15">
    <w:abstractNumId w:val="13"/>
  </w:num>
  <w:num w:numId="16">
    <w:abstractNumId w:val="0"/>
  </w:num>
  <w:num w:numId="17">
    <w:abstractNumId w:val="6"/>
  </w:num>
  <w:num w:numId="18">
    <w:abstractNumId w:val="9"/>
  </w:num>
  <w:num w:numId="19">
    <w:abstractNumId w:val="12"/>
  </w:num>
  <w:num w:numId="20">
    <w:abstractNumId w:val="14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F75"/>
    <w:rsid w:val="000127A2"/>
    <w:rsid w:val="000263FD"/>
    <w:rsid w:val="00027E85"/>
    <w:rsid w:val="000320DD"/>
    <w:rsid w:val="00062785"/>
    <w:rsid w:val="0008501B"/>
    <w:rsid w:val="00131493"/>
    <w:rsid w:val="00135F75"/>
    <w:rsid w:val="00166026"/>
    <w:rsid w:val="001748AE"/>
    <w:rsid w:val="001C59E6"/>
    <w:rsid w:val="001D3727"/>
    <w:rsid w:val="001E1EF8"/>
    <w:rsid w:val="00255D43"/>
    <w:rsid w:val="002633D8"/>
    <w:rsid w:val="00277D6D"/>
    <w:rsid w:val="00281162"/>
    <w:rsid w:val="00295CFA"/>
    <w:rsid w:val="0031233D"/>
    <w:rsid w:val="003223C7"/>
    <w:rsid w:val="003E26A0"/>
    <w:rsid w:val="00415EFB"/>
    <w:rsid w:val="00430081"/>
    <w:rsid w:val="00442065"/>
    <w:rsid w:val="00444FD0"/>
    <w:rsid w:val="00463FFC"/>
    <w:rsid w:val="00481FF4"/>
    <w:rsid w:val="00485BC0"/>
    <w:rsid w:val="005254F0"/>
    <w:rsid w:val="0057606F"/>
    <w:rsid w:val="005826D9"/>
    <w:rsid w:val="00595393"/>
    <w:rsid w:val="005A1AE8"/>
    <w:rsid w:val="005D2217"/>
    <w:rsid w:val="00656129"/>
    <w:rsid w:val="00660D82"/>
    <w:rsid w:val="006948E8"/>
    <w:rsid w:val="00696A47"/>
    <w:rsid w:val="006B1804"/>
    <w:rsid w:val="00747420"/>
    <w:rsid w:val="007529A8"/>
    <w:rsid w:val="00773760"/>
    <w:rsid w:val="00776C73"/>
    <w:rsid w:val="007B08A7"/>
    <w:rsid w:val="007B2577"/>
    <w:rsid w:val="007B4B36"/>
    <w:rsid w:val="007B5F30"/>
    <w:rsid w:val="007F55AC"/>
    <w:rsid w:val="00806483"/>
    <w:rsid w:val="00870C43"/>
    <w:rsid w:val="008C505C"/>
    <w:rsid w:val="008D4BBB"/>
    <w:rsid w:val="008E382D"/>
    <w:rsid w:val="008E7D05"/>
    <w:rsid w:val="008F0E39"/>
    <w:rsid w:val="00991A62"/>
    <w:rsid w:val="0099748C"/>
    <w:rsid w:val="009A2800"/>
    <w:rsid w:val="009C0648"/>
    <w:rsid w:val="00A11F5E"/>
    <w:rsid w:val="00A20F6D"/>
    <w:rsid w:val="00A32127"/>
    <w:rsid w:val="00A36B35"/>
    <w:rsid w:val="00AA14B6"/>
    <w:rsid w:val="00B016B9"/>
    <w:rsid w:val="00B41CC3"/>
    <w:rsid w:val="00B8103A"/>
    <w:rsid w:val="00BA1D29"/>
    <w:rsid w:val="00BD30C1"/>
    <w:rsid w:val="00BD7CA6"/>
    <w:rsid w:val="00C43B7F"/>
    <w:rsid w:val="00C771CB"/>
    <w:rsid w:val="00C85D43"/>
    <w:rsid w:val="00CD2867"/>
    <w:rsid w:val="00D16BBD"/>
    <w:rsid w:val="00E22D1E"/>
    <w:rsid w:val="00E25EAE"/>
    <w:rsid w:val="00E43E28"/>
    <w:rsid w:val="00E55703"/>
    <w:rsid w:val="00E61D17"/>
    <w:rsid w:val="00EA5A33"/>
    <w:rsid w:val="00EF5FCD"/>
    <w:rsid w:val="00F16364"/>
    <w:rsid w:val="00FC6EC8"/>
    <w:rsid w:val="00FE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CB"/>
    <w:pPr>
      <w:ind w:left="720"/>
      <w:contextualSpacing/>
    </w:pPr>
  </w:style>
  <w:style w:type="paragraph" w:customStyle="1" w:styleId="Point0number">
    <w:name w:val="Point 0 (number)"/>
    <w:basedOn w:val="Normal"/>
    <w:rsid w:val="00656129"/>
    <w:pPr>
      <w:numPr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1number">
    <w:name w:val="Point 1 (number)"/>
    <w:basedOn w:val="Normal"/>
    <w:rsid w:val="00656129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number">
    <w:name w:val="Point 2 (number)"/>
    <w:basedOn w:val="Normal"/>
    <w:rsid w:val="00656129"/>
    <w:pPr>
      <w:numPr>
        <w:ilvl w:val="4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number">
    <w:name w:val="Point 3 (number)"/>
    <w:basedOn w:val="Normal"/>
    <w:rsid w:val="00656129"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0letter">
    <w:name w:val="Point 0 (letter)"/>
    <w:basedOn w:val="Normal"/>
    <w:rsid w:val="0065612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1letter">
    <w:name w:val="Point 1 (letter)"/>
    <w:basedOn w:val="Normal"/>
    <w:rsid w:val="00656129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letter">
    <w:name w:val="Point 2 (letter)"/>
    <w:basedOn w:val="Normal"/>
    <w:rsid w:val="00656129"/>
    <w:pPr>
      <w:numPr>
        <w:ilvl w:val="5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letter">
    <w:name w:val="Point 3 (letter)"/>
    <w:basedOn w:val="Normal"/>
    <w:rsid w:val="00656129"/>
    <w:pPr>
      <w:numPr>
        <w:ilvl w:val="7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4letter">
    <w:name w:val="Point 4 (letter)"/>
    <w:basedOn w:val="Normal"/>
    <w:rsid w:val="00656129"/>
    <w:pPr>
      <w:numPr>
        <w:ilvl w:val="8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1">
    <w:name w:val="NumPar 1"/>
    <w:basedOn w:val="Normal"/>
    <w:next w:val="Normal"/>
    <w:rsid w:val="007B08A7"/>
    <w:pPr>
      <w:numPr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2">
    <w:name w:val="NumPar 2"/>
    <w:basedOn w:val="Normal"/>
    <w:next w:val="Normal"/>
    <w:rsid w:val="007B08A7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3">
    <w:name w:val="NumPar 3"/>
    <w:basedOn w:val="Normal"/>
    <w:next w:val="Normal"/>
    <w:rsid w:val="007B08A7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4">
    <w:name w:val="NumPar 4"/>
    <w:basedOn w:val="Normal"/>
    <w:next w:val="Normal"/>
    <w:rsid w:val="007B08A7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9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9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9E6"/>
    <w:rPr>
      <w:shd w:val="clear" w:color="auto" w:fill="auto"/>
      <w:vertAlign w:val="superscript"/>
    </w:rPr>
  </w:style>
  <w:style w:type="paragraph" w:customStyle="1" w:styleId="Tiret2">
    <w:name w:val="Tiret 2"/>
    <w:basedOn w:val="Normal"/>
    <w:rsid w:val="001C59E6"/>
    <w:pPr>
      <w:numPr>
        <w:numId w:val="10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1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FB"/>
  </w:style>
  <w:style w:type="paragraph" w:styleId="Footer">
    <w:name w:val="footer"/>
    <w:basedOn w:val="Normal"/>
    <w:link w:val="FooterChar"/>
    <w:uiPriority w:val="99"/>
    <w:unhideWhenUsed/>
    <w:rsid w:val="0041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FB"/>
  </w:style>
  <w:style w:type="paragraph" w:styleId="BalloonText">
    <w:name w:val="Balloon Text"/>
    <w:basedOn w:val="Normal"/>
    <w:link w:val="BalloonTextChar"/>
    <w:uiPriority w:val="99"/>
    <w:semiHidden/>
    <w:unhideWhenUsed/>
    <w:rsid w:val="0041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F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5E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1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6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1CB"/>
    <w:pPr>
      <w:ind w:left="720"/>
      <w:contextualSpacing/>
    </w:pPr>
  </w:style>
  <w:style w:type="paragraph" w:customStyle="1" w:styleId="Point0number">
    <w:name w:val="Point 0 (number)"/>
    <w:basedOn w:val="Normal"/>
    <w:rsid w:val="00656129"/>
    <w:pPr>
      <w:numPr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1number">
    <w:name w:val="Point 1 (number)"/>
    <w:basedOn w:val="Normal"/>
    <w:rsid w:val="00656129"/>
    <w:pPr>
      <w:numPr>
        <w:ilvl w:val="2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number">
    <w:name w:val="Point 2 (number)"/>
    <w:basedOn w:val="Normal"/>
    <w:rsid w:val="00656129"/>
    <w:pPr>
      <w:numPr>
        <w:ilvl w:val="4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number">
    <w:name w:val="Point 3 (number)"/>
    <w:basedOn w:val="Normal"/>
    <w:rsid w:val="00656129"/>
    <w:pPr>
      <w:numPr>
        <w:ilvl w:val="6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0letter">
    <w:name w:val="Point 0 (letter)"/>
    <w:basedOn w:val="Normal"/>
    <w:rsid w:val="0065612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1letter">
    <w:name w:val="Point 1 (letter)"/>
    <w:basedOn w:val="Normal"/>
    <w:rsid w:val="00656129"/>
    <w:pPr>
      <w:numPr>
        <w:ilvl w:val="3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2letter">
    <w:name w:val="Point 2 (letter)"/>
    <w:basedOn w:val="Normal"/>
    <w:rsid w:val="00656129"/>
    <w:pPr>
      <w:numPr>
        <w:ilvl w:val="5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3letter">
    <w:name w:val="Point 3 (letter)"/>
    <w:basedOn w:val="Normal"/>
    <w:rsid w:val="00656129"/>
    <w:pPr>
      <w:numPr>
        <w:ilvl w:val="7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Point4letter">
    <w:name w:val="Point 4 (letter)"/>
    <w:basedOn w:val="Normal"/>
    <w:rsid w:val="00656129"/>
    <w:pPr>
      <w:numPr>
        <w:ilvl w:val="8"/>
        <w:numId w:val="2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1">
    <w:name w:val="NumPar 1"/>
    <w:basedOn w:val="Normal"/>
    <w:next w:val="Normal"/>
    <w:rsid w:val="007B08A7"/>
    <w:pPr>
      <w:numPr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2">
    <w:name w:val="NumPar 2"/>
    <w:basedOn w:val="Normal"/>
    <w:next w:val="Normal"/>
    <w:rsid w:val="007B08A7"/>
    <w:pPr>
      <w:numPr>
        <w:ilvl w:val="1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3">
    <w:name w:val="NumPar 3"/>
    <w:basedOn w:val="Normal"/>
    <w:next w:val="Normal"/>
    <w:rsid w:val="007B08A7"/>
    <w:pPr>
      <w:numPr>
        <w:ilvl w:val="2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customStyle="1" w:styleId="NumPar4">
    <w:name w:val="NumPar 4"/>
    <w:basedOn w:val="Normal"/>
    <w:next w:val="Normal"/>
    <w:rsid w:val="007B08A7"/>
    <w:pPr>
      <w:numPr>
        <w:ilvl w:val="3"/>
        <w:numId w:val="6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59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59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59E6"/>
    <w:rPr>
      <w:shd w:val="clear" w:color="auto" w:fill="auto"/>
      <w:vertAlign w:val="superscript"/>
    </w:rPr>
  </w:style>
  <w:style w:type="paragraph" w:customStyle="1" w:styleId="Tiret2">
    <w:name w:val="Tiret 2"/>
    <w:basedOn w:val="Normal"/>
    <w:rsid w:val="001C59E6"/>
    <w:pPr>
      <w:numPr>
        <w:numId w:val="10"/>
      </w:num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41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EFB"/>
  </w:style>
  <w:style w:type="paragraph" w:styleId="Footer">
    <w:name w:val="footer"/>
    <w:basedOn w:val="Normal"/>
    <w:link w:val="FooterChar"/>
    <w:uiPriority w:val="99"/>
    <w:unhideWhenUsed/>
    <w:rsid w:val="00415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EFB"/>
  </w:style>
  <w:style w:type="paragraph" w:styleId="BalloonText">
    <w:name w:val="Balloon Text"/>
    <w:basedOn w:val="Normal"/>
    <w:link w:val="BalloonTextChar"/>
    <w:uiPriority w:val="99"/>
    <w:semiHidden/>
    <w:unhideWhenUsed/>
    <w:rsid w:val="00415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EF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15E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5E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41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0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ecretariatdee@energie.gov.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c.europa.eu/clima/policies/innovation-fund_e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tmp"/><Relationship Id="rId4" Type="http://schemas.microsoft.com/office/2007/relationships/stylesWithEffects" Target="stylesWithEffects.xml"/><Relationship Id="rId9" Type="http://schemas.openxmlformats.org/officeDocument/2006/relationships/image" Target="media/image1.tmp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F66F0-E0DC-4817-934C-9EF25869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1903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</dc:creator>
  <cp:lastModifiedBy>MAI</cp:lastModifiedBy>
  <cp:revision>12</cp:revision>
  <dcterms:created xsi:type="dcterms:W3CDTF">2020-05-09T20:21:00Z</dcterms:created>
  <dcterms:modified xsi:type="dcterms:W3CDTF">2020-05-11T10:33:00Z</dcterms:modified>
</cp:coreProperties>
</file>