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415EFB" w:rsidRDefault="00415EFB" w:rsidP="00747420">
      <w:pPr>
        <w:rPr>
          <w:rFonts w:ascii="Times New Roman" w:hAnsi="Times New Roman" w:cs="Times New Roman"/>
          <w:b/>
          <w:i/>
          <w:sz w:val="24"/>
          <w:szCs w:val="24"/>
          <w:u w:val="single"/>
        </w:rPr>
      </w:pPr>
    </w:p>
    <w:p w:rsidR="00415EFB" w:rsidRDefault="00835040" w:rsidP="00415EFB">
      <w:pPr>
        <w:pStyle w:val="Title"/>
      </w:pPr>
      <w:r>
        <w:t>FONDUL PENTRU</w:t>
      </w:r>
      <w:r w:rsidR="00415EFB">
        <w:t xml:space="preserve"> MODERNIZARE</w:t>
      </w:r>
    </w:p>
    <w:p w:rsidR="00415EFB" w:rsidRDefault="00415EFB" w:rsidP="00747420">
      <w:pPr>
        <w:rPr>
          <w:rFonts w:ascii="Times New Roman" w:hAnsi="Times New Roman" w:cs="Times New Roman"/>
          <w:b/>
          <w:i/>
          <w:sz w:val="24"/>
          <w:szCs w:val="24"/>
          <w:u w:val="single"/>
        </w:rPr>
      </w:pPr>
    </w:p>
    <w:p w:rsidR="00415EFB" w:rsidRDefault="009A2800" w:rsidP="00747420">
      <w:pPr>
        <w:rPr>
          <w:rFonts w:ascii="Times New Roman" w:hAnsi="Times New Roman" w:cs="Times New Roman"/>
          <w:b/>
          <w:i/>
          <w:sz w:val="24"/>
          <w:szCs w:val="24"/>
          <w:u w:val="single"/>
          <w14:shadow w14:blurRad="50800" w14:dist="38100" w14:dir="10800000" w14:sx="100000" w14:sy="100000" w14:kx="0" w14:ky="0" w14:algn="r">
            <w14:srgbClr w14:val="000000">
              <w14:alpha w14:val="60000"/>
            </w14:srgbClr>
          </w14:shadow>
        </w:rPr>
      </w:pPr>
      <w:r w:rsidRPr="00415EFB">
        <w:rPr>
          <w:rFonts w:ascii="Times New Roman" w:hAnsi="Times New Roman" w:cs="Times New Roman"/>
          <w:b/>
          <w:i/>
          <w:sz w:val="24"/>
          <w:szCs w:val="24"/>
          <w:u w:val="single"/>
          <w14:shadow w14:blurRad="50800" w14:dist="38100" w14:dir="10800000" w14:sx="100000" w14:sy="100000" w14:kx="0" w14:ky="0" w14:algn="r">
            <w14:srgbClr w14:val="000000">
              <w14:alpha w14:val="60000"/>
            </w14:srgbClr>
          </w14:shadow>
        </w:rPr>
        <w:t xml:space="preserve">Prezentare </w:t>
      </w:r>
      <w:r w:rsidR="001748AE">
        <w:rPr>
          <w:rFonts w:ascii="Times New Roman" w:hAnsi="Times New Roman" w:cs="Times New Roman"/>
          <w:b/>
          <w:i/>
          <w:sz w:val="24"/>
          <w:szCs w:val="24"/>
          <w:u w:val="single"/>
          <w14:shadow w14:blurRad="50800" w14:dist="38100" w14:dir="10800000" w14:sx="100000" w14:sy="100000" w14:kx="0" w14:ky="0" w14:algn="r">
            <w14:srgbClr w14:val="000000">
              <w14:alpha w14:val="60000"/>
            </w14:srgbClr>
          </w14:shadow>
        </w:rPr>
        <w:t>general</w:t>
      </w:r>
      <w:r w:rsidR="00870C43">
        <w:rPr>
          <w:rFonts w:ascii="Times New Roman" w:hAnsi="Times New Roman" w:cs="Times New Roman"/>
          <w:b/>
          <w:i/>
          <w:sz w:val="24"/>
          <w:szCs w:val="24"/>
          <w:u w:val="single"/>
          <w14:shadow w14:blurRad="50800" w14:dist="38100" w14:dir="10800000" w14:sx="100000" w14:sy="100000" w14:kx="0" w14:ky="0" w14:algn="r">
            <w14:srgbClr w14:val="000000">
              <w14:alpha w14:val="60000"/>
            </w14:srgbClr>
          </w14:shadow>
        </w:rPr>
        <w:t>ă</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Fondul de modernizare este un </w:t>
      </w:r>
      <w:r w:rsidR="00870C43">
        <w:rPr>
          <w:rFonts w:ascii="Times New Roman" w:hAnsi="Times New Roman" w:cs="Times New Roman"/>
          <w:i/>
          <w:sz w:val="24"/>
          <w:szCs w:val="24"/>
        </w:rPr>
        <w:t>mec</w:t>
      </w:r>
      <w:r w:rsidRPr="001748AE">
        <w:rPr>
          <w:rFonts w:ascii="Times New Roman" w:hAnsi="Times New Roman" w:cs="Times New Roman"/>
          <w:i/>
          <w:sz w:val="24"/>
          <w:szCs w:val="24"/>
        </w:rPr>
        <w:t xml:space="preserve">anism de finanțare </w:t>
      </w:r>
      <w:r w:rsidR="00A227AB">
        <w:rPr>
          <w:rFonts w:ascii="Times New Roman" w:hAnsi="Times New Roman" w:cs="Times New Roman"/>
          <w:i/>
          <w:sz w:val="24"/>
          <w:szCs w:val="24"/>
        </w:rPr>
        <w:t>introdus</w:t>
      </w:r>
      <w:r w:rsidRPr="001748AE">
        <w:rPr>
          <w:rFonts w:ascii="Times New Roman" w:hAnsi="Times New Roman" w:cs="Times New Roman"/>
          <w:i/>
          <w:sz w:val="24"/>
          <w:szCs w:val="24"/>
        </w:rPr>
        <w:t xml:space="preserve"> de Directiva (UE) 2018/410 a Parlamentului European şi a Consiliului din 14 martie 2018 de modificare a Directivei 2003/87/CE în vederea rentabilizării reducerii emisiilor de dioxid de carbon și a sporirii investițiilor în acest domeniu și a Deciziei (UE) 2015/1814, care stabilește regulile ce vizează Sistemul de Tranzacționare a Emisiilor (ETS) pentru perioada 2021-2030, faza a IV-a, denumită în continuare Directiva EU-ETS revizuită, cu termen de implementare începând cu anul 2021.</w:t>
      </w:r>
    </w:p>
    <w:p w:rsidR="001748AE" w:rsidRPr="00835040" w:rsidRDefault="001748AE" w:rsidP="001748AE">
      <w:pPr>
        <w:jc w:val="both"/>
        <w:rPr>
          <w:rFonts w:ascii="Times New Roman" w:hAnsi="Times New Roman" w:cs="Times New Roman"/>
          <w:i/>
          <w:sz w:val="24"/>
          <w:szCs w:val="24"/>
          <w:lang w:val="ro-RO"/>
        </w:rPr>
      </w:pPr>
      <w:r w:rsidRPr="001748AE">
        <w:rPr>
          <w:rFonts w:ascii="Times New Roman" w:hAnsi="Times New Roman" w:cs="Times New Roman"/>
          <w:i/>
          <w:sz w:val="24"/>
          <w:szCs w:val="24"/>
        </w:rPr>
        <w:t xml:space="preserve">Începând cu anul 2021, statul </w:t>
      </w:r>
      <w:r w:rsidR="00835040">
        <w:rPr>
          <w:rFonts w:ascii="Times New Roman" w:hAnsi="Times New Roman" w:cs="Times New Roman"/>
          <w:i/>
          <w:sz w:val="24"/>
          <w:szCs w:val="24"/>
        </w:rPr>
        <w:t xml:space="preserve">membru </w:t>
      </w:r>
      <w:r w:rsidRPr="001748AE">
        <w:rPr>
          <w:rFonts w:ascii="Times New Roman" w:hAnsi="Times New Roman" w:cs="Times New Roman"/>
          <w:i/>
          <w:sz w:val="24"/>
          <w:szCs w:val="24"/>
        </w:rPr>
        <w:t>care</w:t>
      </w:r>
      <w:r w:rsidR="00835040">
        <w:rPr>
          <w:rFonts w:ascii="Times New Roman" w:hAnsi="Times New Roman" w:cs="Times New Roman"/>
          <w:i/>
          <w:sz w:val="24"/>
          <w:szCs w:val="24"/>
        </w:rPr>
        <w:t>,</w:t>
      </w:r>
      <w:r w:rsidRPr="001748AE">
        <w:rPr>
          <w:rFonts w:ascii="Times New Roman" w:hAnsi="Times New Roman" w:cs="Times New Roman"/>
          <w:i/>
          <w:sz w:val="24"/>
          <w:szCs w:val="24"/>
        </w:rPr>
        <w:t xml:space="preserve"> în </w:t>
      </w:r>
      <w:r w:rsidR="00835040">
        <w:rPr>
          <w:rFonts w:ascii="Times New Roman" w:hAnsi="Times New Roman" w:cs="Times New Roman"/>
          <w:i/>
          <w:sz w:val="24"/>
          <w:szCs w:val="24"/>
        </w:rPr>
        <w:t xml:space="preserve">anul </w:t>
      </w:r>
      <w:r w:rsidRPr="001748AE">
        <w:rPr>
          <w:rFonts w:ascii="Times New Roman" w:hAnsi="Times New Roman" w:cs="Times New Roman"/>
          <w:i/>
          <w:sz w:val="24"/>
          <w:szCs w:val="24"/>
        </w:rPr>
        <w:t>2013 a avut un PIB pe cap de locuitor la prețurile pieței (în euro) sub 60 % din media Uniunii</w:t>
      </w:r>
      <w:r w:rsidR="00835040">
        <w:rPr>
          <w:rFonts w:ascii="Times New Roman" w:hAnsi="Times New Roman" w:cs="Times New Roman"/>
          <w:i/>
          <w:sz w:val="24"/>
          <w:szCs w:val="24"/>
        </w:rPr>
        <w:t>,</w:t>
      </w:r>
      <w:r w:rsidRPr="001748AE">
        <w:rPr>
          <w:rFonts w:ascii="Times New Roman" w:hAnsi="Times New Roman" w:cs="Times New Roman"/>
          <w:i/>
          <w:sz w:val="24"/>
          <w:szCs w:val="24"/>
        </w:rPr>
        <w:t xml:space="preserve"> </w:t>
      </w:r>
      <w:r w:rsidR="00835040">
        <w:rPr>
          <w:rFonts w:ascii="Times New Roman" w:hAnsi="Times New Roman" w:cs="Times New Roman"/>
          <w:i/>
          <w:sz w:val="24"/>
          <w:szCs w:val="24"/>
        </w:rPr>
        <w:t>are calitatea de a desfășura următoaele acțiuni:</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aloca</w:t>
      </w:r>
      <w:r w:rsidR="00A227AB">
        <w:rPr>
          <w:rFonts w:ascii="Times New Roman" w:hAnsi="Times New Roman" w:cs="Times New Roman"/>
          <w:i/>
          <w:sz w:val="24"/>
          <w:szCs w:val="24"/>
        </w:rPr>
        <w:t>rea tranzitorie</w:t>
      </w:r>
      <w:r w:rsidRPr="001748AE">
        <w:rPr>
          <w:rFonts w:ascii="Times New Roman" w:hAnsi="Times New Roman" w:cs="Times New Roman"/>
          <w:i/>
          <w:sz w:val="24"/>
          <w:szCs w:val="24"/>
        </w:rPr>
        <w:t xml:space="preserve"> cu titlu gratuit </w:t>
      </w:r>
      <w:r w:rsidR="00A227AB">
        <w:rPr>
          <w:rFonts w:ascii="Times New Roman" w:hAnsi="Times New Roman" w:cs="Times New Roman"/>
          <w:i/>
          <w:sz w:val="24"/>
          <w:szCs w:val="24"/>
        </w:rPr>
        <w:t xml:space="preserve">de </w:t>
      </w:r>
      <w:r w:rsidRPr="001748AE">
        <w:rPr>
          <w:rFonts w:ascii="Times New Roman" w:hAnsi="Times New Roman" w:cs="Times New Roman"/>
          <w:i/>
          <w:sz w:val="24"/>
          <w:szCs w:val="24"/>
        </w:rPr>
        <w:t>certificate de emisii de gaze cu efect de seră pentru producătorii de energie electrică</w:t>
      </w:r>
      <w:r w:rsidR="00835040">
        <w:rPr>
          <w:rFonts w:ascii="Times New Roman" w:hAnsi="Times New Roman" w:cs="Times New Roman"/>
          <w:i/>
          <w:sz w:val="24"/>
          <w:szCs w:val="24"/>
        </w:rPr>
        <w:t>,</w:t>
      </w:r>
      <w:r w:rsidRPr="001748AE">
        <w:rPr>
          <w:rFonts w:ascii="Times New Roman" w:hAnsi="Times New Roman" w:cs="Times New Roman"/>
          <w:i/>
          <w:sz w:val="24"/>
          <w:szCs w:val="24"/>
        </w:rPr>
        <w:t xml:space="preserve"> pentru finanțarea de investiții în modernizarea, diversificarea și transformarea durabilă a sectorului energetic (art.10c);</w:t>
      </w:r>
    </w:p>
    <w:p w:rsidR="001748AE" w:rsidRPr="001748AE" w:rsidRDefault="001748AE" w:rsidP="001748AE">
      <w:p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 finanța</w:t>
      </w:r>
      <w:r w:rsidR="00A227AB">
        <w:rPr>
          <w:rFonts w:ascii="Times New Roman" w:hAnsi="Times New Roman" w:cs="Times New Roman"/>
          <w:i/>
          <w:sz w:val="24"/>
          <w:szCs w:val="24"/>
        </w:rPr>
        <w:t>rea</w:t>
      </w:r>
      <w:r w:rsidRPr="001748AE">
        <w:rPr>
          <w:rFonts w:ascii="Times New Roman" w:hAnsi="Times New Roman" w:cs="Times New Roman"/>
          <w:i/>
          <w:sz w:val="24"/>
          <w:szCs w:val="24"/>
        </w:rPr>
        <w:t>, prin scoaterea certificatelor la licitație, un</w:t>
      </w:r>
      <w:r w:rsidR="00A227AB">
        <w:rPr>
          <w:rFonts w:ascii="Times New Roman" w:hAnsi="Times New Roman" w:cs="Times New Roman"/>
          <w:i/>
          <w:sz w:val="24"/>
          <w:szCs w:val="24"/>
        </w:rPr>
        <w:t>ui</w:t>
      </w:r>
      <w:r w:rsidRPr="001748AE">
        <w:rPr>
          <w:rFonts w:ascii="Times New Roman" w:hAnsi="Times New Roman" w:cs="Times New Roman"/>
          <w:i/>
          <w:sz w:val="24"/>
          <w:szCs w:val="24"/>
        </w:rPr>
        <w:t xml:space="preserve"> fond pentru modernizarea sistemelor energetice și îmbunătățirea eficienței energetice (art.10d).</w:t>
      </w:r>
      <w:proofErr w:type="gramEnd"/>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Fondul de modernizare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sprijini investițiile cu emisii reduse de carbon în sistemele energetice din zece state membre ale UE cu venituri sub media europeană: Bulgaria, Croația, Cehia, Estonia, Ungaria, Letonia, Lituania, Polonia, România și Slovacia. </w:t>
      </w:r>
      <w:proofErr w:type="gramStart"/>
      <w:r w:rsidRPr="001748AE">
        <w:rPr>
          <w:rFonts w:ascii="Times New Roman" w:hAnsi="Times New Roman" w:cs="Times New Roman"/>
          <w:i/>
          <w:sz w:val="24"/>
          <w:szCs w:val="24"/>
        </w:rPr>
        <w:t>Domeniile prioritare ale fondului includ electricitatea regenerabilă, îmbunătățirea eficienței energetice, modernizarea rețelelor și stocarea de energie și sprijinirea unei tranziții juste în regiunile dependente de carbon.</w:t>
      </w:r>
      <w:proofErr w:type="gramEnd"/>
      <w:r w:rsidRPr="001748AE">
        <w:rPr>
          <w:rFonts w:ascii="Times New Roman" w:hAnsi="Times New Roman" w:cs="Times New Roman"/>
          <w:i/>
          <w:sz w:val="24"/>
          <w:szCs w:val="24"/>
        </w:rPr>
        <w:t xml:space="preserve"> Fiecare stat membru beneficiar poate determina sectoarele în care dorește </w:t>
      </w:r>
      <w:proofErr w:type="gramStart"/>
      <w:r w:rsidRPr="001748AE">
        <w:rPr>
          <w:rFonts w:ascii="Times New Roman" w:hAnsi="Times New Roman" w:cs="Times New Roman"/>
          <w:i/>
          <w:sz w:val="24"/>
          <w:szCs w:val="24"/>
        </w:rPr>
        <w:t>să</w:t>
      </w:r>
      <w:proofErr w:type="gramEnd"/>
      <w:r w:rsidRPr="001748AE">
        <w:rPr>
          <w:rFonts w:ascii="Times New Roman" w:hAnsi="Times New Roman" w:cs="Times New Roman"/>
          <w:i/>
          <w:sz w:val="24"/>
          <w:szCs w:val="24"/>
        </w:rPr>
        <w:t xml:space="preserve"> investească.</w:t>
      </w:r>
    </w:p>
    <w:p w:rsidR="001748AE" w:rsidRPr="001748AE" w:rsidRDefault="001748AE" w:rsidP="001748AE">
      <w:p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Directiva EU-ETS definește cota alocată fiecărui stat membru beneficiar al Fondului de modernizare.</w:t>
      </w:r>
      <w:proofErr w:type="gramEnd"/>
      <w:r w:rsidRPr="001748AE">
        <w:rPr>
          <w:rFonts w:ascii="Times New Roman" w:hAnsi="Times New Roman" w:cs="Times New Roman"/>
          <w:i/>
          <w:sz w:val="24"/>
          <w:szCs w:val="24"/>
        </w:rPr>
        <w:t xml:space="preserve"> State membre ale Uniunii Europene,  beneficiare ale acestui fond, respectiv Croația, Cehia, Lituania, România și Slovacia,  au decis transferul unor fonduri suplimentare provenind din comercializarea cotelor de emisii de gaze cu efect de seră care se sup</w:t>
      </w:r>
      <w:r w:rsidR="00835040">
        <w:rPr>
          <w:rFonts w:ascii="Times New Roman" w:hAnsi="Times New Roman" w:cs="Times New Roman"/>
          <w:i/>
          <w:sz w:val="24"/>
          <w:szCs w:val="24"/>
        </w:rPr>
        <w:t>un prvederilor articolului 10c</w:t>
      </w:r>
      <w:r w:rsidRPr="001748AE">
        <w:rPr>
          <w:rFonts w:ascii="Times New Roman" w:hAnsi="Times New Roman" w:cs="Times New Roman"/>
          <w:i/>
          <w:sz w:val="24"/>
          <w:szCs w:val="24"/>
        </w:rPr>
        <w:t xml:space="preserve"> din Directiva ETS, notificând Comisia Europeană în această privință, cu respectarea termenului de 30 septembrie 2019. </w:t>
      </w:r>
    </w:p>
    <w:p w:rsidR="001748AE" w:rsidRPr="001748AE" w:rsidRDefault="001748AE" w:rsidP="00A227AB">
      <w:pPr>
        <w:jc w:val="both"/>
        <w:rPr>
          <w:rFonts w:ascii="Times New Roman" w:hAnsi="Times New Roman" w:cs="Times New Roman"/>
          <w:b/>
          <w:i/>
          <w:sz w:val="24"/>
          <w:szCs w:val="24"/>
          <w:u w:val="single"/>
          <w14:shadow w14:blurRad="50800" w14:dist="38100" w14:dir="10800000" w14:sx="100000" w14:sy="100000" w14:kx="0" w14:ky="0" w14:algn="r">
            <w14:srgbClr w14:val="000000">
              <w14:alpha w14:val="60000"/>
            </w14:srgbClr>
          </w14:shadow>
        </w:rPr>
      </w:pPr>
      <w:r w:rsidRPr="001748AE">
        <w:rPr>
          <w:rFonts w:ascii="Times New Roman" w:hAnsi="Times New Roman" w:cs="Times New Roman"/>
          <w:i/>
          <w:sz w:val="24"/>
          <w:szCs w:val="24"/>
        </w:rPr>
        <w:lastRenderedPageBreak/>
        <w:t xml:space="preserve">În acest sens, România, </w:t>
      </w:r>
      <w:r w:rsidR="00A227AB">
        <w:rPr>
          <w:rFonts w:ascii="Times New Roman" w:hAnsi="Times New Roman" w:cs="Times New Roman"/>
          <w:i/>
          <w:sz w:val="24"/>
          <w:szCs w:val="24"/>
        </w:rPr>
        <w:t>prin Ministerul Energiei, în prezent Ministerul</w:t>
      </w:r>
      <w:r w:rsidRPr="001748AE">
        <w:rPr>
          <w:rFonts w:ascii="Times New Roman" w:hAnsi="Times New Roman" w:cs="Times New Roman"/>
          <w:i/>
          <w:sz w:val="24"/>
          <w:szCs w:val="24"/>
        </w:rPr>
        <w:t xml:space="preserve"> Economiei, Energiei și Medilui de Afaceri</w:t>
      </w:r>
      <w:r w:rsidR="00A227AB">
        <w:rPr>
          <w:rFonts w:ascii="Times New Roman" w:hAnsi="Times New Roman" w:cs="Times New Roman"/>
          <w:i/>
          <w:sz w:val="24"/>
          <w:szCs w:val="24"/>
        </w:rPr>
        <w:t>,</w:t>
      </w:r>
      <w:r w:rsidRPr="001748AE">
        <w:rPr>
          <w:rFonts w:ascii="Times New Roman" w:hAnsi="Times New Roman" w:cs="Times New Roman"/>
          <w:i/>
          <w:sz w:val="24"/>
          <w:szCs w:val="24"/>
        </w:rPr>
        <w:t xml:space="preserve"> a comunicat  Comisiei Europene, până la 30 iunie 2019, lista</w:t>
      </w:r>
      <w:r w:rsidRPr="00281162">
        <w:rPr>
          <w:rFonts w:ascii="Times New Roman" w:hAnsi="Times New Roman" w:cs="Times New Roman"/>
          <w:sz w:val="24"/>
          <w:szCs w:val="24"/>
        </w:rPr>
        <w:t xml:space="preserve"> </w:t>
      </w:r>
      <w:r w:rsidRPr="001748AE">
        <w:rPr>
          <w:rFonts w:ascii="Times New Roman" w:hAnsi="Times New Roman" w:cs="Times New Roman"/>
          <w:i/>
          <w:sz w:val="24"/>
          <w:szCs w:val="24"/>
        </w:rPr>
        <w:t xml:space="preserve">investiţiilor  cu o valoare sub 12,5 mil. </w:t>
      </w:r>
      <w:proofErr w:type="gramStart"/>
      <w:r w:rsidRPr="001748AE">
        <w:rPr>
          <w:rFonts w:ascii="Times New Roman" w:hAnsi="Times New Roman" w:cs="Times New Roman"/>
          <w:i/>
          <w:sz w:val="24"/>
          <w:szCs w:val="24"/>
        </w:rPr>
        <w:t>euro</w:t>
      </w:r>
      <w:proofErr w:type="gramEnd"/>
      <w:r w:rsidRPr="001748AE">
        <w:rPr>
          <w:rFonts w:ascii="Times New Roman" w:hAnsi="Times New Roman" w:cs="Times New Roman"/>
          <w:i/>
          <w:sz w:val="24"/>
          <w:szCs w:val="24"/>
        </w:rPr>
        <w:t xml:space="preserve">, în principal destinate modernizărilor, cu o valoare estimată de 112 mil. </w:t>
      </w:r>
      <w:proofErr w:type="gramStart"/>
      <w:r w:rsidRPr="001748AE">
        <w:rPr>
          <w:rFonts w:ascii="Times New Roman" w:hAnsi="Times New Roman" w:cs="Times New Roman"/>
          <w:i/>
          <w:sz w:val="24"/>
          <w:szCs w:val="24"/>
        </w:rPr>
        <w:t>euro</w:t>
      </w:r>
      <w:proofErr w:type="gramEnd"/>
      <w:r w:rsidRPr="001748AE">
        <w:rPr>
          <w:rFonts w:ascii="Times New Roman" w:hAnsi="Times New Roman" w:cs="Times New Roman"/>
          <w:i/>
          <w:sz w:val="24"/>
          <w:szCs w:val="24"/>
        </w:rPr>
        <w:t xml:space="preserve">, ce vor fi finanțate prin mecanismul art.10c. De asemenea, România a comunicat Comisiei Europene, până la 30 septembrie 2019, transferul parțial al cuantumurilor de certificate aferente Fondului de Solidaritate, în procent de 75%, către Fondul pentru Modernizare și transferul integral, 100%, către Fondul pentru Modernizare a cuantumului certificatelor alocate pentru implementarea Mecanismului </w:t>
      </w:r>
      <w:proofErr w:type="gramStart"/>
      <w:r w:rsidRPr="001748AE">
        <w:rPr>
          <w:rFonts w:ascii="Times New Roman" w:hAnsi="Times New Roman" w:cs="Times New Roman"/>
          <w:i/>
          <w:sz w:val="24"/>
          <w:szCs w:val="24"/>
        </w:rPr>
        <w:t>10c  rămas</w:t>
      </w:r>
      <w:proofErr w:type="gramEnd"/>
      <w:r w:rsidRPr="001748AE">
        <w:rPr>
          <w:rFonts w:ascii="Times New Roman" w:hAnsi="Times New Roman" w:cs="Times New Roman"/>
          <w:i/>
          <w:sz w:val="24"/>
          <w:szCs w:val="24"/>
        </w:rPr>
        <w:t xml:space="preserve"> în urma alocării necesare finanțării celor 14 proiecte cu o valoare mai mică de 12,5 mil.euro, estimate la 112 mil. </w:t>
      </w:r>
      <w:proofErr w:type="gramStart"/>
      <w:r w:rsidRPr="001748AE">
        <w:rPr>
          <w:rFonts w:ascii="Times New Roman" w:hAnsi="Times New Roman" w:cs="Times New Roman"/>
          <w:i/>
          <w:sz w:val="24"/>
          <w:szCs w:val="24"/>
        </w:rPr>
        <w:t>euro</w:t>
      </w:r>
      <w:proofErr w:type="gramEnd"/>
      <w:r w:rsidRPr="001748AE">
        <w:rPr>
          <w:rFonts w:ascii="Times New Roman" w:hAnsi="Times New Roman" w:cs="Times New Roman"/>
          <w:i/>
          <w:sz w:val="24"/>
          <w:szCs w:val="24"/>
        </w:rPr>
        <w:t>.</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Investițiile care beneficiază de sprijin trebuie să fie conforme cu obiectivele Directivei</w:t>
      </w:r>
      <w:r w:rsidR="00835040">
        <w:rPr>
          <w:rFonts w:ascii="Times New Roman" w:hAnsi="Times New Roman" w:cs="Times New Roman"/>
          <w:i/>
          <w:sz w:val="24"/>
          <w:szCs w:val="24"/>
        </w:rPr>
        <w:t xml:space="preserve"> EU-ETS</w:t>
      </w:r>
      <w:r w:rsidRPr="001748AE">
        <w:rPr>
          <w:rFonts w:ascii="Times New Roman" w:hAnsi="Times New Roman" w:cs="Times New Roman"/>
          <w:i/>
          <w:sz w:val="24"/>
          <w:szCs w:val="24"/>
        </w:rPr>
        <w:t>, precum și cu obiectivele cadrului de politici ale Uniunii privind clima și energia pentru 2030 și cu obiectivele pe termen lung prevăzute în Acordul de la Paris. Nu se acordă sprijin din Fondul pentru modernizare altor instalații de producție de energie care utilizează combustibili fosili</w:t>
      </w:r>
      <w:r w:rsidR="00835040">
        <w:rPr>
          <w:rFonts w:ascii="Times New Roman" w:hAnsi="Times New Roman" w:cs="Times New Roman"/>
          <w:i/>
          <w:sz w:val="24"/>
          <w:szCs w:val="24"/>
        </w:rPr>
        <w:t>,</w:t>
      </w:r>
      <w:r w:rsidRPr="001748AE">
        <w:rPr>
          <w:rFonts w:ascii="Times New Roman" w:hAnsi="Times New Roman" w:cs="Times New Roman"/>
          <w:i/>
          <w:sz w:val="24"/>
          <w:szCs w:val="24"/>
        </w:rPr>
        <w:t xml:space="preserve"> decât centralelor de termoficare eficiente și durabile din statele membre cu un PIB pe cap de locuitor la prețurile pieței sub 30% din media Uniunii în 2013, cu condiția ca un cuantum de certificate de o valoare cel puțin echivalentă să se utilizeze pentru investiții în temeiul articolului 10c care nu presupun combustibili fosili solizi.</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Cel puțin 70% din resursele financiare din Fondul pentru modernizare se utilizează pentru a se sprijini investițiile în producția și utilizarea energiei electrice din surse regenerabile, îmbunătățirea eficienței energetice, cu excepția eficienței energetice legate de producerea de energie cu utilizarea de combustibili fosili</w:t>
      </w:r>
      <w:r w:rsidR="00A227AB">
        <w:rPr>
          <w:rFonts w:ascii="Times New Roman" w:hAnsi="Times New Roman" w:cs="Times New Roman"/>
          <w:i/>
          <w:sz w:val="24"/>
          <w:szCs w:val="24"/>
        </w:rPr>
        <w:t xml:space="preserve"> solizi</w:t>
      </w:r>
      <w:r w:rsidRPr="001748AE">
        <w:rPr>
          <w:rFonts w:ascii="Times New Roman" w:hAnsi="Times New Roman" w:cs="Times New Roman"/>
          <w:i/>
          <w:sz w:val="24"/>
          <w:szCs w:val="24"/>
        </w:rPr>
        <w:t>, stocarea energiei și modernizarea rețelelor energetice, inclusiv a conductelor centralelor de termoficare, rețelele pentru transportul de electricitate și creșterea interconectărilor dintre statele membre, precum și pentru a sprijini o tranziție echitabilă în regiunile cu emisii intensive de dioxid de carbon în statele membre beneficiare,</w:t>
      </w:r>
      <w:r w:rsidR="00A227AB">
        <w:rPr>
          <w:rFonts w:ascii="Times New Roman" w:hAnsi="Times New Roman" w:cs="Times New Roman"/>
          <w:i/>
          <w:sz w:val="24"/>
          <w:szCs w:val="24"/>
        </w:rPr>
        <w:t xml:space="preserve"> astfel încât să se sprijine re</w:t>
      </w:r>
      <w:r w:rsidRPr="001748AE">
        <w:rPr>
          <w:rFonts w:ascii="Times New Roman" w:hAnsi="Times New Roman" w:cs="Times New Roman"/>
          <w:i/>
          <w:sz w:val="24"/>
          <w:szCs w:val="24"/>
        </w:rPr>
        <w:t>locarea, recalificarea și îmbunătățirea competențelor lucrătorilor, educația, inițiativele legate de căutarea unu</w:t>
      </w:r>
      <w:r w:rsidR="00835040">
        <w:rPr>
          <w:rFonts w:ascii="Times New Roman" w:hAnsi="Times New Roman" w:cs="Times New Roman"/>
          <w:i/>
          <w:sz w:val="24"/>
          <w:szCs w:val="24"/>
        </w:rPr>
        <w:t>i loc de muncă și start-upurile</w:t>
      </w:r>
      <w:r w:rsidRPr="001748AE">
        <w:rPr>
          <w:rFonts w:ascii="Times New Roman" w:hAnsi="Times New Roman" w:cs="Times New Roman"/>
          <w:i/>
          <w:sz w:val="24"/>
          <w:szCs w:val="24"/>
        </w:rPr>
        <w:t xml:space="preserve">. </w:t>
      </w:r>
      <w:proofErr w:type="gramStart"/>
      <w:r w:rsidRPr="001748AE">
        <w:rPr>
          <w:rFonts w:ascii="Times New Roman" w:hAnsi="Times New Roman" w:cs="Times New Roman"/>
          <w:i/>
          <w:sz w:val="24"/>
          <w:szCs w:val="24"/>
        </w:rPr>
        <w:t>Investițiile în eficiența energetică în transporturi, construcții, agricultură și deșeuri sunt, de asemenea, eligibile.</w:t>
      </w:r>
      <w:proofErr w:type="gramEnd"/>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Conform Directivei (UE) 2018/410, România are alocat un procent de 11</w:t>
      </w:r>
      <w:proofErr w:type="gramStart"/>
      <w:r w:rsidRPr="001748AE">
        <w:rPr>
          <w:rFonts w:ascii="Times New Roman" w:hAnsi="Times New Roman" w:cs="Times New Roman"/>
          <w:i/>
          <w:sz w:val="24"/>
          <w:szCs w:val="24"/>
        </w:rPr>
        <w:t>,98</w:t>
      </w:r>
      <w:proofErr w:type="gramEnd"/>
      <w:r w:rsidRPr="001748AE">
        <w:rPr>
          <w:rFonts w:ascii="Times New Roman" w:hAnsi="Times New Roman" w:cs="Times New Roman"/>
          <w:i/>
          <w:sz w:val="24"/>
          <w:szCs w:val="24"/>
        </w:rPr>
        <w:t>% din totalul capitalului Fondului de modernizare, al treilea ca valoare între statele beneficiare.</w:t>
      </w:r>
    </w:p>
    <w:p w:rsidR="001748AE" w:rsidRPr="00415EFB" w:rsidRDefault="001748AE" w:rsidP="001748AE">
      <w:pPr>
        <w:rPr>
          <w:rFonts w:ascii="Times New Roman" w:hAnsi="Times New Roman" w:cs="Times New Roman"/>
          <w:b/>
          <w:i/>
          <w:sz w:val="24"/>
          <w:szCs w:val="24"/>
          <w:u w:val="single"/>
          <w14:shadow w14:blurRad="50800" w14:dist="38100" w14:dir="10800000" w14:sx="100000" w14:sy="100000" w14:kx="0" w14:ky="0" w14:algn="r">
            <w14:srgbClr w14:val="000000">
              <w14:alpha w14:val="60000"/>
            </w14:srgbClr>
          </w14:shadow>
        </w:rPr>
      </w:pPr>
      <w:r w:rsidRPr="00415EFB">
        <w:rPr>
          <w:rFonts w:ascii="Times New Roman" w:hAnsi="Times New Roman" w:cs="Times New Roman"/>
          <w:b/>
          <w:i/>
          <w:sz w:val="24"/>
          <w:szCs w:val="24"/>
          <w:u w:val="single"/>
          <w14:shadow w14:blurRad="50800" w14:dist="38100" w14:dir="10800000" w14:sx="100000" w14:sy="100000" w14:kx="0" w14:ky="0" w14:algn="r">
            <w14:srgbClr w14:val="000000">
              <w14:alpha w14:val="60000"/>
            </w14:srgbClr>
          </w14:shadow>
        </w:rPr>
        <w:t>Norme specifice privind lansarea apelurilor pentru proiecte și procedura de implementare</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Comisia Europeană a demarat procedura pentru operaționalizarea Fondului de modernizare, conform prevederilor Directivei EU-ETS, prin propunerea de Regulament de punere în aplicare care urmează a fi aprobat în reuniunea din luna iunie a.c., a Comitetului privind schimbările climatice (CCC).</w:t>
      </w:r>
    </w:p>
    <w:p w:rsidR="001748AE" w:rsidRDefault="001748AE" w:rsidP="001748AE">
      <w:pPr>
        <w:jc w:val="both"/>
        <w:rPr>
          <w:rFonts w:ascii="Times New Roman" w:hAnsi="Times New Roman" w:cs="Times New Roman"/>
          <w:sz w:val="24"/>
          <w:szCs w:val="24"/>
        </w:rPr>
      </w:pPr>
      <w:proofErr w:type="gramStart"/>
      <w:r w:rsidRPr="001748AE">
        <w:rPr>
          <w:rFonts w:ascii="Times New Roman" w:hAnsi="Times New Roman" w:cs="Times New Roman"/>
          <w:b/>
          <w:i/>
          <w:sz w:val="24"/>
          <w:szCs w:val="24"/>
        </w:rPr>
        <w:lastRenderedPageBreak/>
        <w:t>Proiecte prioritare</w:t>
      </w:r>
      <w:r w:rsidRPr="001748AE">
        <w:rPr>
          <w:rFonts w:ascii="Times New Roman" w:hAnsi="Times New Roman" w:cs="Times New Roman"/>
          <w:i/>
          <w:sz w:val="24"/>
          <w:szCs w:val="24"/>
        </w:rPr>
        <w:t xml:space="preserve"> – investiții care se înca</w:t>
      </w:r>
      <w:r w:rsidR="00835040">
        <w:rPr>
          <w:rFonts w:ascii="Times New Roman" w:hAnsi="Times New Roman" w:cs="Times New Roman"/>
          <w:i/>
          <w:sz w:val="24"/>
          <w:szCs w:val="24"/>
        </w:rPr>
        <w:t>drează în prevederile art.</w:t>
      </w:r>
      <w:proofErr w:type="gramEnd"/>
      <w:r w:rsidR="00835040">
        <w:rPr>
          <w:rFonts w:ascii="Times New Roman" w:hAnsi="Times New Roman" w:cs="Times New Roman"/>
          <w:i/>
          <w:sz w:val="24"/>
          <w:szCs w:val="24"/>
        </w:rPr>
        <w:t xml:space="preserve"> </w:t>
      </w:r>
      <w:proofErr w:type="gramStart"/>
      <w:r w:rsidR="00835040">
        <w:rPr>
          <w:rFonts w:ascii="Times New Roman" w:hAnsi="Times New Roman" w:cs="Times New Roman"/>
          <w:i/>
          <w:sz w:val="24"/>
          <w:szCs w:val="24"/>
        </w:rPr>
        <w:t>10d</w:t>
      </w:r>
      <w:r w:rsidRPr="001748AE">
        <w:rPr>
          <w:rFonts w:ascii="Times New Roman" w:hAnsi="Times New Roman" w:cs="Times New Roman"/>
          <w:i/>
          <w:sz w:val="24"/>
          <w:szCs w:val="24"/>
        </w:rPr>
        <w:t xml:space="preserve"> alin.</w:t>
      </w:r>
      <w:proofErr w:type="gramEnd"/>
      <w:r w:rsidRPr="001748AE">
        <w:rPr>
          <w:rFonts w:ascii="Times New Roman" w:hAnsi="Times New Roman" w:cs="Times New Roman"/>
          <w:i/>
          <w:sz w:val="24"/>
          <w:szCs w:val="24"/>
        </w:rPr>
        <w:t xml:space="preserve"> (2) din Directiva EU-ETS, respectiv investițiile în producția și utilizarea energiei electrice din surse regenerabile, îmbunătățirea eficienței energetice (cu excepția eficienței energetice legate de producerea de energie cu utilizarea de combustibili fosili solizi), stocarea energiei și modernizarea rețelelor energetice, inclusiv a conductelor centralelor de termoficare, rețelele pentru transportul de electricitate și creșterea interco</w:t>
      </w:r>
      <w:r w:rsidR="00835040">
        <w:rPr>
          <w:rFonts w:ascii="Times New Roman" w:hAnsi="Times New Roman" w:cs="Times New Roman"/>
          <w:i/>
          <w:sz w:val="24"/>
          <w:szCs w:val="24"/>
        </w:rPr>
        <w:t>nectărilor dintre statele membre</w:t>
      </w:r>
      <w:r w:rsidRPr="001748AE">
        <w:rPr>
          <w:rFonts w:ascii="Times New Roman" w:hAnsi="Times New Roman" w:cs="Times New Roman"/>
          <w:i/>
          <w:sz w:val="24"/>
          <w:szCs w:val="24"/>
        </w:rPr>
        <w:t>, investiții în sprijinul regiunilor dependente de emisiile de dioxid de carbon,</w:t>
      </w:r>
      <w:r w:rsidR="00835040">
        <w:rPr>
          <w:rFonts w:ascii="Times New Roman" w:hAnsi="Times New Roman" w:cs="Times New Roman"/>
          <w:i/>
          <w:sz w:val="24"/>
          <w:szCs w:val="24"/>
        </w:rPr>
        <w:t xml:space="preserve"> astfel încât să se sprijine re</w:t>
      </w:r>
      <w:r w:rsidRPr="001748AE">
        <w:rPr>
          <w:rFonts w:ascii="Times New Roman" w:hAnsi="Times New Roman" w:cs="Times New Roman"/>
          <w:i/>
          <w:sz w:val="24"/>
          <w:szCs w:val="24"/>
        </w:rPr>
        <w:t>locarea, recalificarea și îmbunătățirea competențelor lucrătorilor, educația, inițiativele legate de căutarea unui loc de muncă și start-upurile, precum și investiții în eficiența energetică în transporturi, construcții, agricultură și deșeuri.</w:t>
      </w:r>
    </w:p>
    <w:p w:rsidR="001748AE" w:rsidRPr="001748AE" w:rsidRDefault="001748AE" w:rsidP="001748AE">
      <w:pPr>
        <w:jc w:val="both"/>
        <w:rPr>
          <w:rFonts w:ascii="Times New Roman" w:hAnsi="Times New Roman" w:cs="Times New Roman"/>
          <w:i/>
          <w:sz w:val="24"/>
          <w:szCs w:val="24"/>
        </w:rPr>
      </w:pPr>
      <w:proofErr w:type="gramStart"/>
      <w:r w:rsidRPr="001748AE">
        <w:rPr>
          <w:rFonts w:ascii="Times New Roman" w:hAnsi="Times New Roman" w:cs="Times New Roman"/>
          <w:b/>
          <w:i/>
          <w:sz w:val="24"/>
          <w:szCs w:val="24"/>
        </w:rPr>
        <w:t>Proiecte non-prioritare</w:t>
      </w:r>
      <w:r w:rsidRPr="001748AE">
        <w:rPr>
          <w:rFonts w:ascii="Times New Roman" w:hAnsi="Times New Roman" w:cs="Times New Roman"/>
          <w:i/>
          <w:sz w:val="24"/>
          <w:szCs w:val="24"/>
        </w:rPr>
        <w:t xml:space="preserve"> - investiții care nu se încadrează în</w:t>
      </w:r>
      <w:r w:rsidR="00835040">
        <w:rPr>
          <w:rFonts w:ascii="Times New Roman" w:hAnsi="Times New Roman" w:cs="Times New Roman"/>
          <w:i/>
          <w:sz w:val="24"/>
          <w:szCs w:val="24"/>
        </w:rPr>
        <w:t xml:space="preserve"> prevederile art.</w:t>
      </w:r>
      <w:proofErr w:type="gramEnd"/>
      <w:r w:rsidR="00835040">
        <w:rPr>
          <w:rFonts w:ascii="Times New Roman" w:hAnsi="Times New Roman" w:cs="Times New Roman"/>
          <w:i/>
          <w:sz w:val="24"/>
          <w:szCs w:val="24"/>
        </w:rPr>
        <w:t xml:space="preserve"> </w:t>
      </w:r>
      <w:proofErr w:type="gramStart"/>
      <w:r w:rsidR="00835040">
        <w:rPr>
          <w:rFonts w:ascii="Times New Roman" w:hAnsi="Times New Roman" w:cs="Times New Roman"/>
          <w:i/>
          <w:sz w:val="24"/>
          <w:szCs w:val="24"/>
        </w:rPr>
        <w:t>10d</w:t>
      </w:r>
      <w:r w:rsidRPr="001748AE">
        <w:rPr>
          <w:rFonts w:ascii="Times New Roman" w:hAnsi="Times New Roman" w:cs="Times New Roman"/>
          <w:i/>
          <w:sz w:val="24"/>
          <w:szCs w:val="24"/>
        </w:rPr>
        <w:t xml:space="preserve"> alin.</w:t>
      </w:r>
      <w:proofErr w:type="gramEnd"/>
      <w:r w:rsidRPr="001748AE">
        <w:rPr>
          <w:rFonts w:ascii="Times New Roman" w:hAnsi="Times New Roman" w:cs="Times New Roman"/>
          <w:i/>
          <w:sz w:val="24"/>
          <w:szCs w:val="24"/>
        </w:rPr>
        <w:t xml:space="preserve"> (2) </w:t>
      </w:r>
      <w:proofErr w:type="gramStart"/>
      <w:r w:rsidRPr="001748AE">
        <w:rPr>
          <w:rFonts w:ascii="Times New Roman" w:hAnsi="Times New Roman" w:cs="Times New Roman"/>
          <w:i/>
          <w:sz w:val="24"/>
          <w:szCs w:val="24"/>
        </w:rPr>
        <w:t>din</w:t>
      </w:r>
      <w:proofErr w:type="gramEnd"/>
      <w:r w:rsidRPr="001748AE">
        <w:rPr>
          <w:rFonts w:ascii="Times New Roman" w:hAnsi="Times New Roman" w:cs="Times New Roman"/>
          <w:i/>
          <w:sz w:val="24"/>
          <w:szCs w:val="24"/>
        </w:rPr>
        <w:t xml:space="preserve"> Directiva EU-ETS, astfel cum sunt expuse mai sus.</w:t>
      </w:r>
      <w:r w:rsidRPr="001748AE">
        <w:rPr>
          <w:i/>
        </w:rPr>
        <w:t xml:space="preserve"> </w:t>
      </w:r>
      <w:r w:rsidRPr="001748AE">
        <w:rPr>
          <w:rFonts w:ascii="Times New Roman" w:hAnsi="Times New Roman" w:cs="Times New Roman"/>
          <w:i/>
          <w:sz w:val="24"/>
          <w:szCs w:val="24"/>
        </w:rPr>
        <w:t>Până la 70 % din costurile relevante ale unei investiții care nu se încadrează în domeniile proiectelor prioritare, pot fi asigurate din resurse ale fondului pentru modernizare, cu condiția ca restul costurilor să fie finanțate de entități juridice private.</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b/>
          <w:i/>
          <w:sz w:val="24"/>
          <w:szCs w:val="24"/>
        </w:rPr>
        <w:t xml:space="preserve">Proiecte non-prioritare </w:t>
      </w:r>
      <w:r w:rsidR="00835040">
        <w:rPr>
          <w:rFonts w:ascii="Times New Roman" w:hAnsi="Times New Roman" w:cs="Times New Roman"/>
          <w:b/>
          <w:i/>
          <w:sz w:val="24"/>
          <w:szCs w:val="24"/>
        </w:rPr>
        <w:t>la scară mică</w:t>
      </w:r>
      <w:r w:rsidRPr="001748AE">
        <w:rPr>
          <w:rFonts w:ascii="Times New Roman" w:hAnsi="Times New Roman" w:cs="Times New Roman"/>
          <w:i/>
          <w:sz w:val="24"/>
          <w:szCs w:val="24"/>
        </w:rPr>
        <w:t xml:space="preserve"> – investiții clasificate ca non-prioritare care beneficiază de ajutor de stat conform criterului ajutorului de minimis prevăzut în art. 3 din Regulamentul (UE) nr. </w:t>
      </w:r>
      <w:proofErr w:type="gramStart"/>
      <w:r w:rsidRPr="001748AE">
        <w:rPr>
          <w:rFonts w:ascii="Times New Roman" w:hAnsi="Times New Roman" w:cs="Times New Roman"/>
          <w:i/>
          <w:sz w:val="24"/>
          <w:szCs w:val="24"/>
        </w:rPr>
        <w:t>1407/2013.</w:t>
      </w:r>
      <w:proofErr w:type="gramEnd"/>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b/>
          <w:i/>
          <w:sz w:val="24"/>
          <w:szCs w:val="24"/>
        </w:rPr>
        <w:t>Schemă</w:t>
      </w:r>
      <w:r w:rsidRPr="001748AE">
        <w:rPr>
          <w:rFonts w:ascii="Times New Roman" w:hAnsi="Times New Roman" w:cs="Times New Roman"/>
          <w:i/>
          <w:sz w:val="24"/>
          <w:szCs w:val="24"/>
        </w:rPr>
        <w:t xml:space="preserve"> – proiect de investiții care cadrează cu următoarele criterii:</w:t>
      </w:r>
    </w:p>
    <w:p w:rsidR="001748AE" w:rsidRPr="001748AE" w:rsidRDefault="001748AE" w:rsidP="001748AE">
      <w:pPr>
        <w:pStyle w:val="ListParagraph"/>
        <w:numPr>
          <w:ilvl w:val="0"/>
          <w:numId w:val="15"/>
        </w:numPr>
        <w:jc w:val="both"/>
        <w:rPr>
          <w:rFonts w:ascii="Times New Roman" w:hAnsi="Times New Roman" w:cs="Times New Roman"/>
          <w:i/>
          <w:sz w:val="24"/>
          <w:szCs w:val="24"/>
        </w:rPr>
      </w:pPr>
      <w:r w:rsidRPr="001748AE">
        <w:rPr>
          <w:rFonts w:ascii="Times New Roman" w:hAnsi="Times New Roman" w:cs="Times New Roman"/>
          <w:i/>
          <w:sz w:val="24"/>
          <w:szCs w:val="24"/>
        </w:rPr>
        <w:t>cuprinde un set de priorități coerente cu obiectivele Fondului de modernizare și, în raport cu  caracteristicile proiectelor integrate, aceasta poate fi calificat drept investiție prioritară sau non-prioritară,</w:t>
      </w:r>
    </w:p>
    <w:p w:rsidR="001748AE" w:rsidRPr="001748AE" w:rsidRDefault="001748AE" w:rsidP="001748AE">
      <w:pPr>
        <w:pStyle w:val="ListParagraph"/>
        <w:numPr>
          <w:ilvl w:val="0"/>
          <w:numId w:val="15"/>
        </w:numPr>
        <w:jc w:val="both"/>
        <w:rPr>
          <w:rFonts w:ascii="Times New Roman" w:hAnsi="Times New Roman" w:cs="Times New Roman"/>
          <w:i/>
          <w:sz w:val="24"/>
          <w:szCs w:val="24"/>
        </w:rPr>
      </w:pPr>
      <w:r w:rsidRPr="001748AE">
        <w:rPr>
          <w:rFonts w:ascii="Times New Roman" w:hAnsi="Times New Roman" w:cs="Times New Roman"/>
          <w:i/>
          <w:sz w:val="24"/>
          <w:szCs w:val="24"/>
        </w:rPr>
        <w:t>are un ciclu de desfășurare mai mare de un an,</w:t>
      </w:r>
    </w:p>
    <w:p w:rsidR="001748AE" w:rsidRPr="001748AE" w:rsidRDefault="001748AE" w:rsidP="001748AE">
      <w:pPr>
        <w:pStyle w:val="ListParagraph"/>
        <w:numPr>
          <w:ilvl w:val="0"/>
          <w:numId w:val="15"/>
        </w:numPr>
        <w:jc w:val="both"/>
        <w:rPr>
          <w:rFonts w:ascii="Times New Roman" w:hAnsi="Times New Roman" w:cs="Times New Roman"/>
          <w:i/>
          <w:sz w:val="24"/>
          <w:szCs w:val="24"/>
        </w:rPr>
      </w:pPr>
      <w:r w:rsidRPr="001748AE">
        <w:rPr>
          <w:rFonts w:ascii="Times New Roman" w:hAnsi="Times New Roman" w:cs="Times New Roman"/>
          <w:i/>
          <w:sz w:val="24"/>
          <w:szCs w:val="24"/>
        </w:rPr>
        <w:t>răspunde unor criterii de utilitate națională sau regională,</w:t>
      </w:r>
    </w:p>
    <w:p w:rsidR="001748AE" w:rsidRPr="001748AE" w:rsidRDefault="001748AE" w:rsidP="001748AE">
      <w:pPr>
        <w:pStyle w:val="ListParagraph"/>
        <w:numPr>
          <w:ilvl w:val="0"/>
          <w:numId w:val="15"/>
        </w:num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sprijină</w:t>
      </w:r>
      <w:proofErr w:type="gramEnd"/>
      <w:r w:rsidRPr="001748AE">
        <w:rPr>
          <w:rFonts w:ascii="Times New Roman" w:hAnsi="Times New Roman" w:cs="Times New Roman"/>
          <w:i/>
          <w:sz w:val="24"/>
          <w:szCs w:val="24"/>
        </w:rPr>
        <w:t xml:space="preserve"> mai multe entități publice sau private responsabile de inițierea sau inițierea și implementarea proiectelor în cadrul schemei.</w:t>
      </w:r>
    </w:p>
    <w:p w:rsidR="001748AE" w:rsidRPr="001748AE" w:rsidRDefault="001748AE" w:rsidP="001748AE">
      <w:pPr>
        <w:jc w:val="both"/>
        <w:rPr>
          <w:rFonts w:ascii="Times New Roman" w:hAnsi="Times New Roman" w:cs="Times New Roman"/>
          <w:i/>
          <w:sz w:val="24"/>
          <w:szCs w:val="24"/>
        </w:rPr>
      </w:pPr>
      <w:r w:rsidRPr="000B5509">
        <w:rPr>
          <w:rFonts w:ascii="Times New Roman" w:hAnsi="Times New Roman" w:cs="Times New Roman"/>
          <w:b/>
          <w:i/>
          <w:sz w:val="24"/>
          <w:szCs w:val="24"/>
        </w:rPr>
        <w:t>Banca Europeană de Investiții (BEI)</w:t>
      </w:r>
      <w:r w:rsidRPr="001748AE">
        <w:rPr>
          <w:rFonts w:ascii="Times New Roman" w:hAnsi="Times New Roman" w:cs="Times New Roman"/>
          <w:i/>
          <w:sz w:val="24"/>
          <w:szCs w:val="24"/>
        </w:rPr>
        <w:t xml:space="preserve"> va evalua propunerile de investiții prezentate de statele membre beneficiare ca investiții prioritare în primul </w:t>
      </w:r>
      <w:r w:rsidRPr="006F1295">
        <w:rPr>
          <w:rFonts w:ascii="Times New Roman" w:hAnsi="Times New Roman" w:cs="Times New Roman"/>
          <w:i/>
          <w:sz w:val="24"/>
          <w:szCs w:val="24"/>
        </w:rPr>
        <w:t>ciclu bianual de plată</w:t>
      </w:r>
      <w:r w:rsidRPr="001748AE">
        <w:rPr>
          <w:rFonts w:ascii="Times New Roman" w:hAnsi="Times New Roman" w:cs="Times New Roman"/>
          <w:i/>
          <w:sz w:val="24"/>
          <w:szCs w:val="24"/>
        </w:rPr>
        <w:t xml:space="preserve"> din anul calendaristic, dacă sunt depuse cu cel puțin șase săptămâni înainte de prima ședință bianuală a Comitetului pentru investiții.</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Propunerile de investiții prezentate de statele membre beneficiare ca </w:t>
      </w:r>
      <w:r w:rsidRPr="000B5509">
        <w:rPr>
          <w:rFonts w:ascii="Times New Roman" w:hAnsi="Times New Roman" w:cs="Times New Roman"/>
          <w:b/>
          <w:i/>
          <w:sz w:val="24"/>
          <w:szCs w:val="24"/>
        </w:rPr>
        <w:t>investiții non- prioritare</w:t>
      </w:r>
      <w:r w:rsidRPr="001748AE">
        <w:rPr>
          <w:rFonts w:ascii="Times New Roman" w:hAnsi="Times New Roman" w:cs="Times New Roman"/>
          <w:i/>
          <w:sz w:val="24"/>
          <w:szCs w:val="24"/>
        </w:rPr>
        <w:t xml:space="preserve"> sunt evaluate de Comitetul pentru investiții în primul </w:t>
      </w:r>
      <w:r w:rsidRPr="006F1295">
        <w:rPr>
          <w:rFonts w:ascii="Times New Roman" w:hAnsi="Times New Roman" w:cs="Times New Roman"/>
          <w:i/>
          <w:sz w:val="24"/>
          <w:szCs w:val="24"/>
        </w:rPr>
        <w:t>ciclu bianual de plată</w:t>
      </w:r>
      <w:r w:rsidRPr="001748AE">
        <w:rPr>
          <w:rFonts w:ascii="Times New Roman" w:hAnsi="Times New Roman" w:cs="Times New Roman"/>
          <w:i/>
          <w:sz w:val="24"/>
          <w:szCs w:val="24"/>
        </w:rPr>
        <w:t xml:space="preserve"> din anul calendaristic, dacă sunt depuse cu cel puțin 10 săptămâni înainte de prima ședință semestrială a Comitetului pentru investiții.</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Comitetul pentru investiții se compune din câte </w:t>
      </w:r>
      <w:proofErr w:type="gramStart"/>
      <w:r w:rsidRPr="001748AE">
        <w:rPr>
          <w:rFonts w:ascii="Times New Roman" w:hAnsi="Times New Roman" w:cs="Times New Roman"/>
          <w:i/>
          <w:sz w:val="24"/>
          <w:szCs w:val="24"/>
        </w:rPr>
        <w:t>un</w:t>
      </w:r>
      <w:proofErr w:type="gramEnd"/>
      <w:r w:rsidRPr="001748AE">
        <w:rPr>
          <w:rFonts w:ascii="Times New Roman" w:hAnsi="Times New Roman" w:cs="Times New Roman"/>
          <w:i/>
          <w:sz w:val="24"/>
          <w:szCs w:val="24"/>
        </w:rPr>
        <w:t xml:space="preserve"> reprezentant al fiecărui stat membru beneficiar, al Comisiei și al BEI și din trei reprezentanți aleși de către celelalte state membre pentru o perioadă de cinci ani. </w:t>
      </w:r>
      <w:proofErr w:type="gramStart"/>
      <w:r w:rsidRPr="001748AE">
        <w:rPr>
          <w:rFonts w:ascii="Times New Roman" w:hAnsi="Times New Roman" w:cs="Times New Roman"/>
          <w:i/>
          <w:sz w:val="24"/>
          <w:szCs w:val="24"/>
        </w:rPr>
        <w:t xml:space="preserve">Comitetul pentru investiții se reunește de două ori pe an, cel </w:t>
      </w:r>
      <w:r w:rsidRPr="001748AE">
        <w:rPr>
          <w:rFonts w:ascii="Times New Roman" w:hAnsi="Times New Roman" w:cs="Times New Roman"/>
          <w:i/>
          <w:sz w:val="24"/>
          <w:szCs w:val="24"/>
        </w:rPr>
        <w:lastRenderedPageBreak/>
        <w:t>târziu până la 15 iulie și 15 decembrie.</w:t>
      </w:r>
      <w:proofErr w:type="gramEnd"/>
      <w:r w:rsidRPr="001748AE">
        <w:rPr>
          <w:rFonts w:ascii="Times New Roman" w:hAnsi="Times New Roman" w:cs="Times New Roman"/>
          <w:i/>
          <w:sz w:val="24"/>
          <w:szCs w:val="24"/>
        </w:rPr>
        <w:t xml:space="preserve"> Se</w:t>
      </w:r>
      <w:r w:rsidR="000B5509">
        <w:rPr>
          <w:rFonts w:ascii="Times New Roman" w:hAnsi="Times New Roman" w:cs="Times New Roman"/>
          <w:i/>
          <w:sz w:val="24"/>
          <w:szCs w:val="24"/>
        </w:rPr>
        <w:t>cretariatul Comitetului pentru i</w:t>
      </w:r>
      <w:r w:rsidRPr="001748AE">
        <w:rPr>
          <w:rFonts w:ascii="Times New Roman" w:hAnsi="Times New Roman" w:cs="Times New Roman"/>
          <w:i/>
          <w:sz w:val="24"/>
          <w:szCs w:val="24"/>
        </w:rPr>
        <w:t xml:space="preserve">nvestiții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comunica statelor membre data reuniunii imediat ce aceasta devine disponibilă.</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Statul beneficiar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comunica, până la data de 30 noiembrie a fiecărui </w:t>
      </w:r>
      <w:r w:rsidR="000B5509">
        <w:rPr>
          <w:rFonts w:ascii="Times New Roman" w:hAnsi="Times New Roman" w:cs="Times New Roman"/>
          <w:i/>
          <w:sz w:val="24"/>
          <w:szCs w:val="24"/>
        </w:rPr>
        <w:t>an, o prezentare generală, cu c</w:t>
      </w:r>
      <w:r w:rsidRPr="001748AE">
        <w:rPr>
          <w:rFonts w:ascii="Times New Roman" w:hAnsi="Times New Roman" w:cs="Times New Roman"/>
          <w:i/>
          <w:sz w:val="24"/>
          <w:szCs w:val="24"/>
        </w:rPr>
        <w:t>aracter informativ, a investițiilor pe care dorește să le angajeze în următorii doi ani.</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Statul membru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depune proiectele propuse pentru finnțare, însoțite de documentele prevăzute în Anexa I, înacdrâdu-le în una din categoriile m</w:t>
      </w:r>
      <w:r w:rsidR="000B5509">
        <w:rPr>
          <w:rFonts w:ascii="Times New Roman" w:hAnsi="Times New Roman" w:cs="Times New Roman"/>
          <w:i/>
          <w:sz w:val="24"/>
          <w:szCs w:val="24"/>
        </w:rPr>
        <w:t>enționate. Referitor la Scheme</w:t>
      </w:r>
      <w:r w:rsidRPr="001748AE">
        <w:rPr>
          <w:rFonts w:ascii="Times New Roman" w:hAnsi="Times New Roman" w:cs="Times New Roman"/>
          <w:i/>
          <w:sz w:val="24"/>
          <w:szCs w:val="24"/>
        </w:rPr>
        <w:t xml:space="preserve">, statul membru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solicita suma corespunzătoare pentru prima </w:t>
      </w:r>
      <w:r w:rsidRPr="00541533">
        <w:rPr>
          <w:rFonts w:ascii="Times New Roman" w:hAnsi="Times New Roman" w:cs="Times New Roman"/>
          <w:i/>
          <w:sz w:val="24"/>
          <w:szCs w:val="24"/>
        </w:rPr>
        <w:t>tranșă de plată</w:t>
      </w:r>
      <w:r w:rsidRPr="001748AE">
        <w:rPr>
          <w:rFonts w:ascii="Times New Roman" w:hAnsi="Times New Roman" w:cs="Times New Roman"/>
          <w:i/>
          <w:sz w:val="24"/>
          <w:szCs w:val="24"/>
        </w:rPr>
        <w:t xml:space="preserve">. </w:t>
      </w:r>
      <w:proofErr w:type="gramStart"/>
      <w:r w:rsidRPr="001748AE">
        <w:rPr>
          <w:rFonts w:ascii="Times New Roman" w:hAnsi="Times New Roman" w:cs="Times New Roman"/>
          <w:i/>
          <w:sz w:val="24"/>
          <w:szCs w:val="24"/>
        </w:rPr>
        <w:t>De asemenea, se vor depune documente justificative cu privire la faptul că partea de proiect/proiectul propus nu beneficiază de finanțare din alte surse naționale sau comunitare.</w:t>
      </w:r>
      <w:proofErr w:type="gramEnd"/>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BEI va informa statul membru cu privire la prima Decizia privind fondurile disponibile pentru statul beneficiar din Fondul de modernizare cu 4 săptămâni anterior reuniunii Comitetului de investiții, care va cuprinde:</w:t>
      </w:r>
    </w:p>
    <w:p w:rsidR="001748AE" w:rsidRPr="001748AE" w:rsidRDefault="001748AE" w:rsidP="001748AE">
      <w:pPr>
        <w:pStyle w:val="ListParagraph"/>
        <w:numPr>
          <w:ilvl w:val="0"/>
          <w:numId w:val="16"/>
        </w:numPr>
        <w:jc w:val="both"/>
        <w:rPr>
          <w:rFonts w:ascii="Times New Roman" w:hAnsi="Times New Roman" w:cs="Times New Roman"/>
          <w:i/>
          <w:sz w:val="24"/>
          <w:szCs w:val="24"/>
        </w:rPr>
      </w:pPr>
      <w:r w:rsidRPr="001748AE">
        <w:rPr>
          <w:rFonts w:ascii="Times New Roman" w:hAnsi="Times New Roman" w:cs="Times New Roman"/>
          <w:i/>
          <w:sz w:val="24"/>
          <w:szCs w:val="24"/>
        </w:rPr>
        <w:t>suma alocată, excluzând  orice altă sumă alocată, dar încă neplătită de către statul membru și costurile BEI specificate în acordul cu Comisia Europeană și cu statul membru privind costurile pentru îndeplinirea sarcinilor sale,</w:t>
      </w:r>
    </w:p>
    <w:p w:rsidR="001748AE" w:rsidRPr="001748AE" w:rsidRDefault="001748AE" w:rsidP="001748AE">
      <w:pPr>
        <w:pStyle w:val="ListParagraph"/>
        <w:numPr>
          <w:ilvl w:val="0"/>
          <w:numId w:val="16"/>
        </w:num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sumele</w:t>
      </w:r>
      <w:proofErr w:type="gramEnd"/>
      <w:r w:rsidRPr="001748AE">
        <w:rPr>
          <w:rFonts w:ascii="Times New Roman" w:hAnsi="Times New Roman" w:cs="Times New Roman"/>
          <w:i/>
          <w:sz w:val="24"/>
          <w:szCs w:val="24"/>
        </w:rPr>
        <w:t xml:space="preserve"> rămase din proiectele suspendate.</w:t>
      </w:r>
    </w:p>
    <w:p w:rsidR="001748AE" w:rsidRPr="001748AE" w:rsidRDefault="001748AE" w:rsidP="001748AE">
      <w:p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Statul membru poate solicita BEI informații cu privire la suma alocată în orice moment, pe toată perioada implementării Fondului.</w:t>
      </w:r>
      <w:proofErr w:type="gramEnd"/>
      <w:r w:rsidRPr="001748AE">
        <w:rPr>
          <w:rFonts w:ascii="Times New Roman" w:hAnsi="Times New Roman" w:cs="Times New Roman"/>
          <w:i/>
          <w:sz w:val="24"/>
          <w:szCs w:val="24"/>
        </w:rPr>
        <w:t xml:space="preserve"> </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Propunerile de investiții prezentate de statele membre beneficiare ca </w:t>
      </w:r>
      <w:r w:rsidRPr="000B5509">
        <w:rPr>
          <w:rFonts w:ascii="Times New Roman" w:hAnsi="Times New Roman" w:cs="Times New Roman"/>
          <w:b/>
          <w:i/>
          <w:sz w:val="24"/>
          <w:szCs w:val="24"/>
        </w:rPr>
        <w:t>investiții prioritare</w:t>
      </w:r>
      <w:r w:rsidRPr="001748AE">
        <w:rPr>
          <w:rFonts w:ascii="Times New Roman" w:hAnsi="Times New Roman" w:cs="Times New Roman"/>
          <w:i/>
          <w:sz w:val="24"/>
          <w:szCs w:val="24"/>
        </w:rPr>
        <w:t xml:space="preserve"> sunt evaluate de BEI în primul ciclu bian</w:t>
      </w:r>
      <w:r w:rsidR="000B5509">
        <w:rPr>
          <w:rFonts w:ascii="Times New Roman" w:hAnsi="Times New Roman" w:cs="Times New Roman"/>
          <w:i/>
          <w:sz w:val="24"/>
          <w:szCs w:val="24"/>
        </w:rPr>
        <w:t>u</w:t>
      </w:r>
      <w:r w:rsidRPr="001748AE">
        <w:rPr>
          <w:rFonts w:ascii="Times New Roman" w:hAnsi="Times New Roman" w:cs="Times New Roman"/>
          <w:i/>
          <w:sz w:val="24"/>
          <w:szCs w:val="24"/>
        </w:rPr>
        <w:t>al de plată din anul calendaristic, dacă sunt depuse cu cel puțin șase săptămâni înainte de prima ședință bianuală a Comitetului de Investiții. Cele care depășesc acest termen, se încadrează în al doilea ciclu bianual.</w:t>
      </w:r>
    </w:p>
    <w:p w:rsidR="001748AE" w:rsidRPr="001748AE" w:rsidRDefault="001748AE" w:rsidP="001748AE">
      <w:p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BEI poate solicita statului membru beneficiar orice informații sau documente suplimentare, pe care le consideră necesare pentru evaluarea investiției, acesta urmând a se conforma în termenele sus-menționate.</w:t>
      </w:r>
      <w:proofErr w:type="gramEnd"/>
      <w:r w:rsidRPr="001748AE">
        <w:rPr>
          <w:rFonts w:ascii="Times New Roman" w:hAnsi="Times New Roman" w:cs="Times New Roman"/>
          <w:i/>
          <w:sz w:val="24"/>
          <w:szCs w:val="24"/>
        </w:rPr>
        <w:t xml:space="preserve"> </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BEI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informa statul membru beneficiar în termen de cel mult patru săptămâni de la depunerea propunerii, cu motivarea deciziei, în cazul evaluării unui proiect:</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 </w:t>
      </w:r>
      <w:proofErr w:type="gramStart"/>
      <w:r w:rsidRPr="001748AE">
        <w:rPr>
          <w:rFonts w:ascii="Times New Roman" w:hAnsi="Times New Roman" w:cs="Times New Roman"/>
          <w:i/>
          <w:sz w:val="24"/>
          <w:szCs w:val="24"/>
        </w:rPr>
        <w:t>în</w:t>
      </w:r>
      <w:proofErr w:type="gramEnd"/>
      <w:r w:rsidRPr="001748AE">
        <w:rPr>
          <w:rFonts w:ascii="Times New Roman" w:hAnsi="Times New Roman" w:cs="Times New Roman"/>
          <w:i/>
          <w:sz w:val="24"/>
          <w:szCs w:val="24"/>
        </w:rPr>
        <w:t xml:space="preserve"> categoria non-prioritare</w:t>
      </w:r>
      <w:r w:rsidR="000B5509">
        <w:rPr>
          <w:rFonts w:ascii="Times New Roman" w:hAnsi="Times New Roman" w:cs="Times New Roman"/>
          <w:i/>
          <w:sz w:val="24"/>
          <w:szCs w:val="24"/>
        </w:rPr>
        <w:t>,</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 </w:t>
      </w:r>
      <w:proofErr w:type="gramStart"/>
      <w:r w:rsidRPr="001748AE">
        <w:rPr>
          <w:rFonts w:ascii="Times New Roman" w:hAnsi="Times New Roman" w:cs="Times New Roman"/>
          <w:i/>
          <w:sz w:val="24"/>
          <w:szCs w:val="24"/>
        </w:rPr>
        <w:t>neeligibil</w:t>
      </w:r>
      <w:proofErr w:type="gramEnd"/>
      <w:r w:rsidR="000B5509">
        <w:rPr>
          <w:rFonts w:ascii="Times New Roman" w:hAnsi="Times New Roman" w:cs="Times New Roman"/>
          <w:i/>
          <w:sz w:val="24"/>
          <w:szCs w:val="24"/>
        </w:rPr>
        <w:t>,</w:t>
      </w:r>
      <w:r w:rsidRPr="001748AE">
        <w:rPr>
          <w:rFonts w:ascii="Times New Roman" w:hAnsi="Times New Roman" w:cs="Times New Roman"/>
          <w:i/>
          <w:sz w:val="24"/>
          <w:szCs w:val="24"/>
        </w:rPr>
        <w:t xml:space="preserve"> conform criteriilor art. </w:t>
      </w:r>
      <w:proofErr w:type="gramStart"/>
      <w:r w:rsidRPr="001748AE">
        <w:rPr>
          <w:rFonts w:ascii="Times New Roman" w:hAnsi="Times New Roman" w:cs="Times New Roman"/>
          <w:i/>
          <w:sz w:val="24"/>
          <w:szCs w:val="24"/>
        </w:rPr>
        <w:t>10 d) alin.</w:t>
      </w:r>
      <w:proofErr w:type="gramEnd"/>
      <w:r w:rsidRPr="001748AE">
        <w:rPr>
          <w:rFonts w:ascii="Times New Roman" w:hAnsi="Times New Roman" w:cs="Times New Roman"/>
          <w:i/>
          <w:sz w:val="24"/>
          <w:szCs w:val="24"/>
        </w:rPr>
        <w:t xml:space="preserve"> (1) </w:t>
      </w:r>
      <w:proofErr w:type="gramStart"/>
      <w:r w:rsidRPr="001748AE">
        <w:rPr>
          <w:rFonts w:ascii="Times New Roman" w:hAnsi="Times New Roman" w:cs="Times New Roman"/>
          <w:i/>
          <w:sz w:val="24"/>
          <w:szCs w:val="24"/>
        </w:rPr>
        <w:t>din</w:t>
      </w:r>
      <w:proofErr w:type="gramEnd"/>
      <w:r w:rsidRPr="001748AE">
        <w:rPr>
          <w:rFonts w:ascii="Times New Roman" w:hAnsi="Times New Roman" w:cs="Times New Roman"/>
          <w:i/>
          <w:sz w:val="24"/>
          <w:szCs w:val="24"/>
        </w:rPr>
        <w:t xml:space="preserve"> Directiva EU-ETS.</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 xml:space="preserve">BEI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evalua proiectul în categoria proiectelor prioritare și va stabili suma aprobată, informând statul membru cu cel puțin o săptămână anterior pr</w:t>
      </w:r>
      <w:r w:rsidR="000B5509">
        <w:rPr>
          <w:rFonts w:ascii="Times New Roman" w:hAnsi="Times New Roman" w:cs="Times New Roman"/>
          <w:i/>
          <w:sz w:val="24"/>
          <w:szCs w:val="24"/>
        </w:rPr>
        <w:t>imei reuniuni a Comitetului de i</w:t>
      </w:r>
      <w:r w:rsidRPr="001748AE">
        <w:rPr>
          <w:rFonts w:ascii="Times New Roman" w:hAnsi="Times New Roman" w:cs="Times New Roman"/>
          <w:i/>
          <w:sz w:val="24"/>
          <w:szCs w:val="24"/>
        </w:rPr>
        <w:t>nvestiții, dacă sunt îndeplinite următoarele condiții cumulative:</w:t>
      </w:r>
    </w:p>
    <w:p w:rsidR="001748AE" w:rsidRPr="001748AE" w:rsidRDefault="001748AE" w:rsidP="001748AE">
      <w:pPr>
        <w:pStyle w:val="ListParagraph"/>
        <w:numPr>
          <w:ilvl w:val="0"/>
          <w:numId w:val="18"/>
        </w:numPr>
        <w:jc w:val="both"/>
        <w:rPr>
          <w:rFonts w:ascii="Times New Roman" w:hAnsi="Times New Roman" w:cs="Times New Roman"/>
          <w:i/>
          <w:sz w:val="24"/>
          <w:szCs w:val="24"/>
          <w:lang w:val="ro-RO"/>
        </w:rPr>
      </w:pPr>
      <w:r w:rsidRPr="001748AE">
        <w:rPr>
          <w:rFonts w:ascii="Times New Roman" w:hAnsi="Times New Roman" w:cs="Times New Roman"/>
          <w:i/>
          <w:sz w:val="24"/>
          <w:szCs w:val="24"/>
          <w:lang w:val="ro-RO"/>
        </w:rPr>
        <w:lastRenderedPageBreak/>
        <w:t>statul membru beneficiar a demonstrat că investiția respectă c</w:t>
      </w:r>
      <w:r w:rsidR="000B5509">
        <w:rPr>
          <w:rFonts w:ascii="Times New Roman" w:hAnsi="Times New Roman" w:cs="Times New Roman"/>
          <w:i/>
          <w:sz w:val="24"/>
          <w:szCs w:val="24"/>
          <w:lang w:val="ro-RO"/>
        </w:rPr>
        <w:t xml:space="preserve">erințele prevăzute la art. 10d </w:t>
      </w:r>
      <w:r w:rsidRPr="001748AE">
        <w:rPr>
          <w:rFonts w:ascii="Times New Roman" w:hAnsi="Times New Roman" w:cs="Times New Roman"/>
          <w:i/>
          <w:sz w:val="24"/>
          <w:szCs w:val="24"/>
          <w:lang w:val="ro-RO"/>
        </w:rPr>
        <w:t xml:space="preserve"> alin. (1) din Directiva EU-ETS și se încadrează în cel puțin una din cat</w:t>
      </w:r>
      <w:r w:rsidR="000B5509">
        <w:rPr>
          <w:rFonts w:ascii="Times New Roman" w:hAnsi="Times New Roman" w:cs="Times New Roman"/>
          <w:i/>
          <w:sz w:val="24"/>
          <w:szCs w:val="24"/>
          <w:lang w:val="ro-RO"/>
        </w:rPr>
        <w:t xml:space="preserve">egoriile prevăzute în art. 10d </w:t>
      </w:r>
      <w:r w:rsidRPr="001748AE">
        <w:rPr>
          <w:rFonts w:ascii="Times New Roman" w:hAnsi="Times New Roman" w:cs="Times New Roman"/>
          <w:i/>
          <w:sz w:val="24"/>
          <w:szCs w:val="24"/>
          <w:lang w:val="ro-RO"/>
        </w:rPr>
        <w:t xml:space="preserve"> alin. (2) din Directiva EU-ETS,</w:t>
      </w:r>
    </w:p>
    <w:p w:rsidR="001748AE" w:rsidRPr="001748AE" w:rsidRDefault="001748AE" w:rsidP="001748AE">
      <w:pPr>
        <w:pStyle w:val="ListParagraph"/>
        <w:numPr>
          <w:ilvl w:val="0"/>
          <w:numId w:val="18"/>
        </w:numPr>
        <w:jc w:val="both"/>
        <w:rPr>
          <w:rFonts w:ascii="Times New Roman" w:hAnsi="Times New Roman" w:cs="Times New Roman"/>
          <w:i/>
          <w:sz w:val="24"/>
          <w:szCs w:val="24"/>
        </w:rPr>
      </w:pPr>
      <w:r w:rsidRPr="001748AE">
        <w:rPr>
          <w:rFonts w:ascii="Times New Roman" w:hAnsi="Times New Roman" w:cs="Times New Roman"/>
          <w:i/>
          <w:sz w:val="24"/>
          <w:szCs w:val="24"/>
          <w:lang w:val="ro-RO"/>
        </w:rPr>
        <w:t xml:space="preserve">statul membru beneficiar are suficiente fonduri disponibile în conformitate cu Decizia privind fondurile disponibile și după deducerea oricăror sume aprobate anterior, </w:t>
      </w:r>
    </w:p>
    <w:p w:rsidR="001748AE" w:rsidRPr="001748AE" w:rsidRDefault="001748AE" w:rsidP="001748AE">
      <w:pPr>
        <w:pStyle w:val="ListParagraph"/>
        <w:numPr>
          <w:ilvl w:val="0"/>
          <w:numId w:val="18"/>
        </w:numPr>
        <w:jc w:val="both"/>
        <w:rPr>
          <w:rFonts w:ascii="Times New Roman" w:hAnsi="Times New Roman" w:cs="Times New Roman"/>
          <w:i/>
          <w:sz w:val="24"/>
          <w:szCs w:val="24"/>
        </w:rPr>
      </w:pPr>
      <w:r w:rsidRPr="001748AE">
        <w:rPr>
          <w:rFonts w:ascii="Times New Roman" w:hAnsi="Times New Roman" w:cs="Times New Roman"/>
          <w:i/>
          <w:sz w:val="24"/>
          <w:szCs w:val="24"/>
        </w:rPr>
        <w:t>statul membru dovedește că proiectul îndeplinește condițiile stipulate în legislația națională și europeană cu pivire la ajutorul de stat,</w:t>
      </w:r>
    </w:p>
    <w:p w:rsidR="001748AE" w:rsidRPr="001748AE" w:rsidRDefault="001748AE" w:rsidP="001748AE">
      <w:pPr>
        <w:pStyle w:val="ListParagraph"/>
        <w:numPr>
          <w:ilvl w:val="0"/>
          <w:numId w:val="18"/>
        </w:num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nu</w:t>
      </w:r>
      <w:proofErr w:type="gramEnd"/>
      <w:r w:rsidRPr="001748AE">
        <w:rPr>
          <w:rFonts w:ascii="Times New Roman" w:hAnsi="Times New Roman" w:cs="Times New Roman"/>
          <w:i/>
          <w:sz w:val="24"/>
          <w:szCs w:val="24"/>
        </w:rPr>
        <w:t xml:space="preserve"> beneficiază de alte surse de finanțare pentru segmentul de proiect/proiectul integral pentru care se aplică.</w:t>
      </w:r>
    </w:p>
    <w:p w:rsidR="001748AE" w:rsidRPr="001748AE" w:rsidRDefault="001748AE" w:rsidP="001748AE">
      <w:pPr>
        <w:jc w:val="both"/>
        <w:rPr>
          <w:rFonts w:ascii="Times New Roman" w:hAnsi="Times New Roman" w:cs="Times New Roman"/>
          <w:i/>
          <w:sz w:val="24"/>
          <w:szCs w:val="24"/>
        </w:rPr>
      </w:pPr>
      <w:r w:rsidRPr="001748AE">
        <w:rPr>
          <w:rFonts w:ascii="Times New Roman" w:hAnsi="Times New Roman" w:cs="Times New Roman"/>
          <w:i/>
          <w:sz w:val="24"/>
          <w:szCs w:val="24"/>
        </w:rPr>
        <w:t>Propunerile de investiții prezentate de statele membre beneficiare ca investiții non-prioritare sunt evaluate de către Comitetul de investiții în primul ciclu bianual de plată din anul calendaristic, dacă sunt depuse cu cel puțin 10 săptămâni înainte de prima șed</w:t>
      </w:r>
      <w:r w:rsidR="000B5509">
        <w:rPr>
          <w:rFonts w:ascii="Times New Roman" w:hAnsi="Times New Roman" w:cs="Times New Roman"/>
          <w:i/>
          <w:sz w:val="24"/>
          <w:szCs w:val="24"/>
        </w:rPr>
        <w:t>ință bianuală a Comitetului de i</w:t>
      </w:r>
      <w:r w:rsidRPr="001748AE">
        <w:rPr>
          <w:rFonts w:ascii="Times New Roman" w:hAnsi="Times New Roman" w:cs="Times New Roman"/>
          <w:i/>
          <w:sz w:val="24"/>
          <w:szCs w:val="24"/>
        </w:rPr>
        <w:t>nvestiții. Cele care depășesc acest termen, se încadrează în al doilea ciclu bianual.</w:t>
      </w:r>
    </w:p>
    <w:p w:rsidR="001748AE" w:rsidRDefault="001748AE" w:rsidP="001748AE">
      <w:p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BEI poate solicita statului membru beneficiar orice informații sau documente suplimentare, pe care le consideră necesare pentru evaluarea investiției din perspectivă tehnico-financiară, acesta urmând a se conforma în termenele sus-menționate.</w:t>
      </w:r>
      <w:proofErr w:type="gramEnd"/>
      <w:r w:rsidRPr="001748AE">
        <w:rPr>
          <w:rFonts w:ascii="Times New Roman" w:hAnsi="Times New Roman" w:cs="Times New Roman"/>
          <w:i/>
          <w:sz w:val="24"/>
          <w:szCs w:val="24"/>
        </w:rPr>
        <w:t xml:space="preserve"> </w:t>
      </w:r>
      <w:r w:rsidRPr="006F1295">
        <w:rPr>
          <w:rFonts w:ascii="Times New Roman" w:hAnsi="Times New Roman" w:cs="Times New Roman"/>
          <w:i/>
          <w:sz w:val="24"/>
          <w:szCs w:val="24"/>
        </w:rPr>
        <w:t>Evaluarea va include valoarea financiară a investiției, fiind exceptate sumele proporționale corespunzătoare ajutorului de stat, aprobat de către Comisia Europeană, dacă proiectele beneficiază de acesta</w:t>
      </w:r>
      <w:bookmarkStart w:id="0" w:name="_GoBack"/>
      <w:bookmarkEnd w:id="0"/>
      <w:r w:rsidRPr="001748AE">
        <w:rPr>
          <w:rFonts w:ascii="Times New Roman" w:hAnsi="Times New Roman" w:cs="Times New Roman"/>
          <w:i/>
          <w:sz w:val="24"/>
          <w:szCs w:val="24"/>
        </w:rPr>
        <w:t>.</w:t>
      </w:r>
    </w:p>
    <w:p w:rsidR="001748AE" w:rsidRPr="001748AE" w:rsidRDefault="001748AE" w:rsidP="000B5509">
      <w:pPr>
        <w:jc w:val="both"/>
        <w:rPr>
          <w:rFonts w:ascii="Times New Roman" w:hAnsi="Times New Roman" w:cs="Times New Roman"/>
          <w:i/>
          <w:sz w:val="24"/>
          <w:szCs w:val="24"/>
        </w:rPr>
      </w:pPr>
      <w:r w:rsidRPr="001748AE">
        <w:rPr>
          <w:rFonts w:ascii="Times New Roman" w:hAnsi="Times New Roman" w:cs="Times New Roman"/>
          <w:i/>
          <w:sz w:val="24"/>
          <w:szCs w:val="24"/>
        </w:rPr>
        <w:t xml:space="preserve">Comitetul de investiții emite </w:t>
      </w:r>
      <w:r w:rsidRPr="000B5509">
        <w:rPr>
          <w:rFonts w:ascii="Times New Roman" w:hAnsi="Times New Roman" w:cs="Times New Roman"/>
          <w:b/>
          <w:i/>
          <w:sz w:val="24"/>
          <w:szCs w:val="24"/>
        </w:rPr>
        <w:t>recomandarea de finanțare</w:t>
      </w:r>
      <w:r w:rsidRPr="001748AE">
        <w:rPr>
          <w:rFonts w:ascii="Times New Roman" w:hAnsi="Times New Roman" w:cs="Times New Roman"/>
          <w:i/>
          <w:sz w:val="24"/>
          <w:szCs w:val="24"/>
        </w:rPr>
        <w:t>, dacă sunt dacă sunt îndeplinite următoarele condiții cumulative:</w:t>
      </w:r>
    </w:p>
    <w:p w:rsidR="001748AE" w:rsidRPr="001748AE" w:rsidRDefault="001748AE" w:rsidP="000B5509">
      <w:pPr>
        <w:pStyle w:val="ListParagraph"/>
        <w:numPr>
          <w:ilvl w:val="0"/>
          <w:numId w:val="21"/>
        </w:num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statul</w:t>
      </w:r>
      <w:proofErr w:type="gramEnd"/>
      <w:r w:rsidRPr="001748AE">
        <w:rPr>
          <w:rFonts w:ascii="Times New Roman" w:hAnsi="Times New Roman" w:cs="Times New Roman"/>
          <w:i/>
          <w:sz w:val="24"/>
          <w:szCs w:val="24"/>
        </w:rPr>
        <w:t xml:space="preserve"> membru beneficiar a demonstrat că investiția respectă c</w:t>
      </w:r>
      <w:r w:rsidR="000B5509">
        <w:rPr>
          <w:rFonts w:ascii="Times New Roman" w:hAnsi="Times New Roman" w:cs="Times New Roman"/>
          <w:i/>
          <w:sz w:val="24"/>
          <w:szCs w:val="24"/>
        </w:rPr>
        <w:t xml:space="preserve">erințele prevăzute la art. </w:t>
      </w:r>
      <w:proofErr w:type="gramStart"/>
      <w:r w:rsidR="000B5509">
        <w:rPr>
          <w:rFonts w:ascii="Times New Roman" w:hAnsi="Times New Roman" w:cs="Times New Roman"/>
          <w:i/>
          <w:sz w:val="24"/>
          <w:szCs w:val="24"/>
        </w:rPr>
        <w:t xml:space="preserve">10d </w:t>
      </w:r>
      <w:r w:rsidRPr="001748AE">
        <w:rPr>
          <w:rFonts w:ascii="Times New Roman" w:hAnsi="Times New Roman" w:cs="Times New Roman"/>
          <w:i/>
          <w:sz w:val="24"/>
          <w:szCs w:val="24"/>
        </w:rPr>
        <w:t xml:space="preserve"> alin</w:t>
      </w:r>
      <w:proofErr w:type="gramEnd"/>
      <w:r w:rsidRPr="001748AE">
        <w:rPr>
          <w:rFonts w:ascii="Times New Roman" w:hAnsi="Times New Roman" w:cs="Times New Roman"/>
          <w:i/>
          <w:sz w:val="24"/>
          <w:szCs w:val="24"/>
        </w:rPr>
        <w:t>. (1) din Directiva EU-ETS,</w:t>
      </w:r>
    </w:p>
    <w:p w:rsidR="001748AE" w:rsidRPr="001748AE" w:rsidRDefault="001748AE" w:rsidP="000B5509">
      <w:pPr>
        <w:pStyle w:val="ListParagraph"/>
        <w:numPr>
          <w:ilvl w:val="0"/>
          <w:numId w:val="21"/>
        </w:numPr>
        <w:jc w:val="both"/>
        <w:rPr>
          <w:rFonts w:ascii="Times New Roman" w:hAnsi="Times New Roman" w:cs="Times New Roman"/>
          <w:i/>
          <w:sz w:val="24"/>
          <w:szCs w:val="24"/>
        </w:rPr>
      </w:pPr>
      <w:r w:rsidRPr="001748AE">
        <w:rPr>
          <w:rFonts w:ascii="Times New Roman" w:hAnsi="Times New Roman" w:cs="Times New Roman"/>
          <w:i/>
          <w:sz w:val="24"/>
          <w:szCs w:val="24"/>
        </w:rPr>
        <w:t xml:space="preserve">statul membru beneficiar are suficiente fonduri disponibile în conformitate cu Decizia privind fondurile disponibile și după deducerea oricăror sume aprobate anterior, </w:t>
      </w:r>
    </w:p>
    <w:p w:rsidR="001748AE" w:rsidRPr="001748AE" w:rsidRDefault="001748AE" w:rsidP="000B5509">
      <w:pPr>
        <w:pStyle w:val="ListParagraph"/>
        <w:numPr>
          <w:ilvl w:val="0"/>
          <w:numId w:val="21"/>
        </w:numPr>
        <w:jc w:val="both"/>
        <w:rPr>
          <w:rFonts w:ascii="Times New Roman" w:hAnsi="Times New Roman" w:cs="Times New Roman"/>
          <w:i/>
          <w:sz w:val="24"/>
          <w:szCs w:val="24"/>
        </w:rPr>
      </w:pPr>
      <w:r w:rsidRPr="001748AE">
        <w:rPr>
          <w:rFonts w:ascii="Times New Roman" w:hAnsi="Times New Roman" w:cs="Times New Roman"/>
          <w:i/>
          <w:sz w:val="24"/>
          <w:szCs w:val="24"/>
        </w:rPr>
        <w:t xml:space="preserve">cota fondurilor alocate investițiilor prioritare este de cel puțin 70% din valoarea totală a fondurilor utilizate de statul membru beneficiar, inclusiv următoarele fonduri: fonduri deja plătite pentru investiții prioritare și non-prioritare; fonduri aprobate prin Decizii anterioare </w:t>
      </w:r>
      <w:r w:rsidRPr="001748AE">
        <w:rPr>
          <w:rFonts w:ascii="Times New Roman" w:hAnsi="Times New Roman" w:cs="Times New Roman"/>
          <w:i/>
          <w:sz w:val="24"/>
          <w:szCs w:val="24"/>
          <w:lang w:val="ro-RO"/>
        </w:rPr>
        <w:t>î</w:t>
      </w:r>
      <w:r w:rsidRPr="001748AE">
        <w:rPr>
          <w:rFonts w:ascii="Times New Roman" w:hAnsi="Times New Roman" w:cs="Times New Roman"/>
          <w:i/>
          <w:sz w:val="24"/>
          <w:szCs w:val="24"/>
        </w:rPr>
        <w:t>n cadrul finan</w:t>
      </w:r>
      <w:r w:rsidRPr="001748AE">
        <w:rPr>
          <w:rFonts w:ascii="Times New Roman" w:hAnsi="Times New Roman" w:cs="Times New Roman"/>
          <w:i/>
          <w:sz w:val="24"/>
          <w:szCs w:val="24"/>
          <w:lang w:val="ro-RO"/>
        </w:rPr>
        <w:t>țării din Fondul de modernizare</w:t>
      </w:r>
      <w:r w:rsidRPr="001748AE">
        <w:rPr>
          <w:rFonts w:ascii="Times New Roman" w:hAnsi="Times New Roman" w:cs="Times New Roman"/>
          <w:i/>
          <w:sz w:val="24"/>
          <w:szCs w:val="24"/>
        </w:rPr>
        <w:t>; fonduri solicitate în cadrul finanțării din Fondul de modernizare, aflate în procedură de evaluare,</w:t>
      </w:r>
    </w:p>
    <w:p w:rsidR="001748AE" w:rsidRPr="001748AE" w:rsidRDefault="001748AE" w:rsidP="000B5509">
      <w:pPr>
        <w:pStyle w:val="ListParagraph"/>
        <w:numPr>
          <w:ilvl w:val="0"/>
          <w:numId w:val="21"/>
        </w:num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finanțarea</w:t>
      </w:r>
      <w:proofErr w:type="gramEnd"/>
      <w:r w:rsidRPr="001748AE">
        <w:rPr>
          <w:rFonts w:ascii="Times New Roman" w:hAnsi="Times New Roman" w:cs="Times New Roman"/>
          <w:i/>
          <w:sz w:val="24"/>
          <w:szCs w:val="24"/>
        </w:rPr>
        <w:t xml:space="preserve"> este </w:t>
      </w:r>
      <w:r w:rsidR="000B5509">
        <w:rPr>
          <w:rFonts w:ascii="Times New Roman" w:hAnsi="Times New Roman" w:cs="Times New Roman"/>
          <w:i/>
          <w:sz w:val="24"/>
          <w:szCs w:val="24"/>
        </w:rPr>
        <w:t xml:space="preserve">conformă prevederilor art. </w:t>
      </w:r>
      <w:proofErr w:type="gramStart"/>
      <w:r w:rsidR="000B5509">
        <w:rPr>
          <w:rFonts w:ascii="Times New Roman" w:hAnsi="Times New Roman" w:cs="Times New Roman"/>
          <w:i/>
          <w:sz w:val="24"/>
          <w:szCs w:val="24"/>
        </w:rPr>
        <w:t xml:space="preserve">10d </w:t>
      </w:r>
      <w:r w:rsidRPr="001748AE">
        <w:rPr>
          <w:rFonts w:ascii="Times New Roman" w:hAnsi="Times New Roman" w:cs="Times New Roman"/>
          <w:i/>
          <w:sz w:val="24"/>
          <w:szCs w:val="24"/>
        </w:rPr>
        <w:t xml:space="preserve"> alin</w:t>
      </w:r>
      <w:proofErr w:type="gramEnd"/>
      <w:r w:rsidRPr="001748AE">
        <w:rPr>
          <w:rFonts w:ascii="Times New Roman" w:hAnsi="Times New Roman" w:cs="Times New Roman"/>
          <w:i/>
          <w:sz w:val="24"/>
          <w:szCs w:val="24"/>
        </w:rPr>
        <w:t>. (6) din Directiva EU-ETS, anume faptul că până la 70 % din costurile relevante ale unei investiții care nu se încadrează în domeniile proiectelor prioritare, pot fi asigurate din resurse ale fondului pentru modernizare, cu condiția ca restul costurilor să fie finanțate de entități juridice private,</w:t>
      </w:r>
    </w:p>
    <w:p w:rsidR="001748AE" w:rsidRPr="001748AE" w:rsidRDefault="001748AE" w:rsidP="000B5509">
      <w:pPr>
        <w:pStyle w:val="ListParagraph"/>
        <w:numPr>
          <w:ilvl w:val="0"/>
          <w:numId w:val="21"/>
        </w:numPr>
        <w:jc w:val="both"/>
        <w:rPr>
          <w:rFonts w:ascii="Times New Roman" w:hAnsi="Times New Roman" w:cs="Times New Roman"/>
          <w:i/>
          <w:sz w:val="24"/>
          <w:szCs w:val="24"/>
        </w:rPr>
      </w:pPr>
      <w:r w:rsidRPr="001748AE">
        <w:rPr>
          <w:rFonts w:ascii="Times New Roman" w:hAnsi="Times New Roman" w:cs="Times New Roman"/>
          <w:i/>
          <w:sz w:val="24"/>
          <w:szCs w:val="24"/>
        </w:rPr>
        <w:t>statul membru dovedește că proiectul îndeplinește condițiile stipulate în legislația națională și europeană cu pivire la ajutorul de stat,</w:t>
      </w:r>
    </w:p>
    <w:p w:rsidR="001748AE" w:rsidRPr="001748AE" w:rsidRDefault="001748AE" w:rsidP="000B5509">
      <w:pPr>
        <w:pStyle w:val="ListParagraph"/>
        <w:numPr>
          <w:ilvl w:val="0"/>
          <w:numId w:val="21"/>
        </w:num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lastRenderedPageBreak/>
        <w:t>nu</w:t>
      </w:r>
      <w:proofErr w:type="gramEnd"/>
      <w:r w:rsidRPr="001748AE">
        <w:rPr>
          <w:rFonts w:ascii="Times New Roman" w:hAnsi="Times New Roman" w:cs="Times New Roman"/>
          <w:i/>
          <w:sz w:val="24"/>
          <w:szCs w:val="24"/>
        </w:rPr>
        <w:t xml:space="preserve"> beneficiază de alte surse de finanțare pentru segmentul de proiect/proiectul integral pentru care se aplică.</w:t>
      </w:r>
    </w:p>
    <w:p w:rsidR="001748AE" w:rsidRPr="001748AE" w:rsidRDefault="001748AE" w:rsidP="000B5509">
      <w:pPr>
        <w:jc w:val="both"/>
        <w:rPr>
          <w:rFonts w:ascii="Times New Roman" w:hAnsi="Times New Roman" w:cs="Times New Roman"/>
          <w:i/>
          <w:sz w:val="24"/>
          <w:szCs w:val="24"/>
        </w:rPr>
      </w:pPr>
      <w:r w:rsidRPr="001748AE">
        <w:rPr>
          <w:rFonts w:ascii="Times New Roman" w:hAnsi="Times New Roman" w:cs="Times New Roman"/>
          <w:i/>
          <w:sz w:val="24"/>
          <w:szCs w:val="24"/>
        </w:rPr>
        <w:t xml:space="preserve">Comitetul de investiții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motiva respingerea finanțării proiectului, statul beneficiar având posibilitate de a se conforma sugestiilor comitetului și de a retransmite cererea de finanțare modificată în următorul ciclu bianual de plată.</w:t>
      </w:r>
    </w:p>
    <w:p w:rsidR="001748AE" w:rsidRPr="001748AE" w:rsidRDefault="001748AE" w:rsidP="000B5509">
      <w:pPr>
        <w:jc w:val="both"/>
        <w:rPr>
          <w:rFonts w:ascii="Times New Roman" w:hAnsi="Times New Roman" w:cs="Times New Roman"/>
          <w:i/>
          <w:sz w:val="24"/>
          <w:szCs w:val="24"/>
        </w:rPr>
      </w:pPr>
      <w:r w:rsidRPr="000B5509">
        <w:rPr>
          <w:rFonts w:ascii="Times New Roman" w:hAnsi="Times New Roman" w:cs="Times New Roman"/>
          <w:b/>
          <w:i/>
          <w:sz w:val="24"/>
          <w:szCs w:val="24"/>
        </w:rPr>
        <w:t xml:space="preserve">Anterior datei de 15 iulie sau 15 decembrie, Comisia Europeană </w:t>
      </w:r>
      <w:proofErr w:type="gramStart"/>
      <w:r w:rsidRPr="000B5509">
        <w:rPr>
          <w:rFonts w:ascii="Times New Roman" w:hAnsi="Times New Roman" w:cs="Times New Roman"/>
          <w:b/>
          <w:i/>
          <w:sz w:val="24"/>
          <w:szCs w:val="24"/>
        </w:rPr>
        <w:t>va</w:t>
      </w:r>
      <w:proofErr w:type="gramEnd"/>
      <w:r w:rsidRPr="000B5509">
        <w:rPr>
          <w:rFonts w:ascii="Times New Roman" w:hAnsi="Times New Roman" w:cs="Times New Roman"/>
          <w:b/>
          <w:i/>
          <w:sz w:val="24"/>
          <w:szCs w:val="24"/>
        </w:rPr>
        <w:t xml:space="preserve"> aproba, în timp util, Decizia de plată pentru proiectele </w:t>
      </w:r>
      <w:r w:rsidRPr="001748AE">
        <w:rPr>
          <w:rFonts w:ascii="Times New Roman" w:hAnsi="Times New Roman" w:cs="Times New Roman"/>
          <w:i/>
          <w:sz w:val="24"/>
          <w:szCs w:val="24"/>
        </w:rPr>
        <w:t xml:space="preserve">evaluate și propuse de către BEI și Comitetul de investiții. Privitor la Scheme, Decizia </w:t>
      </w:r>
      <w:proofErr w:type="gramStart"/>
      <w:r w:rsidRPr="001748AE">
        <w:rPr>
          <w:rFonts w:ascii="Times New Roman" w:hAnsi="Times New Roman" w:cs="Times New Roman"/>
          <w:i/>
          <w:sz w:val="24"/>
          <w:szCs w:val="24"/>
        </w:rPr>
        <w:t>va</w:t>
      </w:r>
      <w:proofErr w:type="gramEnd"/>
      <w:r w:rsidRPr="001748AE">
        <w:rPr>
          <w:rFonts w:ascii="Times New Roman" w:hAnsi="Times New Roman" w:cs="Times New Roman"/>
          <w:i/>
          <w:sz w:val="24"/>
          <w:szCs w:val="24"/>
        </w:rPr>
        <w:t xml:space="preserve"> include sumele alocate pentru prima decizie de plată, precum și pentru cele subsecvente. </w:t>
      </w:r>
      <w:proofErr w:type="gramStart"/>
      <w:r w:rsidRPr="001748AE">
        <w:rPr>
          <w:rFonts w:ascii="Times New Roman" w:hAnsi="Times New Roman" w:cs="Times New Roman"/>
          <w:i/>
          <w:sz w:val="24"/>
          <w:szCs w:val="24"/>
        </w:rPr>
        <w:t>Sumele se vor transmite statului beneficiar în termen de 30 de zile.</w:t>
      </w:r>
      <w:proofErr w:type="gramEnd"/>
      <w:r w:rsidRPr="001748AE">
        <w:rPr>
          <w:rFonts w:ascii="Times New Roman" w:hAnsi="Times New Roman" w:cs="Times New Roman"/>
          <w:i/>
          <w:sz w:val="24"/>
          <w:szCs w:val="24"/>
        </w:rPr>
        <w:t xml:space="preserve"> </w:t>
      </w:r>
    </w:p>
    <w:p w:rsidR="001748AE" w:rsidRPr="001748AE" w:rsidRDefault="001748AE" w:rsidP="000B5509">
      <w:p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Rapoartele privind implementarea fondurilor se vor transmite de către statul beneficiar annual, până la data de 30 aprilie, pentru anul anterior.</w:t>
      </w:r>
      <w:proofErr w:type="gramEnd"/>
    </w:p>
    <w:p w:rsidR="001748AE" w:rsidRPr="001748AE" w:rsidRDefault="001748AE" w:rsidP="000B5509">
      <w:pPr>
        <w:jc w:val="both"/>
        <w:rPr>
          <w:rFonts w:ascii="Times New Roman" w:hAnsi="Times New Roman" w:cs="Times New Roman"/>
          <w:i/>
          <w:sz w:val="24"/>
          <w:szCs w:val="24"/>
        </w:rPr>
      </w:pPr>
      <w:r w:rsidRPr="001748AE">
        <w:rPr>
          <w:rFonts w:ascii="Times New Roman" w:hAnsi="Times New Roman" w:cs="Times New Roman"/>
          <w:i/>
          <w:sz w:val="24"/>
          <w:szCs w:val="24"/>
        </w:rPr>
        <w:t>Statul membru beneficiar  va organiza procedura de audit, pe baza documentelor și a controalelor la fața locului, a tuturor beneficiarilor de proiecte și a autorităților de gestionare a schemei, contractanților și subcontractanților cărora le-au oferit finanțare prin Fondului de modernizare.</w:t>
      </w:r>
    </w:p>
    <w:p w:rsidR="00A36B35" w:rsidRPr="000B5509" w:rsidRDefault="001748AE" w:rsidP="000B5509">
      <w:pPr>
        <w:jc w:val="both"/>
        <w:rPr>
          <w:rFonts w:ascii="Times New Roman" w:hAnsi="Times New Roman" w:cs="Times New Roman"/>
          <w:i/>
          <w:sz w:val="24"/>
          <w:szCs w:val="24"/>
        </w:rPr>
      </w:pPr>
      <w:proofErr w:type="gramStart"/>
      <w:r w:rsidRPr="001748AE">
        <w:rPr>
          <w:rFonts w:ascii="Times New Roman" w:hAnsi="Times New Roman" w:cs="Times New Roman"/>
          <w:i/>
          <w:sz w:val="24"/>
          <w:szCs w:val="24"/>
        </w:rPr>
        <w:t>Toate documentele și informațiile justificative privind plata sau cheltuielile efectuate se vor rămâne disponibile pentru o perioadă de cinci ani de la ultima plată</w:t>
      </w:r>
      <w:r w:rsidR="000320DD">
        <w:rPr>
          <w:rFonts w:ascii="Times New Roman" w:hAnsi="Times New Roman" w:cs="Times New Roman"/>
          <w:i/>
          <w:sz w:val="24"/>
          <w:szCs w:val="24"/>
        </w:rPr>
        <w:t xml:space="preserve"> pentru orice proiect sau schemă</w:t>
      </w:r>
      <w:r w:rsidRPr="001748AE">
        <w:rPr>
          <w:rFonts w:ascii="Times New Roman" w:hAnsi="Times New Roman" w:cs="Times New Roman"/>
          <w:i/>
          <w:sz w:val="24"/>
          <w:szCs w:val="24"/>
        </w:rPr>
        <w:t>.</w:t>
      </w:r>
      <w:proofErr w:type="gramEnd"/>
      <w:r w:rsidRPr="001748AE">
        <w:rPr>
          <w:rFonts w:ascii="Times New Roman" w:hAnsi="Times New Roman" w:cs="Times New Roman"/>
          <w:i/>
          <w:sz w:val="24"/>
          <w:szCs w:val="24"/>
        </w:rPr>
        <w:t xml:space="preserve"> </w:t>
      </w:r>
    </w:p>
    <w:tbl>
      <w:tblPr>
        <w:tblStyle w:val="TableGrid"/>
        <w:tblW w:w="9422" w:type="dxa"/>
        <w:shd w:val="clear" w:color="auto" w:fill="FFFFFF" w:themeFill="background1"/>
        <w:tblLook w:val="04A0" w:firstRow="1" w:lastRow="0" w:firstColumn="1" w:lastColumn="0" w:noHBand="0" w:noVBand="1"/>
      </w:tblPr>
      <w:tblGrid>
        <w:gridCol w:w="9422"/>
      </w:tblGrid>
      <w:tr w:rsidR="00A36B35" w:rsidTr="00835040">
        <w:trPr>
          <w:trHeight w:val="5798"/>
        </w:trPr>
        <w:tc>
          <w:tcPr>
            <w:tcW w:w="9422" w:type="dxa"/>
            <w:shd w:val="clear" w:color="auto" w:fill="FFFFFF" w:themeFill="background1"/>
          </w:tcPr>
          <w:p w:rsidR="00A36B35" w:rsidRDefault="00A36B35" w:rsidP="00A36B35">
            <w:pPr>
              <w:jc w:val="both"/>
              <w:rPr>
                <w:rFonts w:ascii="Times New Roman" w:hAnsi="Times New Roman" w:cs="Times New Roman"/>
                <w:b/>
                <w:i/>
                <w:color w:val="E36C0A" w:themeColor="accent6" w:themeShade="BF"/>
                <w:sz w:val="24"/>
                <w:szCs w:val="24"/>
              </w:rPr>
            </w:pPr>
          </w:p>
          <w:p w:rsidR="00A36B35" w:rsidRPr="001748AE" w:rsidRDefault="00A36B35" w:rsidP="00A36B35">
            <w:pPr>
              <w:jc w:val="both"/>
              <w:rPr>
                <w:rFonts w:ascii="Times New Roman" w:hAnsi="Times New Roman" w:cs="Times New Roman"/>
                <w:b/>
                <w:i/>
                <w:color w:val="C00000"/>
                <w:sz w:val="24"/>
                <w:szCs w:val="24"/>
              </w:rPr>
            </w:pPr>
            <w:r w:rsidRPr="001748AE">
              <w:rPr>
                <w:rFonts w:ascii="Times New Roman" w:hAnsi="Times New Roman" w:cs="Times New Roman"/>
                <w:b/>
                <w:i/>
                <w:color w:val="C00000"/>
                <w:sz w:val="24"/>
                <w:szCs w:val="24"/>
              </w:rPr>
              <w:t>Ministerul Economiei, Energiei și Mediului de Afaceri (MEEMA) va organi</w:t>
            </w:r>
            <w:r w:rsidR="00541533">
              <w:rPr>
                <w:rFonts w:ascii="Times New Roman" w:hAnsi="Times New Roman" w:cs="Times New Roman"/>
                <w:b/>
                <w:i/>
                <w:color w:val="C00000"/>
                <w:sz w:val="24"/>
                <w:szCs w:val="24"/>
              </w:rPr>
              <w:t>za întâlniri cu reprezentanții operatorilor economici interesați</w:t>
            </w:r>
            <w:r w:rsidRPr="001748AE">
              <w:rPr>
                <w:rFonts w:ascii="Times New Roman" w:hAnsi="Times New Roman" w:cs="Times New Roman"/>
                <w:b/>
                <w:i/>
                <w:color w:val="C00000"/>
                <w:sz w:val="24"/>
                <w:szCs w:val="24"/>
              </w:rPr>
              <w:t>, începând cu luna iu</w:t>
            </w:r>
            <w:r w:rsidR="00541533">
              <w:rPr>
                <w:rFonts w:ascii="Times New Roman" w:hAnsi="Times New Roman" w:cs="Times New Roman"/>
                <w:b/>
                <w:i/>
                <w:color w:val="C00000"/>
                <w:sz w:val="24"/>
                <w:szCs w:val="24"/>
              </w:rPr>
              <w:t>nie</w:t>
            </w:r>
            <w:r w:rsidRPr="001748AE">
              <w:rPr>
                <w:rFonts w:ascii="Times New Roman" w:hAnsi="Times New Roman" w:cs="Times New Roman"/>
                <w:b/>
                <w:i/>
                <w:color w:val="C00000"/>
                <w:sz w:val="24"/>
                <w:szCs w:val="24"/>
              </w:rPr>
              <w:t xml:space="preserve">, în vederea pregătirii procesului de aplicație a proiectelor. </w:t>
            </w:r>
          </w:p>
          <w:p w:rsidR="00A36B35" w:rsidRPr="001748AE" w:rsidRDefault="00A36B35" w:rsidP="00A36B35">
            <w:pPr>
              <w:jc w:val="both"/>
              <w:rPr>
                <w:rFonts w:ascii="Times New Roman" w:hAnsi="Times New Roman" w:cs="Times New Roman"/>
                <w:b/>
                <w:i/>
                <w:color w:val="C00000"/>
                <w:sz w:val="24"/>
                <w:szCs w:val="24"/>
              </w:rPr>
            </w:pPr>
          </w:p>
          <w:p w:rsidR="00A36B35" w:rsidRPr="001748AE" w:rsidRDefault="00A36B35" w:rsidP="00A36B35">
            <w:pPr>
              <w:jc w:val="both"/>
              <w:rPr>
                <w:rFonts w:ascii="Times New Roman" w:hAnsi="Times New Roman" w:cs="Times New Roman"/>
                <w:b/>
                <w:i/>
                <w:color w:val="C00000"/>
                <w:sz w:val="24"/>
                <w:szCs w:val="24"/>
              </w:rPr>
            </w:pPr>
            <w:r w:rsidRPr="001748AE">
              <w:rPr>
                <w:rFonts w:ascii="Times New Roman" w:hAnsi="Times New Roman" w:cs="Times New Roman"/>
                <w:b/>
                <w:i/>
                <w:color w:val="C00000"/>
                <w:sz w:val="24"/>
                <w:szCs w:val="24"/>
              </w:rPr>
              <w:t>Considerând faptul că MEEMA menține un dialog permanent cu reprezentanții Comis</w:t>
            </w:r>
            <w:r w:rsidR="000320DD">
              <w:rPr>
                <w:rFonts w:ascii="Times New Roman" w:hAnsi="Times New Roman" w:cs="Times New Roman"/>
                <w:b/>
                <w:i/>
                <w:color w:val="C00000"/>
                <w:sz w:val="24"/>
                <w:szCs w:val="24"/>
              </w:rPr>
              <w:t>iei Europene cu responsabilitate în elaborarea cadrului legal pentru</w:t>
            </w:r>
            <w:r w:rsidRPr="001748AE">
              <w:rPr>
                <w:rFonts w:ascii="Times New Roman" w:hAnsi="Times New Roman" w:cs="Times New Roman"/>
                <w:b/>
                <w:i/>
                <w:color w:val="C00000"/>
                <w:sz w:val="24"/>
                <w:szCs w:val="24"/>
              </w:rPr>
              <w:t xml:space="preserve"> implementarea Fondului de modernizare, vă rugăm să ne transmiteți în timp util eventuale întrebări/sugestii/observații, pe care le vom înainta ofițerilor Comisiei Europene. Acestea sunt utile, în procesul de pregătire, atât autorităților centrale </w:t>
            </w:r>
            <w:proofErr w:type="gramStart"/>
            <w:r w:rsidRPr="001748AE">
              <w:rPr>
                <w:rFonts w:ascii="Times New Roman" w:hAnsi="Times New Roman" w:cs="Times New Roman"/>
                <w:b/>
                <w:i/>
                <w:color w:val="C00000"/>
                <w:sz w:val="24"/>
                <w:szCs w:val="24"/>
              </w:rPr>
              <w:t>implicate,</w:t>
            </w:r>
            <w:proofErr w:type="gramEnd"/>
            <w:r w:rsidRPr="001748AE">
              <w:rPr>
                <w:rFonts w:ascii="Times New Roman" w:hAnsi="Times New Roman" w:cs="Times New Roman"/>
                <w:b/>
                <w:i/>
                <w:color w:val="C00000"/>
                <w:sz w:val="24"/>
                <w:szCs w:val="24"/>
              </w:rPr>
              <w:t xml:space="preserve"> cât și instituțiilor europene responsabile.</w:t>
            </w:r>
          </w:p>
          <w:p w:rsidR="00A36B35" w:rsidRPr="00A36B35" w:rsidRDefault="00A36B35" w:rsidP="00A36B35">
            <w:pPr>
              <w:jc w:val="both"/>
              <w:rPr>
                <w:rFonts w:ascii="Times New Roman" w:hAnsi="Times New Roman" w:cs="Times New Roman"/>
                <w:b/>
                <w:i/>
                <w:color w:val="E36C0A" w:themeColor="accent6" w:themeShade="BF"/>
                <w:sz w:val="24"/>
                <w:szCs w:val="24"/>
              </w:rPr>
            </w:pPr>
          </w:p>
          <w:p w:rsidR="00A36B35" w:rsidRDefault="00A36B35" w:rsidP="00A36B35">
            <w:pPr>
              <w:rPr>
                <w:rFonts w:ascii="Times New Roman" w:hAnsi="Times New Roman" w:cs="Times New Roman"/>
                <w:b/>
                <w:i/>
                <w:sz w:val="24"/>
                <w:szCs w:val="24"/>
              </w:rPr>
            </w:pPr>
            <w:r w:rsidRPr="00A36B35">
              <w:rPr>
                <w:rFonts w:ascii="Times New Roman" w:hAnsi="Times New Roman" w:cs="Times New Roman"/>
                <w:b/>
                <w:i/>
                <w:sz w:val="24"/>
                <w:szCs w:val="24"/>
              </w:rPr>
              <w:t xml:space="preserve">Vă mulțumim pentru interes și așteptăm propunerile dumneavoastră la adresa </w:t>
            </w:r>
          </w:p>
          <w:p w:rsidR="00A36B35" w:rsidRPr="00A36B35" w:rsidRDefault="00A36B35" w:rsidP="00A36B35">
            <w:pPr>
              <w:rPr>
                <w:rFonts w:ascii="Times New Roman" w:hAnsi="Times New Roman" w:cs="Times New Roman"/>
                <w:b/>
                <w:i/>
                <w:sz w:val="24"/>
                <w:szCs w:val="24"/>
              </w:rPr>
            </w:pPr>
          </w:p>
          <w:p w:rsidR="00A36B35" w:rsidRDefault="00E756FE" w:rsidP="00A36B35">
            <w:pPr>
              <w:rPr>
                <w:rFonts w:ascii="Times New Roman" w:hAnsi="Times New Roman" w:cs="Times New Roman"/>
                <w:sz w:val="24"/>
                <w:szCs w:val="24"/>
              </w:rPr>
            </w:pPr>
            <w:hyperlink r:id="rId9" w:history="1">
              <w:r w:rsidR="00A36B35" w:rsidRPr="00F92C09">
                <w:rPr>
                  <w:rStyle w:val="Hyperlink"/>
                  <w:rFonts w:ascii="Times New Roman" w:hAnsi="Times New Roman" w:cs="Times New Roman"/>
                  <w:sz w:val="24"/>
                  <w:szCs w:val="24"/>
                </w:rPr>
                <w:t>secretariatdee@energie.gov.ro</w:t>
              </w:r>
            </w:hyperlink>
          </w:p>
          <w:p w:rsidR="00A36B35" w:rsidRDefault="00A36B35" w:rsidP="001D3727">
            <w:pPr>
              <w:rPr>
                <w:rFonts w:ascii="Times New Roman" w:hAnsi="Times New Roman" w:cs="Times New Roman"/>
                <w:b/>
                <w:bCs/>
                <w:sz w:val="24"/>
                <w:szCs w:val="24"/>
              </w:rPr>
            </w:pPr>
          </w:p>
          <w:p w:rsidR="00A36B35" w:rsidRPr="00A36B35" w:rsidRDefault="00835040" w:rsidP="001D3727">
            <w:pPr>
              <w:rPr>
                <w:rFonts w:ascii="Times New Roman" w:hAnsi="Times New Roman" w:cs="Times New Roman"/>
                <w:bCs/>
                <w:i/>
                <w:sz w:val="24"/>
                <w:szCs w:val="24"/>
              </w:rPr>
            </w:pPr>
            <w:r>
              <w:rPr>
                <w:rFonts w:ascii="Times New Roman" w:hAnsi="Times New Roman" w:cs="Times New Roman"/>
                <w:bCs/>
                <w:i/>
                <w:sz w:val="24"/>
                <w:szCs w:val="24"/>
              </w:rPr>
              <w:t>Date de contact</w:t>
            </w:r>
            <w:proofErr w:type="gramStart"/>
            <w:r>
              <w:rPr>
                <w:rFonts w:ascii="Times New Roman" w:hAnsi="Times New Roman" w:cs="Times New Roman"/>
                <w:bCs/>
                <w:i/>
                <w:sz w:val="24"/>
                <w:szCs w:val="24"/>
              </w:rPr>
              <w:t>:</w:t>
            </w:r>
            <w:proofErr w:type="gramEnd"/>
            <w:r w:rsidR="00A36B35" w:rsidRPr="00A36B35">
              <w:rPr>
                <w:rFonts w:ascii="Times New Roman" w:hAnsi="Times New Roman" w:cs="Times New Roman"/>
                <w:i/>
                <w:sz w:val="24"/>
                <w:szCs w:val="24"/>
              </w:rPr>
              <w:br/>
            </w:r>
            <w:r w:rsidR="00A36B35" w:rsidRPr="00A36B35">
              <w:rPr>
                <w:rFonts w:ascii="Times New Roman" w:hAnsi="Times New Roman" w:cs="Times New Roman"/>
                <w:bCs/>
                <w:i/>
                <w:sz w:val="24"/>
                <w:szCs w:val="24"/>
              </w:rPr>
              <w:t>Adresa: Splaiul Independenței nr. 202E, sector 6, București, cod poștal 060023</w:t>
            </w:r>
          </w:p>
          <w:p w:rsidR="00A36B35" w:rsidRPr="00A36B35" w:rsidRDefault="00A36B35" w:rsidP="001D3727">
            <w:pPr>
              <w:rPr>
                <w:rFonts w:ascii="Times New Roman" w:hAnsi="Times New Roman" w:cs="Times New Roman"/>
                <w:bCs/>
                <w:i/>
                <w:sz w:val="24"/>
                <w:szCs w:val="24"/>
              </w:rPr>
            </w:pPr>
          </w:p>
          <w:p w:rsidR="00A36B35" w:rsidRPr="00835040" w:rsidRDefault="00E756FE" w:rsidP="00835040">
            <w:pPr>
              <w:rPr>
                <w:rFonts w:ascii="Times New Roman" w:hAnsi="Times New Roman" w:cs="Times New Roman"/>
                <w:sz w:val="24"/>
                <w:szCs w:val="24"/>
              </w:rPr>
            </w:pPr>
            <w:hyperlink r:id="rId10" w:history="1">
              <w:r w:rsidR="00835040" w:rsidRPr="00FC55F2">
                <w:rPr>
                  <w:rStyle w:val="Hyperlink"/>
                  <w:rFonts w:ascii="Times New Roman" w:hAnsi="Times New Roman" w:cs="Times New Roman"/>
                  <w:i/>
                  <w:sz w:val="24"/>
                  <w:szCs w:val="24"/>
                </w:rPr>
                <w:t>www.economie.gov.ro</w:t>
              </w:r>
            </w:hyperlink>
          </w:p>
        </w:tc>
      </w:tr>
    </w:tbl>
    <w:p w:rsidR="00BD30C1" w:rsidRDefault="00BD30C1" w:rsidP="001D3727">
      <w:pPr>
        <w:rPr>
          <w:rFonts w:ascii="Times New Roman" w:hAnsi="Times New Roman" w:cs="Times New Roman"/>
          <w:sz w:val="24"/>
          <w:szCs w:val="24"/>
        </w:rPr>
      </w:pPr>
    </w:p>
    <w:p w:rsidR="0008501B" w:rsidRPr="0008501B" w:rsidRDefault="0008501B" w:rsidP="0008501B">
      <w:pPr>
        <w:jc w:val="center"/>
        <w:rPr>
          <w:rFonts w:ascii="Times New Roman" w:hAnsi="Times New Roman" w:cs="Times New Roman"/>
          <w:b/>
          <w:sz w:val="24"/>
          <w:szCs w:val="24"/>
          <w:u w:val="single"/>
        </w:rPr>
      </w:pPr>
      <w:r w:rsidRPr="0008501B">
        <w:rPr>
          <w:rFonts w:ascii="Times New Roman" w:hAnsi="Times New Roman" w:cs="Times New Roman"/>
          <w:b/>
          <w:sz w:val="24"/>
          <w:szCs w:val="24"/>
          <w:u w:val="single"/>
        </w:rPr>
        <w:t>ANNEX I</w:t>
      </w:r>
    </w:p>
    <w:p w:rsidR="0008501B" w:rsidRPr="0008501B" w:rsidRDefault="0008501B" w:rsidP="0008501B">
      <w:pPr>
        <w:jc w:val="center"/>
        <w:rPr>
          <w:rFonts w:ascii="Times New Roman" w:hAnsi="Times New Roman" w:cs="Times New Roman"/>
          <w:b/>
          <w:sz w:val="24"/>
          <w:szCs w:val="24"/>
        </w:rPr>
      </w:pPr>
      <w:r w:rsidRPr="0008501B">
        <w:rPr>
          <w:rFonts w:ascii="Times New Roman" w:hAnsi="Times New Roman" w:cs="Times New Roman"/>
          <w:b/>
          <w:sz w:val="24"/>
          <w:szCs w:val="24"/>
        </w:rPr>
        <w:t>Information about investment proposal</w:t>
      </w:r>
    </w:p>
    <w:p w:rsidR="0008501B" w:rsidRPr="0008501B" w:rsidRDefault="0008501B" w:rsidP="0008501B">
      <w:pPr>
        <w:jc w:val="center"/>
        <w:rPr>
          <w:rFonts w:ascii="Times New Roman" w:hAnsi="Times New Roman" w:cs="Times New Roman"/>
          <w:b/>
          <w:sz w:val="24"/>
          <w:szCs w:val="24"/>
        </w:rPr>
      </w:pPr>
      <w:proofErr w:type="gramStart"/>
      <w:r w:rsidRPr="0008501B">
        <w:rPr>
          <w:rFonts w:ascii="Times New Roman" w:hAnsi="Times New Roman" w:cs="Times New Roman"/>
          <w:b/>
          <w:sz w:val="24"/>
          <w:szCs w:val="24"/>
        </w:rPr>
        <w:t>to</w:t>
      </w:r>
      <w:proofErr w:type="gramEnd"/>
      <w:r w:rsidRPr="0008501B">
        <w:rPr>
          <w:rFonts w:ascii="Times New Roman" w:hAnsi="Times New Roman" w:cs="Times New Roman"/>
          <w:b/>
          <w:sz w:val="24"/>
          <w:szCs w:val="24"/>
        </w:rPr>
        <w:t xml:space="preserve"> be submitted to the EIB and to the Investment Committee</w:t>
      </w:r>
    </w:p>
    <w:p w:rsidR="0008501B" w:rsidRDefault="0008501B" w:rsidP="001D3727">
      <w:pPr>
        <w:rPr>
          <w:rFonts w:ascii="Times New Roman" w:hAnsi="Times New Roman" w:cs="Times New Roman"/>
          <w:sz w:val="24"/>
          <w:szCs w:val="24"/>
        </w:rPr>
      </w:pPr>
    </w:p>
    <w:p w:rsidR="0008501B" w:rsidRPr="0008501B" w:rsidRDefault="0008501B" w:rsidP="0008501B">
      <w:pPr>
        <w:rPr>
          <w:rFonts w:ascii="Times New Roman" w:hAnsi="Times New Roman" w:cs="Times New Roman"/>
          <w:b/>
          <w:i/>
          <w:sz w:val="24"/>
          <w:szCs w:val="24"/>
        </w:rPr>
      </w:pPr>
      <w:r w:rsidRPr="0008501B">
        <w:rPr>
          <w:rFonts w:ascii="Times New Roman" w:hAnsi="Times New Roman" w:cs="Times New Roman"/>
          <w:b/>
          <w:i/>
          <w:sz w:val="24"/>
          <w:szCs w:val="24"/>
        </w:rPr>
        <w:t>1.</w:t>
      </w:r>
      <w:r w:rsidRPr="0008501B">
        <w:rPr>
          <w:rFonts w:ascii="Times New Roman" w:hAnsi="Times New Roman" w:cs="Times New Roman"/>
          <w:b/>
          <w:i/>
          <w:sz w:val="24"/>
          <w:szCs w:val="24"/>
        </w:rPr>
        <w:tab/>
        <w:t>All investment proposals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1.1.</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specification</w:t>
      </w:r>
      <w:proofErr w:type="gramEnd"/>
      <w:r w:rsidRPr="0008501B">
        <w:rPr>
          <w:rFonts w:ascii="Times New Roman" w:hAnsi="Times New Roman" w:cs="Times New Roman"/>
          <w:sz w:val="24"/>
          <w:szCs w:val="24"/>
        </w:rPr>
        <w:t xml:space="preserve"> of the investment area in accordance with Article 10d(1) or (2) of Directive 2003/87/EC, as appropriate;</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1.2.</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general</w:t>
      </w:r>
      <w:proofErr w:type="gramEnd"/>
      <w:r w:rsidRPr="0008501B">
        <w:rPr>
          <w:rFonts w:ascii="Times New Roman" w:hAnsi="Times New Roman" w:cs="Times New Roman"/>
          <w:sz w:val="24"/>
          <w:szCs w:val="24"/>
        </w:rPr>
        <w:t xml:space="preserve"> description of the investment, including the objectives and targeted beneficiary(ies), technology (if relevant), capacity (if relevant), and estimated duration of the investment;</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1.3.</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justification</w:t>
      </w:r>
      <w:proofErr w:type="gramEnd"/>
      <w:r w:rsidRPr="0008501B">
        <w:rPr>
          <w:rFonts w:ascii="Times New Roman" w:hAnsi="Times New Roman" w:cs="Times New Roman"/>
          <w:sz w:val="24"/>
          <w:szCs w:val="24"/>
        </w:rPr>
        <w:t xml:space="preserve"> for the Modernisation Fund support, including the confirmation of the compliance of an investment with Article 10d(1) of Directive 2003/87/EC;</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1.4.</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specification</w:t>
      </w:r>
      <w:proofErr w:type="gramEnd"/>
      <w:r w:rsidRPr="0008501B">
        <w:rPr>
          <w:rFonts w:ascii="Times New Roman" w:hAnsi="Times New Roman" w:cs="Times New Roman"/>
          <w:sz w:val="24"/>
          <w:szCs w:val="24"/>
        </w:rPr>
        <w:t xml:space="preserve"> of costs to be covered from the Modernisation Fund;</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1.5.</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description</w:t>
      </w:r>
      <w:proofErr w:type="gramEnd"/>
      <w:r w:rsidRPr="0008501B">
        <w:rPr>
          <w:rFonts w:ascii="Times New Roman" w:hAnsi="Times New Roman" w:cs="Times New Roman"/>
          <w:sz w:val="24"/>
          <w:szCs w:val="24"/>
        </w:rPr>
        <w:t xml:space="preserve"> of the support instrument(s) used;</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1.6.</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requested</w:t>
      </w:r>
      <w:proofErr w:type="gramEnd"/>
      <w:r w:rsidRPr="0008501B">
        <w:rPr>
          <w:rFonts w:ascii="Times New Roman" w:hAnsi="Times New Roman" w:cs="Times New Roman"/>
          <w:sz w:val="24"/>
          <w:szCs w:val="24"/>
        </w:rPr>
        <w:t xml:space="preserve"> amount of the financing from the Modernisation Fund;</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1.7.</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contribution(s)</w:t>
      </w:r>
      <w:proofErr w:type="gramEnd"/>
      <w:r w:rsidRPr="0008501B">
        <w:rPr>
          <w:rFonts w:ascii="Times New Roman" w:hAnsi="Times New Roman" w:cs="Times New Roman"/>
          <w:sz w:val="24"/>
          <w:szCs w:val="24"/>
        </w:rPr>
        <w:t xml:space="preserve"> from other Union and national instruments;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1.8.</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existence</w:t>
      </w:r>
      <w:proofErr w:type="gramEnd"/>
      <w:r w:rsidRPr="0008501B">
        <w:rPr>
          <w:rFonts w:ascii="Times New Roman" w:hAnsi="Times New Roman" w:cs="Times New Roman"/>
          <w:sz w:val="24"/>
          <w:szCs w:val="24"/>
        </w:rPr>
        <w:t xml:space="preserve"> of State aid (within the meaning of Article 107(1) of the Treaty), and indication of the following, as applicable:  </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(a)</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reference</w:t>
      </w:r>
      <w:proofErr w:type="gramEnd"/>
      <w:r w:rsidRPr="0008501B">
        <w:rPr>
          <w:rFonts w:ascii="Times New Roman" w:hAnsi="Times New Roman" w:cs="Times New Roman"/>
          <w:sz w:val="24"/>
          <w:szCs w:val="24"/>
        </w:rPr>
        <w:t xml:space="preserve"> to the Commission decision clearing national aid measure;</w:t>
      </w:r>
    </w:p>
    <w:p w:rsid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(b)</w:t>
      </w:r>
      <w:r w:rsidRPr="0008501B">
        <w:rPr>
          <w:rFonts w:ascii="Times New Roman" w:hAnsi="Times New Roman" w:cs="Times New Roman"/>
          <w:sz w:val="24"/>
          <w:szCs w:val="24"/>
        </w:rPr>
        <w:tab/>
        <w:t>reference under which the block-exempted measure has been registered (State aid number attributed by the Commission's electronic notification system referred to in Article 11 of Regulation (EU) No 651/2014);</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w:t>
      </w:r>
      <w:proofErr w:type="gramStart"/>
      <w:r w:rsidRPr="0008501B">
        <w:rPr>
          <w:rFonts w:ascii="Times New Roman" w:hAnsi="Times New Roman" w:cs="Times New Roman"/>
          <w:sz w:val="24"/>
          <w:szCs w:val="24"/>
        </w:rPr>
        <w:t>c</w:t>
      </w:r>
      <w:proofErr w:type="gramEnd"/>
      <w:r w:rsidRPr="0008501B">
        <w:rPr>
          <w:rFonts w:ascii="Times New Roman" w:hAnsi="Times New Roman" w:cs="Times New Roman"/>
          <w:sz w:val="24"/>
          <w:szCs w:val="24"/>
        </w:rPr>
        <w:t>)</w:t>
      </w:r>
      <w:r w:rsidRPr="0008501B">
        <w:rPr>
          <w:rFonts w:ascii="Times New Roman" w:hAnsi="Times New Roman" w:cs="Times New Roman"/>
          <w:sz w:val="24"/>
          <w:szCs w:val="24"/>
        </w:rPr>
        <w:tab/>
        <w:t>expected</w:t>
      </w:r>
      <w:r>
        <w:rPr>
          <w:rFonts w:ascii="Times New Roman" w:hAnsi="Times New Roman" w:cs="Times New Roman"/>
          <w:sz w:val="24"/>
          <w:szCs w:val="24"/>
        </w:rPr>
        <w:t xml:space="preserve"> date </w:t>
      </w:r>
      <w:r w:rsidRPr="0008501B">
        <w:rPr>
          <w:rFonts w:ascii="Times New Roman" w:hAnsi="Times New Roman" w:cs="Times New Roman"/>
          <w:sz w:val="24"/>
          <w:szCs w:val="24"/>
        </w:rPr>
        <w:t>for notification of the aid measure to the Commission;</w:t>
      </w:r>
    </w:p>
    <w:p w:rsid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1.9.</w:t>
      </w:r>
      <w:r w:rsidRPr="0008501B">
        <w:rPr>
          <w:rFonts w:ascii="Times New Roman" w:hAnsi="Times New Roman" w:cs="Times New Roman"/>
          <w:sz w:val="24"/>
          <w:szCs w:val="24"/>
        </w:rPr>
        <w:tab/>
        <w:t>Member State’s declaration of compliance with the applicable Union and national laws;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1.10.</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when</w:t>
      </w:r>
      <w:proofErr w:type="gramEnd"/>
      <w:r w:rsidRPr="0008501B">
        <w:rPr>
          <w:rFonts w:ascii="Times New Roman" w:hAnsi="Times New Roman" w:cs="Times New Roman"/>
          <w:sz w:val="24"/>
          <w:szCs w:val="24"/>
        </w:rPr>
        <w:t xml:space="preserve"> the investment aims at implementation of a territorial just transition plan, information about the expected contribution of the investment to that plan.</w:t>
      </w:r>
    </w:p>
    <w:p w:rsidR="0008501B" w:rsidRPr="0008501B" w:rsidRDefault="0008501B" w:rsidP="0008501B">
      <w:pPr>
        <w:rPr>
          <w:rFonts w:ascii="Times New Roman" w:hAnsi="Times New Roman" w:cs="Times New Roman"/>
          <w:b/>
          <w:i/>
          <w:sz w:val="24"/>
          <w:szCs w:val="24"/>
        </w:rPr>
      </w:pPr>
      <w:r w:rsidRPr="0008501B">
        <w:rPr>
          <w:rFonts w:ascii="Times New Roman" w:hAnsi="Times New Roman" w:cs="Times New Roman"/>
          <w:b/>
          <w:i/>
          <w:sz w:val="24"/>
          <w:szCs w:val="24"/>
        </w:rPr>
        <w:t>2.</w:t>
      </w:r>
      <w:r w:rsidRPr="0008501B">
        <w:rPr>
          <w:rFonts w:ascii="Times New Roman" w:hAnsi="Times New Roman" w:cs="Times New Roman"/>
          <w:b/>
          <w:i/>
          <w:sz w:val="24"/>
          <w:szCs w:val="24"/>
        </w:rPr>
        <w:tab/>
        <w:t>Additional information about schemes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lastRenderedPageBreak/>
        <w:t>2.1.</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name</w:t>
      </w:r>
      <w:proofErr w:type="gramEnd"/>
      <w:r w:rsidRPr="0008501B">
        <w:rPr>
          <w:rFonts w:ascii="Times New Roman" w:hAnsi="Times New Roman" w:cs="Times New Roman"/>
          <w:sz w:val="24"/>
          <w:szCs w:val="24"/>
        </w:rPr>
        <w:t xml:space="preserve"> of the managing authority;</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2.2.</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indication</w:t>
      </w:r>
      <w:proofErr w:type="gramEnd"/>
      <w:r w:rsidRPr="0008501B">
        <w:rPr>
          <w:rFonts w:ascii="Times New Roman" w:hAnsi="Times New Roman" w:cs="Times New Roman"/>
          <w:sz w:val="24"/>
          <w:szCs w:val="24"/>
        </w:rPr>
        <w:t xml:space="preserve"> whether the proposal concerns an existing scheme;</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2.3.</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total</w:t>
      </w:r>
      <w:proofErr w:type="gramEnd"/>
      <w:r w:rsidRPr="0008501B">
        <w:rPr>
          <w:rFonts w:ascii="Times New Roman" w:hAnsi="Times New Roman" w:cs="Times New Roman"/>
          <w:sz w:val="24"/>
          <w:szCs w:val="24"/>
        </w:rPr>
        <w:t xml:space="preserve"> volume of the scheme.</w:t>
      </w:r>
    </w:p>
    <w:p w:rsidR="0008501B" w:rsidRPr="0008501B" w:rsidRDefault="0008501B" w:rsidP="0008501B">
      <w:pPr>
        <w:rPr>
          <w:rFonts w:ascii="Times New Roman" w:hAnsi="Times New Roman" w:cs="Times New Roman"/>
          <w:b/>
          <w:i/>
          <w:sz w:val="24"/>
          <w:szCs w:val="24"/>
        </w:rPr>
      </w:pPr>
      <w:r w:rsidRPr="0008501B">
        <w:rPr>
          <w:rFonts w:ascii="Times New Roman" w:hAnsi="Times New Roman" w:cs="Times New Roman"/>
          <w:b/>
          <w:i/>
          <w:sz w:val="24"/>
          <w:szCs w:val="24"/>
        </w:rPr>
        <w:t>3.</w:t>
      </w:r>
      <w:r w:rsidRPr="0008501B">
        <w:rPr>
          <w:rFonts w:ascii="Times New Roman" w:hAnsi="Times New Roman" w:cs="Times New Roman"/>
          <w:b/>
          <w:i/>
          <w:sz w:val="24"/>
          <w:szCs w:val="24"/>
        </w:rPr>
        <w:tab/>
        <w:t>Additional information about proposals other than schemes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3.1.</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name</w:t>
      </w:r>
      <w:proofErr w:type="gramEnd"/>
      <w:r w:rsidRPr="0008501B">
        <w:rPr>
          <w:rFonts w:ascii="Times New Roman" w:hAnsi="Times New Roman" w:cs="Times New Roman"/>
          <w:sz w:val="24"/>
          <w:szCs w:val="24"/>
        </w:rPr>
        <w:t xml:space="preserve"> of the project proponent;</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3.2.</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location</w:t>
      </w:r>
      <w:proofErr w:type="gramEnd"/>
      <w:r w:rsidRPr="0008501B">
        <w:rPr>
          <w:rFonts w:ascii="Times New Roman" w:hAnsi="Times New Roman" w:cs="Times New Roman"/>
          <w:sz w:val="24"/>
          <w:szCs w:val="24"/>
        </w:rPr>
        <w:t xml:space="preserve"> of the project;</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3.3.</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total</w:t>
      </w:r>
      <w:proofErr w:type="gramEnd"/>
      <w:r w:rsidRPr="0008501B">
        <w:rPr>
          <w:rFonts w:ascii="Times New Roman" w:hAnsi="Times New Roman" w:cs="Times New Roman"/>
          <w:sz w:val="24"/>
          <w:szCs w:val="24"/>
        </w:rPr>
        <w:t xml:space="preserve"> investment costs;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3.4.</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development</w:t>
      </w:r>
      <w:proofErr w:type="gramEnd"/>
      <w:r w:rsidRPr="0008501B">
        <w:rPr>
          <w:rFonts w:ascii="Times New Roman" w:hAnsi="Times New Roman" w:cs="Times New Roman"/>
          <w:sz w:val="24"/>
          <w:szCs w:val="24"/>
        </w:rPr>
        <w:t xml:space="preserve"> stage of the project (from feasibility to operation);</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3.5.</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list</w:t>
      </w:r>
      <w:proofErr w:type="gramEnd"/>
      <w:r w:rsidRPr="0008501B">
        <w:rPr>
          <w:rFonts w:ascii="Times New Roman" w:hAnsi="Times New Roman" w:cs="Times New Roman"/>
          <w:sz w:val="24"/>
          <w:szCs w:val="24"/>
        </w:rPr>
        <w:t xml:space="preserve"> of mandatory permits obtained or to be obtained.</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b/>
          <w:i/>
          <w:sz w:val="24"/>
          <w:szCs w:val="24"/>
        </w:rPr>
        <w:t>4.</w:t>
      </w:r>
      <w:r w:rsidRPr="0008501B">
        <w:rPr>
          <w:rFonts w:ascii="Times New Roman" w:hAnsi="Times New Roman" w:cs="Times New Roman"/>
          <w:sz w:val="24"/>
          <w:szCs w:val="24"/>
        </w:rPr>
        <w:tab/>
      </w:r>
      <w:r w:rsidRPr="0008501B">
        <w:rPr>
          <w:rFonts w:ascii="Times New Roman" w:hAnsi="Times New Roman" w:cs="Times New Roman"/>
          <w:b/>
          <w:i/>
          <w:sz w:val="24"/>
          <w:szCs w:val="24"/>
        </w:rPr>
        <w:t>Additional information about non-priority proposals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4.1.</w:t>
      </w:r>
      <w:r w:rsidRPr="0008501B">
        <w:rPr>
          <w:rFonts w:ascii="Times New Roman" w:hAnsi="Times New Roman" w:cs="Times New Roman"/>
          <w:sz w:val="24"/>
          <w:szCs w:val="24"/>
        </w:rPr>
        <w:tab/>
        <w:t>quantitative data on the construction and operation phases, including proposal’s contribution to the objectives of the Modernisation Fund, the Union’s 2030 climate and energy policy framework and the Paris Agreement;</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4.2.</w:t>
      </w:r>
      <w:r w:rsidRPr="0008501B">
        <w:rPr>
          <w:rFonts w:ascii="Times New Roman" w:hAnsi="Times New Roman" w:cs="Times New Roman"/>
          <w:sz w:val="24"/>
          <w:szCs w:val="24"/>
        </w:rPr>
        <w:tab/>
        <w:t>certified financial forecast, including intended financial contribution from private sources;</w:t>
      </w:r>
    </w:p>
    <w:p w:rsidR="0008501B" w:rsidRP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4.3.</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description</w:t>
      </w:r>
      <w:proofErr w:type="gramEnd"/>
      <w:r w:rsidRPr="0008501B">
        <w:rPr>
          <w:rFonts w:ascii="Times New Roman" w:hAnsi="Times New Roman" w:cs="Times New Roman"/>
          <w:sz w:val="24"/>
          <w:szCs w:val="24"/>
        </w:rPr>
        <w:t xml:space="preserve"> of any other targeted performance indicator, as requested by the EIB;</w:t>
      </w:r>
    </w:p>
    <w:p w:rsidR="0008501B" w:rsidRDefault="0008501B" w:rsidP="0008501B">
      <w:pPr>
        <w:rPr>
          <w:rFonts w:ascii="Times New Roman" w:hAnsi="Times New Roman" w:cs="Times New Roman"/>
          <w:sz w:val="24"/>
          <w:szCs w:val="24"/>
        </w:rPr>
      </w:pPr>
      <w:r w:rsidRPr="0008501B">
        <w:rPr>
          <w:rFonts w:ascii="Times New Roman" w:hAnsi="Times New Roman" w:cs="Times New Roman"/>
          <w:sz w:val="24"/>
          <w:szCs w:val="24"/>
        </w:rPr>
        <w:t>4.4.</w:t>
      </w:r>
      <w:r w:rsidRPr="0008501B">
        <w:rPr>
          <w:rFonts w:ascii="Times New Roman" w:hAnsi="Times New Roman" w:cs="Times New Roman"/>
          <w:sz w:val="24"/>
          <w:szCs w:val="24"/>
        </w:rPr>
        <w:tab/>
      </w:r>
      <w:proofErr w:type="gramStart"/>
      <w:r w:rsidRPr="0008501B">
        <w:rPr>
          <w:rFonts w:ascii="Times New Roman" w:hAnsi="Times New Roman" w:cs="Times New Roman"/>
          <w:sz w:val="24"/>
          <w:szCs w:val="24"/>
        </w:rPr>
        <w:t>other</w:t>
      </w:r>
      <w:proofErr w:type="gramEnd"/>
      <w:r w:rsidRPr="0008501B">
        <w:rPr>
          <w:rFonts w:ascii="Times New Roman" w:hAnsi="Times New Roman" w:cs="Times New Roman"/>
          <w:sz w:val="24"/>
          <w:szCs w:val="24"/>
        </w:rPr>
        <w:t xml:space="preserve"> relevant information related to the project proponent, the investment, the general market conditions and  environmental issues.</w:t>
      </w:r>
    </w:p>
    <w:p w:rsidR="00595393" w:rsidRDefault="00595393"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Default="0008501B" w:rsidP="001D3727">
      <w:pPr>
        <w:rPr>
          <w:rFonts w:ascii="Times New Roman" w:hAnsi="Times New Roman" w:cs="Times New Roman"/>
          <w:sz w:val="24"/>
          <w:szCs w:val="24"/>
        </w:rPr>
      </w:pPr>
    </w:p>
    <w:p w:rsidR="0008501B" w:rsidRPr="0008501B" w:rsidRDefault="0008501B" w:rsidP="0008501B">
      <w:pPr>
        <w:ind w:left="850"/>
        <w:jc w:val="center"/>
        <w:rPr>
          <w:rFonts w:ascii="Times New Roman" w:hAnsi="Times New Roman" w:cs="Times New Roman"/>
          <w:b/>
          <w:sz w:val="24"/>
          <w:szCs w:val="24"/>
          <w:u w:val="single"/>
        </w:rPr>
      </w:pPr>
      <w:r w:rsidRPr="0008501B">
        <w:rPr>
          <w:rFonts w:ascii="Times New Roman" w:hAnsi="Times New Roman" w:cs="Times New Roman"/>
          <w:b/>
          <w:sz w:val="24"/>
          <w:szCs w:val="24"/>
          <w:u w:val="single"/>
        </w:rPr>
        <w:t>ANNEX II</w:t>
      </w:r>
    </w:p>
    <w:p w:rsidR="0008501B" w:rsidRPr="0008501B" w:rsidRDefault="0008501B" w:rsidP="0008501B">
      <w:pPr>
        <w:jc w:val="center"/>
        <w:rPr>
          <w:rFonts w:ascii="Times New Roman" w:hAnsi="Times New Roman" w:cs="Times New Roman"/>
          <w:b/>
          <w:sz w:val="24"/>
          <w:szCs w:val="24"/>
        </w:rPr>
      </w:pPr>
      <w:r w:rsidRPr="0008501B">
        <w:rPr>
          <w:rFonts w:ascii="Times New Roman" w:hAnsi="Times New Roman" w:cs="Times New Roman"/>
          <w:b/>
          <w:sz w:val="24"/>
          <w:szCs w:val="24"/>
        </w:rPr>
        <w:t>Information to be provided by the beneficiary Member State</w:t>
      </w:r>
    </w:p>
    <w:p w:rsidR="0008501B" w:rsidRPr="0008501B" w:rsidRDefault="0008501B" w:rsidP="0008501B">
      <w:pPr>
        <w:jc w:val="center"/>
        <w:rPr>
          <w:rFonts w:ascii="Times New Roman" w:hAnsi="Times New Roman" w:cs="Times New Roman"/>
          <w:b/>
          <w:sz w:val="24"/>
          <w:szCs w:val="24"/>
        </w:rPr>
      </w:pPr>
      <w:proofErr w:type="gramStart"/>
      <w:r w:rsidRPr="0008501B">
        <w:rPr>
          <w:rFonts w:ascii="Times New Roman" w:hAnsi="Times New Roman" w:cs="Times New Roman"/>
          <w:b/>
          <w:sz w:val="24"/>
          <w:szCs w:val="24"/>
        </w:rPr>
        <w:t>in</w:t>
      </w:r>
      <w:proofErr w:type="gramEnd"/>
      <w:r w:rsidRPr="0008501B">
        <w:rPr>
          <w:rFonts w:ascii="Times New Roman" w:hAnsi="Times New Roman" w:cs="Times New Roman"/>
          <w:b/>
          <w:sz w:val="24"/>
          <w:szCs w:val="24"/>
        </w:rPr>
        <w:t xml:space="preserve"> the annual report to the Commission</w:t>
      </w:r>
    </w:p>
    <w:p w:rsidR="0008501B" w:rsidRPr="0008501B" w:rsidRDefault="0008501B" w:rsidP="0008501B">
      <w:pPr>
        <w:rPr>
          <w:rFonts w:ascii="Times New Roman" w:hAnsi="Times New Roman" w:cs="Times New Roman"/>
          <w:sz w:val="24"/>
          <w:szCs w:val="24"/>
        </w:rPr>
      </w:pPr>
    </w:p>
    <w:p w:rsidR="0008501B" w:rsidRPr="0008501B" w:rsidRDefault="0008501B" w:rsidP="0008501B">
      <w:pPr>
        <w:numPr>
          <w:ilvl w:val="0"/>
          <w:numId w:val="6"/>
        </w:numPr>
        <w:rPr>
          <w:rFonts w:ascii="Times New Roman" w:hAnsi="Times New Roman" w:cs="Times New Roman"/>
          <w:b/>
          <w:i/>
          <w:sz w:val="24"/>
          <w:szCs w:val="24"/>
        </w:rPr>
      </w:pPr>
      <w:r w:rsidRPr="0008501B">
        <w:rPr>
          <w:rFonts w:ascii="Times New Roman" w:hAnsi="Times New Roman" w:cs="Times New Roman"/>
          <w:b/>
          <w:i/>
          <w:sz w:val="24"/>
          <w:szCs w:val="24"/>
        </w:rPr>
        <w:t>Overview of investments</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number of investments financed from the Modernisation Fund to date;</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number of on-going, completed and discontinued investments;</w:t>
      </w:r>
    </w:p>
    <w:p w:rsidR="0008501B" w:rsidRPr="0008501B" w:rsidRDefault="0008501B" w:rsidP="0008501B">
      <w:pPr>
        <w:numPr>
          <w:ilvl w:val="1"/>
          <w:numId w:val="7"/>
        </w:numPr>
        <w:rPr>
          <w:rFonts w:ascii="Times New Roman" w:hAnsi="Times New Roman" w:cs="Times New Roman"/>
          <w:sz w:val="24"/>
          <w:szCs w:val="24"/>
        </w:rPr>
      </w:pPr>
      <w:proofErr w:type="gramStart"/>
      <w:r w:rsidRPr="0008501B">
        <w:rPr>
          <w:rFonts w:ascii="Times New Roman" w:hAnsi="Times New Roman" w:cs="Times New Roman"/>
          <w:sz w:val="24"/>
          <w:szCs w:val="24"/>
        </w:rPr>
        <w:t>overall</w:t>
      </w:r>
      <w:proofErr w:type="gramEnd"/>
      <w:r w:rsidRPr="0008501B">
        <w:rPr>
          <w:rFonts w:ascii="Times New Roman" w:hAnsi="Times New Roman" w:cs="Times New Roman"/>
          <w:sz w:val="24"/>
          <w:szCs w:val="24"/>
        </w:rPr>
        <w:t xml:space="preserve"> ratio of the financing provided to priority investments against non-priority investments, if any, in the beneficiary Member State.</w:t>
      </w:r>
    </w:p>
    <w:p w:rsidR="0008501B" w:rsidRPr="0008501B" w:rsidRDefault="0008501B" w:rsidP="0008501B">
      <w:pPr>
        <w:numPr>
          <w:ilvl w:val="0"/>
          <w:numId w:val="7"/>
        </w:numPr>
        <w:rPr>
          <w:rFonts w:ascii="Times New Roman" w:hAnsi="Times New Roman" w:cs="Times New Roman"/>
          <w:b/>
          <w:i/>
          <w:sz w:val="24"/>
          <w:szCs w:val="24"/>
        </w:rPr>
      </w:pPr>
      <w:r w:rsidRPr="0008501B">
        <w:rPr>
          <w:rFonts w:ascii="Times New Roman" w:hAnsi="Times New Roman" w:cs="Times New Roman"/>
          <w:b/>
          <w:i/>
          <w:sz w:val="24"/>
          <w:szCs w:val="24"/>
        </w:rPr>
        <w:t>Information on each investment</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total investment triggered (total investment costs);</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dates and amounts of payments from the Modernisation Fund to the project proponent or the scheme managing authority;</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amounts received from the Modernisation Fund by the beneficiary Member State but not yet paid to the project proponent or the scheme managing authority;</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any amounts recovered by the beneficiary Member State from the project proponent or the scheme managing authority, and the dates of recovery;</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an assessment of the added value of the investment in terms of energy efficiency and modernisation of the energy system, including information on the following:</w:t>
      </w:r>
    </w:p>
    <w:p w:rsidR="0008501B" w:rsidRPr="0008501B" w:rsidRDefault="0008501B" w:rsidP="0008501B">
      <w:pPr>
        <w:numPr>
          <w:ilvl w:val="3"/>
          <w:numId w:val="2"/>
        </w:numPr>
        <w:rPr>
          <w:rFonts w:ascii="Times New Roman" w:hAnsi="Times New Roman" w:cs="Times New Roman"/>
          <w:sz w:val="24"/>
          <w:szCs w:val="24"/>
        </w:rPr>
      </w:pPr>
      <w:r w:rsidRPr="0008501B">
        <w:rPr>
          <w:rFonts w:ascii="Times New Roman" w:hAnsi="Times New Roman" w:cs="Times New Roman"/>
          <w:sz w:val="24"/>
          <w:szCs w:val="24"/>
        </w:rPr>
        <w:t xml:space="preserve">the energy saved in MWh; </w:t>
      </w:r>
    </w:p>
    <w:p w:rsidR="0008501B" w:rsidRPr="0008501B" w:rsidRDefault="0008501B" w:rsidP="0008501B">
      <w:pPr>
        <w:numPr>
          <w:ilvl w:val="3"/>
          <w:numId w:val="4"/>
        </w:numPr>
        <w:rPr>
          <w:rFonts w:ascii="Times New Roman" w:hAnsi="Times New Roman" w:cs="Times New Roman"/>
          <w:sz w:val="24"/>
          <w:szCs w:val="24"/>
        </w:rPr>
      </w:pPr>
      <w:r w:rsidRPr="0008501B">
        <w:rPr>
          <w:rFonts w:ascii="Times New Roman" w:hAnsi="Times New Roman" w:cs="Times New Roman"/>
          <w:sz w:val="24"/>
          <w:szCs w:val="24"/>
        </w:rPr>
        <w:t>expected cumulative MWh saved by the end of the investment lifetime;</w:t>
      </w:r>
    </w:p>
    <w:p w:rsidR="0008501B" w:rsidRPr="0008501B" w:rsidRDefault="0008501B" w:rsidP="0008501B">
      <w:pPr>
        <w:numPr>
          <w:ilvl w:val="3"/>
          <w:numId w:val="4"/>
        </w:numPr>
        <w:rPr>
          <w:rFonts w:ascii="Times New Roman" w:hAnsi="Times New Roman" w:cs="Times New Roman"/>
          <w:sz w:val="24"/>
          <w:szCs w:val="24"/>
        </w:rPr>
      </w:pPr>
      <w:r w:rsidRPr="0008501B">
        <w:rPr>
          <w:rFonts w:ascii="Times New Roman" w:hAnsi="Times New Roman" w:cs="Times New Roman"/>
          <w:sz w:val="24"/>
          <w:szCs w:val="24"/>
        </w:rPr>
        <w:t>the greenhouse gas emissions saved in tCO2;</w:t>
      </w:r>
    </w:p>
    <w:p w:rsidR="0008501B" w:rsidRPr="0008501B" w:rsidRDefault="0008501B" w:rsidP="0008501B">
      <w:pPr>
        <w:numPr>
          <w:ilvl w:val="3"/>
          <w:numId w:val="4"/>
        </w:numPr>
        <w:rPr>
          <w:rFonts w:ascii="Times New Roman" w:hAnsi="Times New Roman" w:cs="Times New Roman"/>
          <w:sz w:val="24"/>
          <w:szCs w:val="24"/>
        </w:rPr>
      </w:pPr>
      <w:r w:rsidRPr="0008501B">
        <w:rPr>
          <w:rFonts w:ascii="Times New Roman" w:hAnsi="Times New Roman" w:cs="Times New Roman"/>
          <w:sz w:val="24"/>
          <w:szCs w:val="24"/>
        </w:rPr>
        <w:t>expected cumulative tCO2 saved by the end of the investment lifetime;</w:t>
      </w:r>
    </w:p>
    <w:p w:rsidR="0008501B" w:rsidRPr="0008501B" w:rsidRDefault="0008501B" w:rsidP="0008501B">
      <w:pPr>
        <w:numPr>
          <w:ilvl w:val="3"/>
          <w:numId w:val="4"/>
        </w:numPr>
        <w:rPr>
          <w:rFonts w:ascii="Times New Roman" w:hAnsi="Times New Roman" w:cs="Times New Roman"/>
          <w:sz w:val="24"/>
          <w:szCs w:val="24"/>
        </w:rPr>
      </w:pPr>
      <w:r w:rsidRPr="0008501B">
        <w:rPr>
          <w:rFonts w:ascii="Times New Roman" w:hAnsi="Times New Roman" w:cs="Times New Roman"/>
          <w:sz w:val="24"/>
          <w:szCs w:val="24"/>
        </w:rPr>
        <w:t>the additional renewable energy capacity installed, if applicable;</w:t>
      </w:r>
    </w:p>
    <w:p w:rsidR="0008501B" w:rsidRPr="0008501B" w:rsidRDefault="0008501B" w:rsidP="0008501B">
      <w:pPr>
        <w:numPr>
          <w:ilvl w:val="3"/>
          <w:numId w:val="4"/>
        </w:numPr>
        <w:rPr>
          <w:rFonts w:ascii="Times New Roman" w:hAnsi="Times New Roman" w:cs="Times New Roman"/>
          <w:sz w:val="24"/>
          <w:szCs w:val="24"/>
        </w:rPr>
      </w:pPr>
      <w:r w:rsidRPr="0008501B">
        <w:rPr>
          <w:rFonts w:ascii="Times New Roman" w:hAnsi="Times New Roman" w:cs="Times New Roman"/>
          <w:sz w:val="24"/>
          <w:szCs w:val="24"/>
        </w:rPr>
        <w:t>achieved leverage of funds (total amount invested in relation to the contribution from the Modernisation Fund);</w:t>
      </w:r>
    </w:p>
    <w:p w:rsidR="0008501B" w:rsidRPr="0008501B" w:rsidRDefault="0008501B" w:rsidP="0008501B">
      <w:pPr>
        <w:numPr>
          <w:ilvl w:val="1"/>
          <w:numId w:val="7"/>
        </w:numPr>
        <w:rPr>
          <w:rFonts w:ascii="Times New Roman" w:hAnsi="Times New Roman" w:cs="Times New Roman"/>
          <w:sz w:val="24"/>
          <w:szCs w:val="24"/>
        </w:rPr>
      </w:pPr>
      <w:proofErr w:type="gramStart"/>
      <w:r w:rsidRPr="0008501B">
        <w:rPr>
          <w:rFonts w:ascii="Times New Roman" w:hAnsi="Times New Roman" w:cs="Times New Roman"/>
          <w:sz w:val="24"/>
          <w:szCs w:val="24"/>
        </w:rPr>
        <w:lastRenderedPageBreak/>
        <w:t>when</w:t>
      </w:r>
      <w:proofErr w:type="gramEnd"/>
      <w:r w:rsidRPr="0008501B">
        <w:rPr>
          <w:rFonts w:ascii="Times New Roman" w:hAnsi="Times New Roman" w:cs="Times New Roman"/>
          <w:sz w:val="24"/>
          <w:szCs w:val="24"/>
        </w:rPr>
        <w:t xml:space="preserve"> the investment aims at implementation of a territorial just transition plan, information about the expected contribution of the investment to that plan.</w:t>
      </w:r>
    </w:p>
    <w:p w:rsidR="0008501B" w:rsidRPr="0008501B" w:rsidRDefault="0008501B" w:rsidP="0008501B">
      <w:pPr>
        <w:numPr>
          <w:ilvl w:val="1"/>
          <w:numId w:val="7"/>
        </w:numPr>
        <w:rPr>
          <w:rFonts w:ascii="Times New Roman" w:hAnsi="Times New Roman" w:cs="Times New Roman"/>
          <w:sz w:val="24"/>
          <w:szCs w:val="24"/>
        </w:rPr>
      </w:pPr>
      <w:proofErr w:type="gramStart"/>
      <w:r w:rsidRPr="0008501B">
        <w:rPr>
          <w:rFonts w:ascii="Times New Roman" w:hAnsi="Times New Roman" w:cs="Times New Roman"/>
          <w:sz w:val="24"/>
          <w:szCs w:val="24"/>
        </w:rPr>
        <w:t>for</w:t>
      </w:r>
      <w:proofErr w:type="gramEnd"/>
      <w:r w:rsidRPr="0008501B">
        <w:rPr>
          <w:rFonts w:ascii="Times New Roman" w:hAnsi="Times New Roman" w:cs="Times New Roman"/>
          <w:sz w:val="24"/>
          <w:szCs w:val="24"/>
        </w:rPr>
        <w:t xml:space="preserve"> schemes, the reporting data specified shall be presented in aggregated form.</w:t>
      </w:r>
    </w:p>
    <w:p w:rsidR="0008501B" w:rsidRPr="0008501B" w:rsidRDefault="0008501B" w:rsidP="0008501B">
      <w:pPr>
        <w:numPr>
          <w:ilvl w:val="0"/>
          <w:numId w:val="7"/>
        </w:numPr>
        <w:rPr>
          <w:rFonts w:ascii="Times New Roman" w:hAnsi="Times New Roman" w:cs="Times New Roman"/>
          <w:b/>
          <w:i/>
          <w:sz w:val="24"/>
          <w:szCs w:val="24"/>
        </w:rPr>
      </w:pPr>
      <w:r w:rsidRPr="0008501B">
        <w:rPr>
          <w:rFonts w:ascii="Times New Roman" w:hAnsi="Times New Roman" w:cs="Times New Roman"/>
          <w:b/>
          <w:i/>
          <w:sz w:val="24"/>
          <w:szCs w:val="24"/>
        </w:rPr>
        <w:t>Additional information about investments other than schemes</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milestones achieved since the previous annual report;</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expected entry into operation;</w:t>
      </w:r>
    </w:p>
    <w:p w:rsidR="0008501B" w:rsidRPr="0008501B" w:rsidRDefault="0008501B" w:rsidP="0008501B">
      <w:pPr>
        <w:numPr>
          <w:ilvl w:val="1"/>
          <w:numId w:val="7"/>
        </w:numPr>
        <w:rPr>
          <w:rFonts w:ascii="Times New Roman" w:hAnsi="Times New Roman" w:cs="Times New Roman"/>
          <w:sz w:val="24"/>
          <w:szCs w:val="24"/>
        </w:rPr>
      </w:pPr>
      <w:r w:rsidRPr="0008501B">
        <w:rPr>
          <w:rFonts w:ascii="Times New Roman" w:hAnsi="Times New Roman" w:cs="Times New Roman"/>
          <w:sz w:val="24"/>
          <w:szCs w:val="24"/>
        </w:rPr>
        <w:t>identified or expected delays in implementation;</w:t>
      </w:r>
    </w:p>
    <w:p w:rsidR="0008501B" w:rsidRPr="0008501B" w:rsidRDefault="0008501B" w:rsidP="0008501B">
      <w:pPr>
        <w:numPr>
          <w:ilvl w:val="1"/>
          <w:numId w:val="7"/>
        </w:numPr>
        <w:rPr>
          <w:rFonts w:ascii="Times New Roman" w:hAnsi="Times New Roman" w:cs="Times New Roman"/>
          <w:sz w:val="24"/>
          <w:szCs w:val="24"/>
        </w:rPr>
      </w:pPr>
      <w:proofErr w:type="gramStart"/>
      <w:r w:rsidRPr="0008501B">
        <w:rPr>
          <w:rFonts w:ascii="Times New Roman" w:hAnsi="Times New Roman" w:cs="Times New Roman"/>
          <w:sz w:val="24"/>
          <w:szCs w:val="24"/>
        </w:rPr>
        <w:t>identified</w:t>
      </w:r>
      <w:proofErr w:type="gramEnd"/>
      <w:r w:rsidRPr="0008501B">
        <w:rPr>
          <w:rFonts w:ascii="Times New Roman" w:hAnsi="Times New Roman" w:cs="Times New Roman"/>
          <w:sz w:val="24"/>
          <w:szCs w:val="24"/>
        </w:rPr>
        <w:t xml:space="preserve"> or expected changes in eligible costs, technology applied or results of an investment.</w:t>
      </w:r>
    </w:p>
    <w:p w:rsidR="0008501B" w:rsidRPr="0008501B" w:rsidRDefault="0008501B" w:rsidP="0008501B">
      <w:pPr>
        <w:numPr>
          <w:ilvl w:val="0"/>
          <w:numId w:val="7"/>
        </w:numPr>
        <w:rPr>
          <w:rFonts w:ascii="Times New Roman" w:hAnsi="Times New Roman" w:cs="Times New Roman"/>
          <w:b/>
          <w:i/>
          <w:sz w:val="24"/>
          <w:szCs w:val="24"/>
        </w:rPr>
      </w:pPr>
      <w:r w:rsidRPr="0008501B">
        <w:rPr>
          <w:rFonts w:ascii="Times New Roman" w:hAnsi="Times New Roman" w:cs="Times New Roman"/>
          <w:b/>
          <w:i/>
          <w:sz w:val="24"/>
          <w:szCs w:val="24"/>
        </w:rPr>
        <w:t>Additional information about non-priority investment</w:t>
      </w:r>
    </w:p>
    <w:p w:rsidR="0008501B" w:rsidRPr="0008501B" w:rsidRDefault="0008501B" w:rsidP="0008501B">
      <w:pPr>
        <w:numPr>
          <w:ilvl w:val="1"/>
          <w:numId w:val="7"/>
        </w:numPr>
        <w:rPr>
          <w:rFonts w:ascii="Times New Roman" w:hAnsi="Times New Roman" w:cs="Times New Roman"/>
          <w:sz w:val="24"/>
          <w:szCs w:val="24"/>
        </w:rPr>
      </w:pPr>
      <w:proofErr w:type="gramStart"/>
      <w:r w:rsidRPr="0008501B">
        <w:rPr>
          <w:rFonts w:ascii="Times New Roman" w:hAnsi="Times New Roman" w:cs="Times New Roman"/>
          <w:sz w:val="24"/>
          <w:szCs w:val="24"/>
        </w:rPr>
        <w:t>confirmation</w:t>
      </w:r>
      <w:proofErr w:type="gramEnd"/>
      <w:r w:rsidRPr="0008501B">
        <w:rPr>
          <w:rFonts w:ascii="Times New Roman" w:hAnsi="Times New Roman" w:cs="Times New Roman"/>
          <w:sz w:val="24"/>
          <w:szCs w:val="24"/>
        </w:rPr>
        <w:t xml:space="preserve"> of co-financing from private sources.</w:t>
      </w:r>
    </w:p>
    <w:p w:rsidR="0008501B" w:rsidRDefault="0008501B" w:rsidP="001D3727">
      <w:pPr>
        <w:rPr>
          <w:rFonts w:ascii="Times New Roman" w:hAnsi="Times New Roman" w:cs="Times New Roman"/>
          <w:sz w:val="24"/>
          <w:szCs w:val="24"/>
        </w:rPr>
      </w:pPr>
    </w:p>
    <w:p w:rsidR="00595393" w:rsidRPr="001D3727" w:rsidRDefault="00595393" w:rsidP="001D3727">
      <w:pPr>
        <w:rPr>
          <w:rFonts w:ascii="Times New Roman" w:hAnsi="Times New Roman" w:cs="Times New Roman"/>
          <w:sz w:val="24"/>
          <w:szCs w:val="24"/>
        </w:rPr>
      </w:pPr>
    </w:p>
    <w:p w:rsidR="001D3727" w:rsidRDefault="001D3727" w:rsidP="001D3727">
      <w:pPr>
        <w:rPr>
          <w:rFonts w:ascii="Times New Roman" w:hAnsi="Times New Roman" w:cs="Times New Roman"/>
          <w:sz w:val="24"/>
          <w:szCs w:val="24"/>
        </w:rPr>
      </w:pPr>
    </w:p>
    <w:p w:rsidR="001D3727" w:rsidRDefault="001D3727" w:rsidP="001D3727">
      <w:pPr>
        <w:rPr>
          <w:rFonts w:ascii="Times New Roman" w:hAnsi="Times New Roman" w:cs="Times New Roman"/>
          <w:sz w:val="24"/>
          <w:szCs w:val="24"/>
        </w:rPr>
      </w:pPr>
    </w:p>
    <w:p w:rsidR="001D3727" w:rsidRDefault="001D3727" w:rsidP="001D3727">
      <w:pPr>
        <w:rPr>
          <w:rFonts w:ascii="Times New Roman" w:hAnsi="Times New Roman" w:cs="Times New Roman"/>
          <w:sz w:val="24"/>
          <w:szCs w:val="24"/>
        </w:rPr>
      </w:pPr>
    </w:p>
    <w:p w:rsidR="001D3727" w:rsidRDefault="001D3727" w:rsidP="001D3727">
      <w:pPr>
        <w:rPr>
          <w:rFonts w:ascii="Times New Roman" w:hAnsi="Times New Roman" w:cs="Times New Roman"/>
          <w:sz w:val="24"/>
          <w:szCs w:val="24"/>
        </w:rPr>
      </w:pPr>
    </w:p>
    <w:p w:rsidR="001D3727" w:rsidRDefault="001D3727" w:rsidP="001D3727">
      <w:pPr>
        <w:rPr>
          <w:rFonts w:ascii="Times New Roman" w:hAnsi="Times New Roman" w:cs="Times New Roman"/>
          <w:sz w:val="24"/>
          <w:szCs w:val="24"/>
        </w:rPr>
      </w:pPr>
    </w:p>
    <w:p w:rsidR="00C771CB" w:rsidRPr="00EA5A33" w:rsidRDefault="00C771CB" w:rsidP="00C771CB">
      <w:pPr>
        <w:rPr>
          <w:rFonts w:ascii="Times New Roman" w:hAnsi="Times New Roman" w:cs="Times New Roman"/>
          <w:b/>
          <w:sz w:val="24"/>
          <w:szCs w:val="24"/>
        </w:rPr>
      </w:pPr>
    </w:p>
    <w:sectPr w:rsidR="00C771CB" w:rsidRPr="00EA5A33" w:rsidSect="001748AE">
      <w:headerReference w:type="default" r:id="rId11"/>
      <w:footerReference w:type="default" r:id="rId12"/>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FE" w:rsidRDefault="00E756FE" w:rsidP="001C59E6">
      <w:pPr>
        <w:spacing w:after="0" w:line="240" w:lineRule="auto"/>
      </w:pPr>
      <w:r>
        <w:separator/>
      </w:r>
    </w:p>
  </w:endnote>
  <w:endnote w:type="continuationSeparator" w:id="0">
    <w:p w:rsidR="00E756FE" w:rsidRDefault="00E756FE" w:rsidP="001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806420"/>
      <w:docPartObj>
        <w:docPartGallery w:val="Page Numbers (Bottom of Page)"/>
        <w:docPartUnique/>
      </w:docPartObj>
    </w:sdtPr>
    <w:sdtEndPr>
      <w:rPr>
        <w:noProof/>
      </w:rPr>
    </w:sdtEndPr>
    <w:sdtContent>
      <w:p w:rsidR="00415EFB" w:rsidRDefault="00415EFB">
        <w:pPr>
          <w:pStyle w:val="Footer"/>
          <w:jc w:val="right"/>
        </w:pPr>
        <w:r>
          <w:fldChar w:fldCharType="begin"/>
        </w:r>
        <w:r>
          <w:instrText xml:space="preserve"> PAGE   \* MERGEFORMAT </w:instrText>
        </w:r>
        <w:r>
          <w:fldChar w:fldCharType="separate"/>
        </w:r>
        <w:r w:rsidR="006F1295">
          <w:rPr>
            <w:noProof/>
          </w:rPr>
          <w:t>1</w:t>
        </w:r>
        <w:r>
          <w:rPr>
            <w:noProof/>
          </w:rPr>
          <w:fldChar w:fldCharType="end"/>
        </w:r>
      </w:p>
    </w:sdtContent>
  </w:sdt>
  <w:p w:rsidR="00415EFB" w:rsidRDefault="00415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FE" w:rsidRDefault="00E756FE" w:rsidP="001C59E6">
      <w:pPr>
        <w:spacing w:after="0" w:line="240" w:lineRule="auto"/>
      </w:pPr>
      <w:r>
        <w:separator/>
      </w:r>
    </w:p>
  </w:footnote>
  <w:footnote w:type="continuationSeparator" w:id="0">
    <w:p w:rsidR="00E756FE" w:rsidRDefault="00E756FE" w:rsidP="001C5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EFB" w:rsidRDefault="00415EFB">
    <w:pPr>
      <w:pStyle w:val="Header"/>
    </w:pPr>
    <w:r w:rsidRPr="00415EFB">
      <w:rPr>
        <w:rFonts w:ascii="Calibri" w:eastAsia="Calibri" w:hAnsi="Calibri" w:cs="Times New Roman"/>
        <w:noProof/>
        <w:lang w:eastAsia="en-GB"/>
      </w:rPr>
      <w:drawing>
        <wp:inline distT="0" distB="0" distL="0" distR="0" wp14:anchorId="00C11F8B" wp14:editId="0BE3D757">
          <wp:extent cx="4017645" cy="914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7645" cy="9144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83D"/>
    <w:multiLevelType w:val="hybridMultilevel"/>
    <w:tmpl w:val="C6A07AB6"/>
    <w:lvl w:ilvl="0" w:tplc="BB1468D4">
      <w:start w:val="1"/>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10302B44"/>
    <w:multiLevelType w:val="hybridMultilevel"/>
    <w:tmpl w:val="2FECE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B143F7"/>
    <w:multiLevelType w:val="hybridMultilevel"/>
    <w:tmpl w:val="FBA20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1D5A45D8"/>
    <w:multiLevelType w:val="hybridMultilevel"/>
    <w:tmpl w:val="BB32FA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CC4BD9"/>
    <w:multiLevelType w:val="hybridMultilevel"/>
    <w:tmpl w:val="ECBC8CDE"/>
    <w:lvl w:ilvl="0" w:tplc="BB1468D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06543FF"/>
    <w:multiLevelType w:val="hybridMultilevel"/>
    <w:tmpl w:val="E200C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661C63"/>
    <w:multiLevelType w:val="hybridMultilevel"/>
    <w:tmpl w:val="CD248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25E4D74"/>
    <w:multiLevelType w:val="hybridMultilevel"/>
    <w:tmpl w:val="4B44C0B0"/>
    <w:lvl w:ilvl="0" w:tplc="BB1468D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4A94713"/>
    <w:multiLevelType w:val="hybridMultilevel"/>
    <w:tmpl w:val="3C5632B0"/>
    <w:lvl w:ilvl="0" w:tplc="468853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730FD3"/>
    <w:multiLevelType w:val="hybridMultilevel"/>
    <w:tmpl w:val="A9B2B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1414C01"/>
    <w:multiLevelType w:val="hybridMultilevel"/>
    <w:tmpl w:val="F3082534"/>
    <w:lvl w:ilvl="0" w:tplc="BB1468D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7D40F5"/>
    <w:multiLevelType w:val="hybridMultilevel"/>
    <w:tmpl w:val="6AC2329C"/>
    <w:lvl w:ilvl="0" w:tplc="BB1468D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0E41AD"/>
    <w:multiLevelType w:val="hybridMultilevel"/>
    <w:tmpl w:val="85CEC40E"/>
    <w:lvl w:ilvl="0" w:tplc="BB1468D4">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
    <w:nsid w:val="7F301922"/>
    <w:multiLevelType w:val="hybridMultilevel"/>
    <w:tmpl w:val="D98A2D80"/>
    <w:lvl w:ilvl="0" w:tplc="BB1468D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 w:numId="10">
    <w:abstractNumId w:val="15"/>
    <w:lvlOverride w:ilvl="0">
      <w:startOverride w:val="1"/>
    </w:lvlOverride>
  </w:num>
  <w:num w:numId="11">
    <w:abstractNumId w:val="15"/>
  </w:num>
  <w:num w:numId="12">
    <w:abstractNumId w:val="4"/>
  </w:num>
  <w:num w:numId="13">
    <w:abstractNumId w:val="2"/>
  </w:num>
  <w:num w:numId="14">
    <w:abstractNumId w:val="11"/>
  </w:num>
  <w:num w:numId="15">
    <w:abstractNumId w:val="13"/>
  </w:num>
  <w:num w:numId="16">
    <w:abstractNumId w:val="0"/>
  </w:num>
  <w:num w:numId="17">
    <w:abstractNumId w:val="6"/>
  </w:num>
  <w:num w:numId="18">
    <w:abstractNumId w:val="9"/>
  </w:num>
  <w:num w:numId="19">
    <w:abstractNumId w:val="12"/>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F75"/>
    <w:rsid w:val="000263FD"/>
    <w:rsid w:val="00027E85"/>
    <w:rsid w:val="000320DD"/>
    <w:rsid w:val="00062785"/>
    <w:rsid w:val="0008501B"/>
    <w:rsid w:val="000B5509"/>
    <w:rsid w:val="0010389C"/>
    <w:rsid w:val="00131493"/>
    <w:rsid w:val="00135F75"/>
    <w:rsid w:val="001748AE"/>
    <w:rsid w:val="001C59E6"/>
    <w:rsid w:val="001D3727"/>
    <w:rsid w:val="00277D6D"/>
    <w:rsid w:val="00281162"/>
    <w:rsid w:val="00314031"/>
    <w:rsid w:val="00415EFB"/>
    <w:rsid w:val="00444FD0"/>
    <w:rsid w:val="00481FF4"/>
    <w:rsid w:val="00485BC0"/>
    <w:rsid w:val="005254F0"/>
    <w:rsid w:val="00541533"/>
    <w:rsid w:val="00595393"/>
    <w:rsid w:val="005A1AE8"/>
    <w:rsid w:val="005D2217"/>
    <w:rsid w:val="00656129"/>
    <w:rsid w:val="00660D82"/>
    <w:rsid w:val="006948E8"/>
    <w:rsid w:val="006F1295"/>
    <w:rsid w:val="00747420"/>
    <w:rsid w:val="007529A8"/>
    <w:rsid w:val="00773760"/>
    <w:rsid w:val="00776C73"/>
    <w:rsid w:val="007B08A7"/>
    <w:rsid w:val="007B2577"/>
    <w:rsid w:val="007B4B36"/>
    <w:rsid w:val="00806483"/>
    <w:rsid w:val="00823630"/>
    <w:rsid w:val="00835040"/>
    <w:rsid w:val="00870C43"/>
    <w:rsid w:val="008C505C"/>
    <w:rsid w:val="008E382D"/>
    <w:rsid w:val="00991A62"/>
    <w:rsid w:val="009A2800"/>
    <w:rsid w:val="00A227AB"/>
    <w:rsid w:val="00A36B35"/>
    <w:rsid w:val="00B8103A"/>
    <w:rsid w:val="00BA1D29"/>
    <w:rsid w:val="00BD30C1"/>
    <w:rsid w:val="00C771CB"/>
    <w:rsid w:val="00C85D43"/>
    <w:rsid w:val="00CD2867"/>
    <w:rsid w:val="00D16BBD"/>
    <w:rsid w:val="00E22D1E"/>
    <w:rsid w:val="00E25EAE"/>
    <w:rsid w:val="00E43E28"/>
    <w:rsid w:val="00E55703"/>
    <w:rsid w:val="00E61D17"/>
    <w:rsid w:val="00E756FE"/>
    <w:rsid w:val="00EA5A33"/>
    <w:rsid w:val="00EF5FCD"/>
    <w:rsid w:val="00F16364"/>
    <w:rsid w:val="00FC6EC8"/>
    <w:rsid w:val="00FE1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CB"/>
    <w:pPr>
      <w:ind w:left="720"/>
      <w:contextualSpacing/>
    </w:pPr>
  </w:style>
  <w:style w:type="paragraph" w:customStyle="1" w:styleId="Point0number">
    <w:name w:val="Point 0 (number)"/>
    <w:basedOn w:val="Normal"/>
    <w:rsid w:val="00656129"/>
    <w:pPr>
      <w:numPr>
        <w:numId w:val="2"/>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656129"/>
    <w:pPr>
      <w:numPr>
        <w:ilvl w:val="2"/>
        <w:numId w:val="2"/>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656129"/>
    <w:pPr>
      <w:numPr>
        <w:ilvl w:val="4"/>
        <w:numId w:val="2"/>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656129"/>
    <w:pPr>
      <w:numPr>
        <w:ilvl w:val="6"/>
        <w:numId w:val="2"/>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656129"/>
    <w:pPr>
      <w:numPr>
        <w:ilvl w:val="1"/>
        <w:numId w:val="2"/>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656129"/>
    <w:pPr>
      <w:numPr>
        <w:ilvl w:val="3"/>
        <w:numId w:val="2"/>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656129"/>
    <w:pPr>
      <w:numPr>
        <w:ilvl w:val="5"/>
        <w:numId w:val="2"/>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656129"/>
    <w:pPr>
      <w:numPr>
        <w:ilvl w:val="7"/>
        <w:numId w:val="2"/>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656129"/>
    <w:pPr>
      <w:numPr>
        <w:ilvl w:val="8"/>
        <w:numId w:val="2"/>
      </w:numPr>
      <w:spacing w:before="120" w:after="120" w:line="240" w:lineRule="auto"/>
      <w:jc w:val="both"/>
    </w:pPr>
    <w:rPr>
      <w:rFonts w:ascii="Times New Roman" w:hAnsi="Times New Roman" w:cs="Times New Roman"/>
      <w:sz w:val="24"/>
    </w:rPr>
  </w:style>
  <w:style w:type="paragraph" w:customStyle="1" w:styleId="NumPar1">
    <w:name w:val="NumPar 1"/>
    <w:basedOn w:val="Normal"/>
    <w:next w:val="Normal"/>
    <w:rsid w:val="007B08A7"/>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rsid w:val="007B08A7"/>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rsid w:val="007B08A7"/>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rsid w:val="007B08A7"/>
    <w:pPr>
      <w:numPr>
        <w:ilvl w:val="3"/>
        <w:numId w:val="6"/>
      </w:numPr>
      <w:spacing w:before="120" w:after="120" w:line="240" w:lineRule="auto"/>
      <w:jc w:val="both"/>
    </w:pPr>
    <w:rPr>
      <w:rFonts w:ascii="Times New Roman" w:hAnsi="Times New Roman" w:cs="Times New Roman"/>
      <w:sz w:val="24"/>
    </w:rPr>
  </w:style>
  <w:style w:type="paragraph" w:styleId="FootnoteText">
    <w:name w:val="footnote text"/>
    <w:basedOn w:val="Normal"/>
    <w:link w:val="FootnoteTextChar"/>
    <w:uiPriority w:val="99"/>
    <w:semiHidden/>
    <w:unhideWhenUsed/>
    <w:rsid w:val="001C5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9E6"/>
    <w:rPr>
      <w:sz w:val="20"/>
      <w:szCs w:val="20"/>
    </w:rPr>
  </w:style>
  <w:style w:type="character" w:styleId="FootnoteReference">
    <w:name w:val="footnote reference"/>
    <w:basedOn w:val="DefaultParagraphFont"/>
    <w:uiPriority w:val="99"/>
    <w:semiHidden/>
    <w:unhideWhenUsed/>
    <w:rsid w:val="001C59E6"/>
    <w:rPr>
      <w:shd w:val="clear" w:color="auto" w:fill="auto"/>
      <w:vertAlign w:val="superscript"/>
    </w:rPr>
  </w:style>
  <w:style w:type="paragraph" w:customStyle="1" w:styleId="Tiret2">
    <w:name w:val="Tiret 2"/>
    <w:basedOn w:val="Normal"/>
    <w:rsid w:val="001C59E6"/>
    <w:pPr>
      <w:numPr>
        <w:numId w:val="10"/>
      </w:numPr>
      <w:spacing w:before="120" w:after="12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415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EFB"/>
  </w:style>
  <w:style w:type="paragraph" w:styleId="Footer">
    <w:name w:val="footer"/>
    <w:basedOn w:val="Normal"/>
    <w:link w:val="FooterChar"/>
    <w:uiPriority w:val="99"/>
    <w:unhideWhenUsed/>
    <w:rsid w:val="00415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EFB"/>
  </w:style>
  <w:style w:type="paragraph" w:styleId="BalloonText">
    <w:name w:val="Balloon Text"/>
    <w:basedOn w:val="Normal"/>
    <w:link w:val="BalloonTextChar"/>
    <w:uiPriority w:val="99"/>
    <w:semiHidden/>
    <w:unhideWhenUsed/>
    <w:rsid w:val="00415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FB"/>
    <w:rPr>
      <w:rFonts w:ascii="Tahoma" w:hAnsi="Tahoma" w:cs="Tahoma"/>
      <w:sz w:val="16"/>
      <w:szCs w:val="16"/>
    </w:rPr>
  </w:style>
  <w:style w:type="paragraph" w:styleId="Title">
    <w:name w:val="Title"/>
    <w:basedOn w:val="Normal"/>
    <w:next w:val="Normal"/>
    <w:link w:val="TitleChar"/>
    <w:uiPriority w:val="10"/>
    <w:qFormat/>
    <w:rsid w:val="00415E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E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1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CB"/>
    <w:pPr>
      <w:ind w:left="720"/>
      <w:contextualSpacing/>
    </w:pPr>
  </w:style>
  <w:style w:type="paragraph" w:customStyle="1" w:styleId="Point0number">
    <w:name w:val="Point 0 (number)"/>
    <w:basedOn w:val="Normal"/>
    <w:rsid w:val="00656129"/>
    <w:pPr>
      <w:numPr>
        <w:numId w:val="2"/>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656129"/>
    <w:pPr>
      <w:numPr>
        <w:ilvl w:val="2"/>
        <w:numId w:val="2"/>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656129"/>
    <w:pPr>
      <w:numPr>
        <w:ilvl w:val="4"/>
        <w:numId w:val="2"/>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656129"/>
    <w:pPr>
      <w:numPr>
        <w:ilvl w:val="6"/>
        <w:numId w:val="2"/>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656129"/>
    <w:pPr>
      <w:numPr>
        <w:ilvl w:val="1"/>
        <w:numId w:val="2"/>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656129"/>
    <w:pPr>
      <w:numPr>
        <w:ilvl w:val="3"/>
        <w:numId w:val="2"/>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656129"/>
    <w:pPr>
      <w:numPr>
        <w:ilvl w:val="5"/>
        <w:numId w:val="2"/>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656129"/>
    <w:pPr>
      <w:numPr>
        <w:ilvl w:val="7"/>
        <w:numId w:val="2"/>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656129"/>
    <w:pPr>
      <w:numPr>
        <w:ilvl w:val="8"/>
        <w:numId w:val="2"/>
      </w:numPr>
      <w:spacing w:before="120" w:after="120" w:line="240" w:lineRule="auto"/>
      <w:jc w:val="both"/>
    </w:pPr>
    <w:rPr>
      <w:rFonts w:ascii="Times New Roman" w:hAnsi="Times New Roman" w:cs="Times New Roman"/>
      <w:sz w:val="24"/>
    </w:rPr>
  </w:style>
  <w:style w:type="paragraph" w:customStyle="1" w:styleId="NumPar1">
    <w:name w:val="NumPar 1"/>
    <w:basedOn w:val="Normal"/>
    <w:next w:val="Normal"/>
    <w:rsid w:val="007B08A7"/>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rsid w:val="007B08A7"/>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rsid w:val="007B08A7"/>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rsid w:val="007B08A7"/>
    <w:pPr>
      <w:numPr>
        <w:ilvl w:val="3"/>
        <w:numId w:val="6"/>
      </w:numPr>
      <w:spacing w:before="120" w:after="120" w:line="240" w:lineRule="auto"/>
      <w:jc w:val="both"/>
    </w:pPr>
    <w:rPr>
      <w:rFonts w:ascii="Times New Roman" w:hAnsi="Times New Roman" w:cs="Times New Roman"/>
      <w:sz w:val="24"/>
    </w:rPr>
  </w:style>
  <w:style w:type="paragraph" w:styleId="FootnoteText">
    <w:name w:val="footnote text"/>
    <w:basedOn w:val="Normal"/>
    <w:link w:val="FootnoteTextChar"/>
    <w:uiPriority w:val="99"/>
    <w:semiHidden/>
    <w:unhideWhenUsed/>
    <w:rsid w:val="001C5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9E6"/>
    <w:rPr>
      <w:sz w:val="20"/>
      <w:szCs w:val="20"/>
    </w:rPr>
  </w:style>
  <w:style w:type="character" w:styleId="FootnoteReference">
    <w:name w:val="footnote reference"/>
    <w:basedOn w:val="DefaultParagraphFont"/>
    <w:uiPriority w:val="99"/>
    <w:semiHidden/>
    <w:unhideWhenUsed/>
    <w:rsid w:val="001C59E6"/>
    <w:rPr>
      <w:shd w:val="clear" w:color="auto" w:fill="auto"/>
      <w:vertAlign w:val="superscript"/>
    </w:rPr>
  </w:style>
  <w:style w:type="paragraph" w:customStyle="1" w:styleId="Tiret2">
    <w:name w:val="Tiret 2"/>
    <w:basedOn w:val="Normal"/>
    <w:rsid w:val="001C59E6"/>
    <w:pPr>
      <w:numPr>
        <w:numId w:val="10"/>
      </w:numPr>
      <w:spacing w:before="120" w:after="12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415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EFB"/>
  </w:style>
  <w:style w:type="paragraph" w:styleId="Footer">
    <w:name w:val="footer"/>
    <w:basedOn w:val="Normal"/>
    <w:link w:val="FooterChar"/>
    <w:uiPriority w:val="99"/>
    <w:unhideWhenUsed/>
    <w:rsid w:val="00415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EFB"/>
  </w:style>
  <w:style w:type="paragraph" w:styleId="BalloonText">
    <w:name w:val="Balloon Text"/>
    <w:basedOn w:val="Normal"/>
    <w:link w:val="BalloonTextChar"/>
    <w:uiPriority w:val="99"/>
    <w:semiHidden/>
    <w:unhideWhenUsed/>
    <w:rsid w:val="00415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FB"/>
    <w:rPr>
      <w:rFonts w:ascii="Tahoma" w:hAnsi="Tahoma" w:cs="Tahoma"/>
      <w:sz w:val="16"/>
      <w:szCs w:val="16"/>
    </w:rPr>
  </w:style>
  <w:style w:type="paragraph" w:styleId="Title">
    <w:name w:val="Title"/>
    <w:basedOn w:val="Normal"/>
    <w:next w:val="Normal"/>
    <w:link w:val="TitleChar"/>
    <w:uiPriority w:val="10"/>
    <w:qFormat/>
    <w:rsid w:val="00415E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E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1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onomie.gov.ro" TargetMode="External"/><Relationship Id="rId4" Type="http://schemas.microsoft.com/office/2007/relationships/stylesWithEffects" Target="stylesWithEffects.xml"/><Relationship Id="rId9" Type="http://schemas.openxmlformats.org/officeDocument/2006/relationships/hyperlink" Target="mailto:secretariatdee@energie.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B21AE-3280-46CD-9DE7-4A007BD9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MAI</cp:lastModifiedBy>
  <cp:revision>11</cp:revision>
  <dcterms:created xsi:type="dcterms:W3CDTF">2020-05-09T20:21:00Z</dcterms:created>
  <dcterms:modified xsi:type="dcterms:W3CDTF">2020-05-11T12:38:00Z</dcterms:modified>
</cp:coreProperties>
</file>