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3DEA4" w14:textId="77777777" w:rsidR="000E7168" w:rsidRPr="001552C0" w:rsidRDefault="000E7168" w:rsidP="000E7168">
      <w:pPr>
        <w:jc w:val="center"/>
        <w:rPr>
          <w:rFonts w:ascii="Times New Roman" w:hAnsi="Times New Roman" w:cs="Times New Roman"/>
          <w:b/>
          <w:i/>
          <w:noProof/>
          <w:sz w:val="24"/>
          <w:szCs w:val="24"/>
        </w:rPr>
      </w:pPr>
      <w:r w:rsidRPr="001552C0">
        <w:rPr>
          <w:rFonts w:ascii="Times New Roman" w:hAnsi="Times New Roman" w:cs="Times New Roman"/>
          <w:b/>
          <w:i/>
          <w:noProof/>
          <w:sz w:val="24"/>
          <w:szCs w:val="24"/>
        </w:rPr>
        <w:t>Programul Operational Dezvoltare Durabila - PODD</w:t>
      </w:r>
    </w:p>
    <w:p w14:paraId="79D10C98" w14:textId="77777777" w:rsidR="00F000AD" w:rsidRPr="001552C0" w:rsidRDefault="00F000AD" w:rsidP="00F000AD">
      <w:pPr>
        <w:rPr>
          <w:rFonts w:ascii="Times New Roman" w:hAnsi="Times New Roman" w:cs="Times New Roman"/>
          <w:i/>
          <w:noProof/>
          <w:sz w:val="24"/>
          <w:szCs w:val="24"/>
        </w:rPr>
      </w:pPr>
      <w:r w:rsidRPr="001552C0">
        <w:rPr>
          <w:rFonts w:ascii="Times New Roman" w:hAnsi="Times New Roman" w:cs="Times New Roman"/>
          <w:i/>
          <w:noProof/>
          <w:sz w:val="24"/>
          <w:szCs w:val="24"/>
        </w:rPr>
        <w:t>ANNEX V</w:t>
      </w:r>
    </w:p>
    <w:p w14:paraId="63DD2D4F" w14:textId="77777777" w:rsidR="00F000AD" w:rsidRPr="001552C0" w:rsidRDefault="00F000AD" w:rsidP="00F000AD">
      <w:pPr>
        <w:spacing w:before="120" w:after="120" w:line="240" w:lineRule="auto"/>
        <w:ind w:left="720"/>
        <w:jc w:val="both"/>
        <w:rPr>
          <w:rFonts w:ascii="Times New Roman" w:eastAsia="Calibri" w:hAnsi="Times New Roman" w:cs="Times New Roman"/>
          <w:noProof/>
          <w:sz w:val="24"/>
          <w:szCs w:val="24"/>
          <w:lang w:eastAsia="en-GB"/>
        </w:rPr>
      </w:pPr>
      <w:r w:rsidRPr="001552C0">
        <w:rPr>
          <w:rFonts w:ascii="Times New Roman" w:eastAsia="Calibri" w:hAnsi="Times New Roman" w:cs="Times New Roman"/>
          <w:b/>
          <w:noProof/>
          <w:sz w:val="24"/>
          <w:szCs w:val="24"/>
          <w:lang w:eastAsia="en-GB"/>
        </w:rPr>
        <w:t>Template for programmes supported from the ERDF (Investment for Jobs and growth goal), ESF+, the JTF, the Cohesion Fund and the EMFF – Article 16(3)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B96B06" w:rsidRPr="001552C0" w14:paraId="70CF115D" w14:textId="77777777" w:rsidTr="00F000AD">
        <w:trPr>
          <w:trHeight w:val="222"/>
          <w:jc w:val="center"/>
        </w:trPr>
        <w:tc>
          <w:tcPr>
            <w:tcW w:w="3315" w:type="dxa"/>
            <w:shd w:val="clear" w:color="auto" w:fill="auto"/>
          </w:tcPr>
          <w:p w14:paraId="372026E9"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CCI</w:t>
            </w:r>
          </w:p>
        </w:tc>
        <w:tc>
          <w:tcPr>
            <w:tcW w:w="5103" w:type="dxa"/>
            <w:shd w:val="clear" w:color="auto" w:fill="auto"/>
          </w:tcPr>
          <w:p w14:paraId="6781921B"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4F689516" w14:textId="77777777" w:rsidTr="00F000AD">
        <w:trPr>
          <w:trHeight w:val="269"/>
          <w:jc w:val="center"/>
        </w:trPr>
        <w:tc>
          <w:tcPr>
            <w:tcW w:w="3315" w:type="dxa"/>
            <w:shd w:val="clear" w:color="auto" w:fill="auto"/>
          </w:tcPr>
          <w:p w14:paraId="52DA0AC7"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Title in EN</w:t>
            </w:r>
          </w:p>
        </w:tc>
        <w:tc>
          <w:tcPr>
            <w:tcW w:w="5103" w:type="dxa"/>
            <w:shd w:val="clear" w:color="auto" w:fill="auto"/>
          </w:tcPr>
          <w:p w14:paraId="11DC6703" w14:textId="77777777" w:rsidR="00F000AD" w:rsidRPr="001552C0" w:rsidRDefault="00686393"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Sustainable Development Operational Programme</w:t>
            </w:r>
          </w:p>
        </w:tc>
      </w:tr>
      <w:tr w:rsidR="00B96B06" w:rsidRPr="001552C0" w14:paraId="767714F6" w14:textId="77777777" w:rsidTr="00F000AD">
        <w:trPr>
          <w:trHeight w:val="138"/>
          <w:jc w:val="center"/>
        </w:trPr>
        <w:tc>
          <w:tcPr>
            <w:tcW w:w="3315" w:type="dxa"/>
            <w:shd w:val="clear" w:color="auto" w:fill="auto"/>
          </w:tcPr>
          <w:p w14:paraId="7A2C5344"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Title in national language(s)</w:t>
            </w:r>
          </w:p>
        </w:tc>
        <w:tc>
          <w:tcPr>
            <w:tcW w:w="5103" w:type="dxa"/>
            <w:shd w:val="clear" w:color="auto" w:fill="auto"/>
          </w:tcPr>
          <w:p w14:paraId="11835596" w14:textId="77777777" w:rsidR="00F000AD" w:rsidRPr="001552C0" w:rsidRDefault="00686393"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Programul Operational Dezvoltare Durabila</w:t>
            </w:r>
          </w:p>
        </w:tc>
      </w:tr>
      <w:tr w:rsidR="00B96B06" w:rsidRPr="001552C0" w14:paraId="28791669" w14:textId="77777777" w:rsidTr="00F000AD">
        <w:trPr>
          <w:trHeight w:val="138"/>
          <w:jc w:val="center"/>
        </w:trPr>
        <w:tc>
          <w:tcPr>
            <w:tcW w:w="3315" w:type="dxa"/>
            <w:shd w:val="clear" w:color="auto" w:fill="auto"/>
          </w:tcPr>
          <w:p w14:paraId="516C076B"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Version</w:t>
            </w:r>
          </w:p>
        </w:tc>
        <w:tc>
          <w:tcPr>
            <w:tcW w:w="5103" w:type="dxa"/>
            <w:shd w:val="clear" w:color="auto" w:fill="auto"/>
          </w:tcPr>
          <w:p w14:paraId="38657CFF"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6432B98F" w14:textId="77777777" w:rsidTr="00F000AD">
        <w:trPr>
          <w:jc w:val="center"/>
        </w:trPr>
        <w:tc>
          <w:tcPr>
            <w:tcW w:w="3315" w:type="dxa"/>
            <w:shd w:val="clear" w:color="auto" w:fill="auto"/>
          </w:tcPr>
          <w:p w14:paraId="485D7078"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First year</w:t>
            </w:r>
          </w:p>
        </w:tc>
        <w:tc>
          <w:tcPr>
            <w:tcW w:w="5103" w:type="dxa"/>
            <w:shd w:val="clear" w:color="auto" w:fill="auto"/>
          </w:tcPr>
          <w:p w14:paraId="43B07985" w14:textId="77777777" w:rsidR="00F000AD" w:rsidRPr="001552C0" w:rsidRDefault="004E13A9"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2021</w:t>
            </w:r>
          </w:p>
        </w:tc>
      </w:tr>
      <w:tr w:rsidR="00B96B06" w:rsidRPr="001552C0" w14:paraId="189B23A7" w14:textId="77777777" w:rsidTr="00F000AD">
        <w:trPr>
          <w:jc w:val="center"/>
        </w:trPr>
        <w:tc>
          <w:tcPr>
            <w:tcW w:w="3315" w:type="dxa"/>
            <w:shd w:val="clear" w:color="auto" w:fill="auto"/>
          </w:tcPr>
          <w:p w14:paraId="09057F6A"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Last year</w:t>
            </w:r>
          </w:p>
        </w:tc>
        <w:tc>
          <w:tcPr>
            <w:tcW w:w="5103" w:type="dxa"/>
            <w:shd w:val="clear" w:color="auto" w:fill="auto"/>
          </w:tcPr>
          <w:p w14:paraId="32F5BE88" w14:textId="77777777" w:rsidR="00F000AD" w:rsidRPr="001552C0" w:rsidRDefault="004E13A9"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2027</w:t>
            </w:r>
          </w:p>
        </w:tc>
      </w:tr>
      <w:tr w:rsidR="00B96B06" w:rsidRPr="001552C0" w14:paraId="405BF9BD" w14:textId="77777777" w:rsidTr="00F000AD">
        <w:trPr>
          <w:jc w:val="center"/>
        </w:trPr>
        <w:tc>
          <w:tcPr>
            <w:tcW w:w="3315" w:type="dxa"/>
            <w:shd w:val="clear" w:color="auto" w:fill="auto"/>
          </w:tcPr>
          <w:p w14:paraId="12B372A5"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Eligible from</w:t>
            </w:r>
          </w:p>
        </w:tc>
        <w:tc>
          <w:tcPr>
            <w:tcW w:w="5103" w:type="dxa"/>
            <w:shd w:val="clear" w:color="auto" w:fill="auto"/>
          </w:tcPr>
          <w:p w14:paraId="0941E788"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68B61A63" w14:textId="77777777" w:rsidTr="00F000AD">
        <w:trPr>
          <w:jc w:val="center"/>
        </w:trPr>
        <w:tc>
          <w:tcPr>
            <w:tcW w:w="3315" w:type="dxa"/>
            <w:shd w:val="clear" w:color="auto" w:fill="auto"/>
          </w:tcPr>
          <w:p w14:paraId="23889D61"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Eligible until</w:t>
            </w:r>
          </w:p>
        </w:tc>
        <w:tc>
          <w:tcPr>
            <w:tcW w:w="5103" w:type="dxa"/>
            <w:shd w:val="clear" w:color="auto" w:fill="auto"/>
          </w:tcPr>
          <w:p w14:paraId="4B0A6449"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507B18A6" w14:textId="77777777" w:rsidTr="00F000AD">
        <w:trPr>
          <w:jc w:val="center"/>
        </w:trPr>
        <w:tc>
          <w:tcPr>
            <w:tcW w:w="3315" w:type="dxa"/>
            <w:shd w:val="clear" w:color="auto" w:fill="auto"/>
          </w:tcPr>
          <w:p w14:paraId="2D1F27F3"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Commission decision number</w:t>
            </w:r>
          </w:p>
        </w:tc>
        <w:tc>
          <w:tcPr>
            <w:tcW w:w="5103" w:type="dxa"/>
            <w:shd w:val="clear" w:color="auto" w:fill="auto"/>
          </w:tcPr>
          <w:p w14:paraId="1F4C62E8"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78C6F70A" w14:textId="77777777" w:rsidTr="00F000AD">
        <w:trPr>
          <w:jc w:val="center"/>
        </w:trPr>
        <w:tc>
          <w:tcPr>
            <w:tcW w:w="3315" w:type="dxa"/>
            <w:shd w:val="clear" w:color="auto" w:fill="auto"/>
          </w:tcPr>
          <w:p w14:paraId="1D6D8541"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Commission decision date</w:t>
            </w:r>
          </w:p>
        </w:tc>
        <w:tc>
          <w:tcPr>
            <w:tcW w:w="5103" w:type="dxa"/>
            <w:shd w:val="clear" w:color="auto" w:fill="auto"/>
          </w:tcPr>
          <w:p w14:paraId="0D9DC623"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13875246" w14:textId="77777777" w:rsidTr="00F000AD">
        <w:trPr>
          <w:trHeight w:val="163"/>
          <w:jc w:val="center"/>
        </w:trPr>
        <w:tc>
          <w:tcPr>
            <w:tcW w:w="3315" w:type="dxa"/>
            <w:shd w:val="clear" w:color="auto" w:fill="auto"/>
          </w:tcPr>
          <w:p w14:paraId="04004208"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Member State amending decision number</w:t>
            </w:r>
          </w:p>
        </w:tc>
        <w:tc>
          <w:tcPr>
            <w:tcW w:w="5103" w:type="dxa"/>
            <w:shd w:val="clear" w:color="auto" w:fill="auto"/>
          </w:tcPr>
          <w:p w14:paraId="18F1E914"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3D358382" w14:textId="77777777" w:rsidTr="00F000AD">
        <w:trPr>
          <w:trHeight w:val="163"/>
          <w:jc w:val="center"/>
        </w:trPr>
        <w:tc>
          <w:tcPr>
            <w:tcW w:w="3315" w:type="dxa"/>
            <w:shd w:val="clear" w:color="auto" w:fill="auto"/>
          </w:tcPr>
          <w:p w14:paraId="496C0F23"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Member State amending decision entry into force date</w:t>
            </w:r>
          </w:p>
        </w:tc>
        <w:tc>
          <w:tcPr>
            <w:tcW w:w="5103" w:type="dxa"/>
            <w:shd w:val="clear" w:color="auto" w:fill="auto"/>
          </w:tcPr>
          <w:p w14:paraId="518D8509"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70202E86" w14:textId="77777777" w:rsidTr="00F000AD">
        <w:trPr>
          <w:trHeight w:val="163"/>
          <w:jc w:val="center"/>
        </w:trPr>
        <w:tc>
          <w:tcPr>
            <w:tcW w:w="3315" w:type="dxa"/>
            <w:shd w:val="clear" w:color="auto" w:fill="auto"/>
          </w:tcPr>
          <w:p w14:paraId="4902F8E1"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Non substantial transfer (art. 19.5)</w:t>
            </w:r>
          </w:p>
        </w:tc>
        <w:tc>
          <w:tcPr>
            <w:tcW w:w="5103" w:type="dxa"/>
            <w:shd w:val="clear" w:color="auto" w:fill="auto"/>
          </w:tcPr>
          <w:p w14:paraId="1212A3BC"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Yes/No</w:t>
            </w:r>
          </w:p>
        </w:tc>
      </w:tr>
      <w:tr w:rsidR="00B96B06" w:rsidRPr="001552C0" w14:paraId="3B4C8D9E" w14:textId="77777777" w:rsidTr="00F000AD">
        <w:trPr>
          <w:trHeight w:val="163"/>
          <w:jc w:val="center"/>
        </w:trPr>
        <w:tc>
          <w:tcPr>
            <w:tcW w:w="3315" w:type="dxa"/>
            <w:shd w:val="clear" w:color="auto" w:fill="auto"/>
          </w:tcPr>
          <w:p w14:paraId="1DA5B29C"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NUTS regions covered by the programme (not applicable to the EMFF)</w:t>
            </w:r>
          </w:p>
        </w:tc>
        <w:tc>
          <w:tcPr>
            <w:tcW w:w="5103" w:type="dxa"/>
            <w:shd w:val="clear" w:color="auto" w:fill="auto"/>
          </w:tcPr>
          <w:p w14:paraId="78C1BBBF" w14:textId="77777777" w:rsidR="00F000AD" w:rsidRPr="001552C0" w:rsidRDefault="00F000AD" w:rsidP="00F000AD">
            <w:pPr>
              <w:spacing w:after="0"/>
              <w:rPr>
                <w:rFonts w:ascii="Times New Roman" w:hAnsi="Times New Roman" w:cs="Times New Roman"/>
                <w:noProof/>
                <w:sz w:val="24"/>
                <w:szCs w:val="24"/>
              </w:rPr>
            </w:pPr>
          </w:p>
        </w:tc>
      </w:tr>
      <w:tr w:rsidR="00B96B06" w:rsidRPr="001552C0" w14:paraId="1A33BDB3" w14:textId="77777777" w:rsidTr="00F000AD">
        <w:trPr>
          <w:trHeight w:val="163"/>
          <w:jc w:val="center"/>
        </w:trPr>
        <w:tc>
          <w:tcPr>
            <w:tcW w:w="3315" w:type="dxa"/>
            <w:vMerge w:val="restart"/>
            <w:shd w:val="clear" w:color="auto" w:fill="auto"/>
          </w:tcPr>
          <w:p w14:paraId="02E1AA5D"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Fund concerned</w:t>
            </w:r>
          </w:p>
        </w:tc>
        <w:tc>
          <w:tcPr>
            <w:tcW w:w="5103" w:type="dxa"/>
            <w:shd w:val="clear" w:color="auto" w:fill="auto"/>
          </w:tcPr>
          <w:p w14:paraId="26515B99" w14:textId="77777777" w:rsidR="00F000AD" w:rsidRPr="001552C0" w:rsidRDefault="00334AAD" w:rsidP="00334A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 xml:space="preserve">X </w:t>
            </w:r>
            <w:r w:rsidR="00F000AD" w:rsidRPr="001552C0">
              <w:rPr>
                <w:rFonts w:ascii="Times New Roman" w:hAnsi="Times New Roman" w:cs="Times New Roman"/>
                <w:noProof/>
                <w:sz w:val="24"/>
                <w:szCs w:val="24"/>
              </w:rPr>
              <w:t xml:space="preserve"> ERDF</w:t>
            </w:r>
          </w:p>
        </w:tc>
      </w:tr>
      <w:tr w:rsidR="00B96B06" w:rsidRPr="001552C0" w14:paraId="21CA653B" w14:textId="77777777" w:rsidTr="00F000AD">
        <w:trPr>
          <w:trHeight w:val="163"/>
          <w:jc w:val="center"/>
        </w:trPr>
        <w:tc>
          <w:tcPr>
            <w:tcW w:w="3315" w:type="dxa"/>
            <w:vMerge/>
            <w:shd w:val="clear" w:color="auto" w:fill="auto"/>
          </w:tcPr>
          <w:p w14:paraId="4E014096" w14:textId="77777777" w:rsidR="00F000AD" w:rsidRPr="001552C0" w:rsidRDefault="00F000AD" w:rsidP="00F000AD">
            <w:pPr>
              <w:spacing w:after="0"/>
              <w:rPr>
                <w:rFonts w:ascii="Times New Roman" w:hAnsi="Times New Roman" w:cs="Times New Roman"/>
                <w:noProof/>
                <w:sz w:val="24"/>
                <w:szCs w:val="24"/>
              </w:rPr>
            </w:pPr>
          </w:p>
        </w:tc>
        <w:tc>
          <w:tcPr>
            <w:tcW w:w="5103" w:type="dxa"/>
            <w:shd w:val="clear" w:color="auto" w:fill="auto"/>
          </w:tcPr>
          <w:p w14:paraId="21179C0D" w14:textId="77777777" w:rsidR="00F000AD" w:rsidRPr="001552C0" w:rsidRDefault="00334A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t xml:space="preserve">X </w:t>
            </w:r>
            <w:r w:rsidR="00F000AD" w:rsidRPr="001552C0">
              <w:rPr>
                <w:rFonts w:ascii="Times New Roman" w:hAnsi="Times New Roman" w:cs="Times New Roman"/>
                <w:noProof/>
                <w:sz w:val="24"/>
                <w:szCs w:val="24"/>
              </w:rPr>
              <w:t>Cohesion Fund</w:t>
            </w:r>
          </w:p>
        </w:tc>
      </w:tr>
      <w:tr w:rsidR="00B96B06" w:rsidRPr="001552C0" w14:paraId="7919422C" w14:textId="77777777" w:rsidTr="00F000AD">
        <w:trPr>
          <w:trHeight w:val="163"/>
          <w:jc w:val="center"/>
        </w:trPr>
        <w:tc>
          <w:tcPr>
            <w:tcW w:w="3315" w:type="dxa"/>
            <w:vMerge/>
            <w:shd w:val="clear" w:color="auto" w:fill="auto"/>
          </w:tcPr>
          <w:p w14:paraId="6C9A5F59" w14:textId="77777777" w:rsidR="00F000AD" w:rsidRPr="001552C0" w:rsidRDefault="00F000AD" w:rsidP="00F000AD">
            <w:pPr>
              <w:spacing w:after="0"/>
              <w:rPr>
                <w:rFonts w:ascii="Times New Roman" w:hAnsi="Times New Roman" w:cs="Times New Roman"/>
                <w:noProof/>
                <w:sz w:val="24"/>
                <w:szCs w:val="24"/>
              </w:rPr>
            </w:pPr>
          </w:p>
        </w:tc>
        <w:tc>
          <w:tcPr>
            <w:tcW w:w="5103" w:type="dxa"/>
            <w:shd w:val="clear" w:color="auto" w:fill="auto"/>
          </w:tcPr>
          <w:p w14:paraId="7948CE24"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fldChar w:fldCharType="begin">
                <w:ffData>
                  <w:name w:val="Check1"/>
                  <w:enabled/>
                  <w:calcOnExit w:val="0"/>
                  <w:checkBox>
                    <w:sizeAuto/>
                    <w:default w:val="0"/>
                  </w:checkBox>
                </w:ffData>
              </w:fldChar>
            </w:r>
            <w:r w:rsidRPr="001552C0">
              <w:rPr>
                <w:rFonts w:ascii="Times New Roman" w:hAnsi="Times New Roman" w:cs="Times New Roman"/>
                <w:noProof/>
                <w:sz w:val="24"/>
                <w:szCs w:val="24"/>
              </w:rPr>
              <w:instrText xml:space="preserve"> FORMCHECKBOX </w:instrText>
            </w:r>
            <w:r w:rsidR="006A151E">
              <w:rPr>
                <w:rFonts w:ascii="Times New Roman" w:hAnsi="Times New Roman" w:cs="Times New Roman"/>
                <w:noProof/>
                <w:sz w:val="24"/>
                <w:szCs w:val="24"/>
              </w:rPr>
            </w:r>
            <w:r w:rsidR="006A151E">
              <w:rPr>
                <w:rFonts w:ascii="Times New Roman" w:hAnsi="Times New Roman" w:cs="Times New Roman"/>
                <w:noProof/>
                <w:sz w:val="24"/>
                <w:szCs w:val="24"/>
              </w:rPr>
              <w:fldChar w:fldCharType="separate"/>
            </w:r>
            <w:r w:rsidRPr="001552C0">
              <w:rPr>
                <w:rFonts w:ascii="Times New Roman" w:hAnsi="Times New Roman" w:cs="Times New Roman"/>
                <w:noProof/>
                <w:sz w:val="24"/>
                <w:szCs w:val="24"/>
              </w:rPr>
              <w:fldChar w:fldCharType="end"/>
            </w:r>
            <w:r w:rsidRPr="001552C0">
              <w:rPr>
                <w:rFonts w:ascii="Times New Roman" w:hAnsi="Times New Roman" w:cs="Times New Roman"/>
                <w:noProof/>
                <w:sz w:val="24"/>
                <w:szCs w:val="24"/>
              </w:rPr>
              <w:t xml:space="preserve"> ESF+</w:t>
            </w:r>
          </w:p>
        </w:tc>
      </w:tr>
      <w:tr w:rsidR="00B96B06" w:rsidRPr="001552C0" w14:paraId="4409C06C" w14:textId="77777777" w:rsidTr="00F000AD">
        <w:trPr>
          <w:trHeight w:val="163"/>
          <w:jc w:val="center"/>
        </w:trPr>
        <w:tc>
          <w:tcPr>
            <w:tcW w:w="3315" w:type="dxa"/>
            <w:vMerge/>
            <w:shd w:val="clear" w:color="auto" w:fill="auto"/>
          </w:tcPr>
          <w:p w14:paraId="590C7F01" w14:textId="77777777" w:rsidR="00F000AD" w:rsidRPr="001552C0" w:rsidRDefault="00F000AD" w:rsidP="00F000AD">
            <w:pPr>
              <w:spacing w:after="0"/>
              <w:rPr>
                <w:rFonts w:ascii="Times New Roman" w:hAnsi="Times New Roman" w:cs="Times New Roman"/>
                <w:noProof/>
                <w:sz w:val="24"/>
                <w:szCs w:val="24"/>
              </w:rPr>
            </w:pPr>
          </w:p>
        </w:tc>
        <w:tc>
          <w:tcPr>
            <w:tcW w:w="5103" w:type="dxa"/>
            <w:shd w:val="clear" w:color="auto" w:fill="auto"/>
          </w:tcPr>
          <w:p w14:paraId="4F712E4B"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fldChar w:fldCharType="begin">
                <w:ffData>
                  <w:name w:val="Check1"/>
                  <w:enabled/>
                  <w:calcOnExit w:val="0"/>
                  <w:checkBox>
                    <w:sizeAuto/>
                    <w:default w:val="0"/>
                  </w:checkBox>
                </w:ffData>
              </w:fldChar>
            </w:r>
            <w:r w:rsidRPr="001552C0">
              <w:rPr>
                <w:rFonts w:ascii="Times New Roman" w:hAnsi="Times New Roman" w:cs="Times New Roman"/>
                <w:noProof/>
                <w:sz w:val="24"/>
                <w:szCs w:val="24"/>
              </w:rPr>
              <w:instrText xml:space="preserve"> FORMCHECKBOX </w:instrText>
            </w:r>
            <w:r w:rsidR="006A151E">
              <w:rPr>
                <w:rFonts w:ascii="Times New Roman" w:hAnsi="Times New Roman" w:cs="Times New Roman"/>
                <w:noProof/>
                <w:sz w:val="24"/>
                <w:szCs w:val="24"/>
              </w:rPr>
            </w:r>
            <w:r w:rsidR="006A151E">
              <w:rPr>
                <w:rFonts w:ascii="Times New Roman" w:hAnsi="Times New Roman" w:cs="Times New Roman"/>
                <w:noProof/>
                <w:sz w:val="24"/>
                <w:szCs w:val="24"/>
              </w:rPr>
              <w:fldChar w:fldCharType="separate"/>
            </w:r>
            <w:r w:rsidRPr="001552C0">
              <w:rPr>
                <w:rFonts w:ascii="Times New Roman" w:hAnsi="Times New Roman" w:cs="Times New Roman"/>
                <w:noProof/>
                <w:sz w:val="24"/>
                <w:szCs w:val="24"/>
              </w:rPr>
              <w:fldChar w:fldCharType="end"/>
            </w:r>
            <w:r w:rsidRPr="001552C0">
              <w:rPr>
                <w:rFonts w:ascii="Times New Roman" w:hAnsi="Times New Roman" w:cs="Times New Roman"/>
                <w:noProof/>
                <w:sz w:val="24"/>
                <w:szCs w:val="24"/>
              </w:rPr>
              <w:t xml:space="preserve"> JTF</w:t>
            </w:r>
          </w:p>
        </w:tc>
      </w:tr>
      <w:tr w:rsidR="00B96B06" w:rsidRPr="001552C0" w14:paraId="36587AC3" w14:textId="77777777" w:rsidTr="00F000AD">
        <w:trPr>
          <w:trHeight w:val="163"/>
          <w:jc w:val="center"/>
        </w:trPr>
        <w:tc>
          <w:tcPr>
            <w:tcW w:w="3315" w:type="dxa"/>
            <w:vMerge/>
            <w:shd w:val="clear" w:color="auto" w:fill="auto"/>
          </w:tcPr>
          <w:p w14:paraId="4527CC85" w14:textId="77777777" w:rsidR="00F000AD" w:rsidRPr="001552C0" w:rsidRDefault="00F000AD" w:rsidP="00F000AD">
            <w:pPr>
              <w:spacing w:after="0"/>
              <w:rPr>
                <w:rFonts w:ascii="Times New Roman" w:hAnsi="Times New Roman" w:cs="Times New Roman"/>
                <w:noProof/>
                <w:sz w:val="24"/>
                <w:szCs w:val="24"/>
              </w:rPr>
            </w:pPr>
          </w:p>
        </w:tc>
        <w:tc>
          <w:tcPr>
            <w:tcW w:w="5103" w:type="dxa"/>
            <w:shd w:val="clear" w:color="auto" w:fill="auto"/>
          </w:tcPr>
          <w:p w14:paraId="22DDE9A1" w14:textId="77777777" w:rsidR="00F000AD" w:rsidRPr="001552C0" w:rsidRDefault="00F000AD" w:rsidP="00F000AD">
            <w:pPr>
              <w:spacing w:after="0"/>
              <w:rPr>
                <w:rFonts w:ascii="Times New Roman" w:hAnsi="Times New Roman" w:cs="Times New Roman"/>
                <w:noProof/>
                <w:sz w:val="24"/>
                <w:szCs w:val="24"/>
              </w:rPr>
            </w:pPr>
            <w:r w:rsidRPr="001552C0">
              <w:rPr>
                <w:rFonts w:ascii="Times New Roman" w:hAnsi="Times New Roman" w:cs="Times New Roman"/>
                <w:noProof/>
                <w:sz w:val="24"/>
                <w:szCs w:val="24"/>
              </w:rPr>
              <w:fldChar w:fldCharType="begin">
                <w:ffData>
                  <w:name w:val="Check1"/>
                  <w:enabled/>
                  <w:calcOnExit w:val="0"/>
                  <w:checkBox>
                    <w:sizeAuto/>
                    <w:default w:val="0"/>
                  </w:checkBox>
                </w:ffData>
              </w:fldChar>
            </w:r>
            <w:r w:rsidRPr="001552C0">
              <w:rPr>
                <w:rFonts w:ascii="Times New Roman" w:hAnsi="Times New Roman" w:cs="Times New Roman"/>
                <w:noProof/>
                <w:sz w:val="24"/>
                <w:szCs w:val="24"/>
              </w:rPr>
              <w:instrText xml:space="preserve"> FORMCHECKBOX </w:instrText>
            </w:r>
            <w:r w:rsidR="006A151E">
              <w:rPr>
                <w:rFonts w:ascii="Times New Roman" w:hAnsi="Times New Roman" w:cs="Times New Roman"/>
                <w:noProof/>
                <w:sz w:val="24"/>
                <w:szCs w:val="24"/>
              </w:rPr>
            </w:r>
            <w:r w:rsidR="006A151E">
              <w:rPr>
                <w:rFonts w:ascii="Times New Roman" w:hAnsi="Times New Roman" w:cs="Times New Roman"/>
                <w:noProof/>
                <w:sz w:val="24"/>
                <w:szCs w:val="24"/>
              </w:rPr>
              <w:fldChar w:fldCharType="separate"/>
            </w:r>
            <w:r w:rsidRPr="001552C0">
              <w:rPr>
                <w:rFonts w:ascii="Times New Roman" w:hAnsi="Times New Roman" w:cs="Times New Roman"/>
                <w:noProof/>
                <w:sz w:val="24"/>
                <w:szCs w:val="24"/>
              </w:rPr>
              <w:fldChar w:fldCharType="end"/>
            </w:r>
            <w:r w:rsidRPr="001552C0">
              <w:rPr>
                <w:rFonts w:ascii="Times New Roman" w:hAnsi="Times New Roman" w:cs="Times New Roman"/>
                <w:noProof/>
                <w:sz w:val="24"/>
                <w:szCs w:val="24"/>
              </w:rPr>
              <w:t xml:space="preserve"> EMFF</w:t>
            </w:r>
          </w:p>
        </w:tc>
      </w:tr>
    </w:tbl>
    <w:p w14:paraId="7B6A6A4C" w14:textId="77777777" w:rsidR="00F000AD" w:rsidRPr="001552C0" w:rsidRDefault="00F000AD" w:rsidP="00F000AD">
      <w:pPr>
        <w:spacing w:after="120" w:line="240" w:lineRule="auto"/>
        <w:jc w:val="both"/>
        <w:rPr>
          <w:rFonts w:ascii="Times New Roman" w:hAnsi="Times New Roman" w:cs="Times New Roman"/>
          <w:noProof/>
          <w:sz w:val="16"/>
          <w:szCs w:val="16"/>
        </w:rPr>
      </w:pPr>
      <w:r w:rsidRPr="001552C0">
        <w:rPr>
          <w:rFonts w:ascii="Times New Roman" w:hAnsi="Times New Roman" w:cs="Times New Roman"/>
          <w:noProof/>
          <w:sz w:val="16"/>
          <w:szCs w:val="16"/>
          <w:vertAlign w:val="superscript"/>
        </w:rPr>
        <w:t>*</w:t>
      </w:r>
      <w:r w:rsidRPr="001552C0">
        <w:rPr>
          <w:rFonts w:ascii="Times New Roman" w:hAnsi="Times New Roman" w:cs="Times New Roman"/>
          <w:noProof/>
          <w:sz w:val="16"/>
          <w:szCs w:val="16"/>
        </w:rPr>
        <w:t xml:space="preserve"> Numbers in square brackets refer to number of characters.</w:t>
      </w:r>
      <w:r w:rsidRPr="001552C0">
        <w:rPr>
          <w:rFonts w:ascii="Times New Roman" w:eastAsia="Times New Roman" w:hAnsi="Times New Roman" w:cs="Times New Roman"/>
          <w:noProof/>
          <w:sz w:val="20"/>
          <w:szCs w:val="16"/>
          <w:lang w:eastAsia="en-GB"/>
        </w:rPr>
        <w:t>”</w:t>
      </w:r>
    </w:p>
    <w:p w14:paraId="3C7CCF2F" w14:textId="77777777" w:rsidR="00F000AD" w:rsidRPr="001552C0" w:rsidRDefault="00F000AD" w:rsidP="00F000AD">
      <w:pPr>
        <w:spacing w:before="120" w:after="120" w:line="360" w:lineRule="auto"/>
        <w:rPr>
          <w:rFonts w:ascii="Times New Roman" w:hAnsi="Times New Roman" w:cs="Times New Roman"/>
          <w:b/>
          <w:bCs/>
          <w:noProof/>
          <w:sz w:val="24"/>
        </w:rPr>
      </w:pPr>
      <w:r w:rsidRPr="001552C0">
        <w:rPr>
          <w:rFonts w:ascii="Times New Roman" w:hAnsi="Times New Roman" w:cs="Times New Roman"/>
          <w:b/>
          <w:bCs/>
          <w:noProof/>
          <w:sz w:val="24"/>
        </w:rPr>
        <w:t>1.</w:t>
      </w:r>
      <w:r w:rsidRPr="001552C0">
        <w:rPr>
          <w:rFonts w:ascii="Times New Roman" w:hAnsi="Times New Roman" w:cs="Times New Roman"/>
          <w:b/>
          <w:bCs/>
          <w:noProof/>
          <w:sz w:val="24"/>
        </w:rPr>
        <w:tab/>
        <w:t>Programme strategy: main development challenges and policy responses</w:t>
      </w:r>
    </w:p>
    <w:p w14:paraId="1B25155E" w14:textId="77777777" w:rsidR="00F000AD" w:rsidRPr="001552C0" w:rsidRDefault="00F000AD" w:rsidP="00F000AD">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noProof/>
          <w:sz w:val="24"/>
          <w:szCs w:val="24"/>
        </w:rPr>
        <w:t>Reference: Article 17(3</w:t>
      </w:r>
      <w:r w:rsidRPr="001552C0">
        <w:rPr>
          <w:rFonts w:ascii="Times New Roman" w:eastAsia="Times New Roman" w:hAnsi="Times New Roman" w:cs="Times New Roman"/>
          <w:i/>
          <w:noProof/>
          <w:sz w:val="24"/>
          <w:szCs w:val="24"/>
        </w:rPr>
        <w:t>)(a)(i)-(vii) and 17(3)(b) CPR</w:t>
      </w:r>
    </w:p>
    <w:p w14:paraId="78B18213" w14:textId="77777777" w:rsidR="00F000AD" w:rsidRPr="001552C0" w:rsidRDefault="00F000AD" w:rsidP="00F000AD">
      <w:pPr>
        <w:spacing w:before="120" w:after="120" w:line="360" w:lineRule="auto"/>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000AD" w:rsidRPr="001552C0" w14:paraId="07944D9C" w14:textId="77777777" w:rsidTr="00F000AD">
        <w:tc>
          <w:tcPr>
            <w:tcW w:w="9288" w:type="dxa"/>
            <w:tcBorders>
              <w:top w:val="single" w:sz="4" w:space="0" w:color="auto"/>
              <w:left w:val="single" w:sz="4" w:space="0" w:color="auto"/>
              <w:bottom w:val="single" w:sz="4" w:space="0" w:color="auto"/>
              <w:right w:val="single" w:sz="4" w:space="0" w:color="auto"/>
            </w:tcBorders>
            <w:hideMark/>
          </w:tcPr>
          <w:p w14:paraId="4CD80551" w14:textId="48272F8F" w:rsidR="00F000AD" w:rsidRPr="001552C0" w:rsidRDefault="00F000AD" w:rsidP="00F000AD">
            <w:pPr>
              <w:spacing w:before="120" w:after="120" w:line="360" w:lineRule="auto"/>
              <w:rPr>
                <w:rFonts w:ascii="Times New Roman" w:eastAsia="Times New Roman" w:hAnsi="Times New Roman" w:cs="Times New Roman"/>
                <w:i/>
                <w:iCs/>
                <w:noProof/>
              </w:rPr>
            </w:pPr>
            <w:r w:rsidRPr="001552C0">
              <w:rPr>
                <w:rFonts w:ascii="Times New Roman" w:eastAsia="Times New Roman" w:hAnsi="Times New Roman" w:cs="Times New Roman"/>
                <w:i/>
                <w:iCs/>
                <w:noProof/>
              </w:rPr>
              <w:t>Text field [30 000]</w:t>
            </w:r>
          </w:p>
          <w:p w14:paraId="1650DC5B" w14:textId="77777777" w:rsidR="005A5555" w:rsidRPr="001552C0" w:rsidRDefault="000E7168" w:rsidP="000E7168">
            <w:pPr>
              <w:spacing w:before="120" w:after="120" w:line="240" w:lineRule="auto"/>
              <w:jc w:val="both"/>
              <w:rPr>
                <w:rFonts w:eastAsia="Times New Roman" w:cstheme="minorHAnsi"/>
                <w:iCs/>
                <w:noProof/>
              </w:rPr>
            </w:pPr>
            <w:r w:rsidRPr="001552C0">
              <w:rPr>
                <w:rFonts w:eastAsia="Times New Roman" w:cstheme="minorHAnsi"/>
                <w:iCs/>
                <w:noProof/>
              </w:rPr>
              <w:t>PODD 2021-2027 este elaborat în concordanță cu</w:t>
            </w:r>
            <w:r w:rsidR="00F86403" w:rsidRPr="001552C0">
              <w:rPr>
                <w:rFonts w:eastAsia="Times New Roman" w:cstheme="minorHAnsi"/>
                <w:iCs/>
                <w:noProof/>
              </w:rPr>
              <w:t xml:space="preserve"> </w:t>
            </w:r>
            <w:r w:rsidR="005A5555" w:rsidRPr="001552C0">
              <w:rPr>
                <w:rFonts w:eastAsia="Times New Roman" w:cstheme="minorHAnsi"/>
                <w:iCs/>
                <w:noProof/>
              </w:rPr>
              <w:t>obiectivul Uniunii Europene de conservare, protecție și îmbunătățire a calității mediului, în conformitate cu articolul 11 și cu articolul 191 alineatul (1) din TFUE.</w:t>
            </w:r>
          </w:p>
          <w:p w14:paraId="17FBAFD2" w14:textId="46D765FE" w:rsidR="00233F36" w:rsidRDefault="005A5555" w:rsidP="00233F36">
            <w:pPr>
              <w:spacing w:before="120" w:after="120" w:line="240" w:lineRule="auto"/>
              <w:jc w:val="both"/>
              <w:rPr>
                <w:rFonts w:eastAsia="Times New Roman" w:cstheme="minorHAnsi"/>
                <w:iCs/>
                <w:noProof/>
              </w:rPr>
            </w:pPr>
            <w:r w:rsidRPr="001552C0">
              <w:rPr>
                <w:rFonts w:eastAsia="Times New Roman" w:cstheme="minorHAnsi"/>
                <w:iCs/>
                <w:noProof/>
              </w:rPr>
              <w:t>T</w:t>
            </w:r>
            <w:r w:rsidR="001D27CD" w:rsidRPr="001552C0">
              <w:rPr>
                <w:rFonts w:eastAsia="Times New Roman" w:cstheme="minorHAnsi"/>
                <w:iCs/>
                <w:noProof/>
              </w:rPr>
              <w:t xml:space="preserve">otodată, în elaborarea PODD s-a </w:t>
            </w:r>
            <w:r w:rsidRPr="001552C0">
              <w:rPr>
                <w:rFonts w:eastAsia="Times New Roman" w:cstheme="minorHAnsi"/>
                <w:iCs/>
                <w:noProof/>
              </w:rPr>
              <w:t xml:space="preserve">avut în vedere </w:t>
            </w:r>
            <w:r w:rsidR="001D27CD" w:rsidRPr="001552C0">
              <w:rPr>
                <w:rFonts w:eastAsia="Times New Roman" w:cstheme="minorHAnsi"/>
                <w:iCs/>
                <w:noProof/>
              </w:rPr>
              <w:t>Semestrul European, care oferă un cadru pentru identificarea priorităților naționale în materie de reforme și monitorizarea implementării acestora, Recomandările Specifice de Țară relevante, Programul Național de Reformă,</w:t>
            </w:r>
            <w:r w:rsidR="008310CE" w:rsidRPr="001552C0">
              <w:rPr>
                <w:rFonts w:eastAsia="Times New Roman" w:cstheme="minorHAnsi"/>
                <w:iCs/>
                <w:noProof/>
              </w:rPr>
              <w:t xml:space="preserve"> Rapo</w:t>
            </w:r>
            <w:r w:rsidR="003B07EF" w:rsidRPr="001552C0">
              <w:rPr>
                <w:rFonts w:eastAsia="Times New Roman" w:cstheme="minorHAnsi"/>
                <w:iCs/>
                <w:noProof/>
              </w:rPr>
              <w:t>a</w:t>
            </w:r>
            <w:r w:rsidR="008310CE" w:rsidRPr="001552C0">
              <w:rPr>
                <w:rFonts w:eastAsia="Times New Roman" w:cstheme="minorHAnsi"/>
                <w:iCs/>
                <w:noProof/>
              </w:rPr>
              <w:t>rt</w:t>
            </w:r>
            <w:r w:rsidR="003B07EF" w:rsidRPr="001552C0">
              <w:rPr>
                <w:rFonts w:eastAsia="Times New Roman" w:cstheme="minorHAnsi"/>
                <w:iCs/>
                <w:noProof/>
              </w:rPr>
              <w:t>ele</w:t>
            </w:r>
            <w:r w:rsidR="008310CE" w:rsidRPr="001552C0">
              <w:rPr>
                <w:rFonts w:eastAsia="Times New Roman" w:cstheme="minorHAnsi"/>
                <w:iCs/>
                <w:noProof/>
              </w:rPr>
              <w:t xml:space="preserve"> de Țară</w:t>
            </w:r>
            <w:r w:rsidR="003B07EF" w:rsidRPr="001552C0">
              <w:rPr>
                <w:rFonts w:eastAsia="Times New Roman" w:cstheme="minorHAnsi"/>
                <w:iCs/>
                <w:noProof/>
              </w:rPr>
              <w:t xml:space="preserve"> din </w:t>
            </w:r>
            <w:r w:rsidR="003B07EF" w:rsidRPr="001552C0">
              <w:rPr>
                <w:rFonts w:eastAsia="Times New Roman" w:cstheme="minorHAnsi"/>
                <w:iCs/>
                <w:noProof/>
              </w:rPr>
              <w:lastRenderedPageBreak/>
              <w:t>2019 și 2020</w:t>
            </w:r>
            <w:r w:rsidR="008310CE" w:rsidRPr="001552C0">
              <w:rPr>
                <w:rFonts w:eastAsia="Times New Roman" w:cstheme="minorHAnsi"/>
                <w:iCs/>
                <w:noProof/>
              </w:rPr>
              <w:t xml:space="preserve"> și</w:t>
            </w:r>
            <w:r w:rsidR="001D27CD" w:rsidRPr="001552C0">
              <w:rPr>
                <w:rFonts w:eastAsia="Times New Roman" w:cstheme="minorHAnsi"/>
                <w:iCs/>
                <w:noProof/>
              </w:rPr>
              <w:t xml:space="preserve"> </w:t>
            </w:r>
            <w:r w:rsidR="008310CE" w:rsidRPr="001552C0">
              <w:rPr>
                <w:rFonts w:eastAsia="Times New Roman" w:cstheme="minorHAnsi"/>
                <w:iCs/>
                <w:noProof/>
              </w:rPr>
              <w:t>Anexa D</w:t>
            </w:r>
            <w:r w:rsidR="003B07EF" w:rsidRPr="001552C0">
              <w:rPr>
                <w:rFonts w:eastAsia="Times New Roman" w:cstheme="minorHAnsi"/>
                <w:iCs/>
                <w:noProof/>
              </w:rPr>
              <w:t xml:space="preserve"> a Raportului din 2020</w:t>
            </w:r>
            <w:r w:rsidR="001D27CD" w:rsidRPr="001552C0">
              <w:rPr>
                <w:rFonts w:eastAsia="Times New Roman" w:cstheme="minorHAnsi"/>
                <w:iCs/>
                <w:noProof/>
              </w:rPr>
              <w:t xml:space="preserve">, precum si </w:t>
            </w:r>
            <w:r w:rsidR="000E7168" w:rsidRPr="001552C0">
              <w:rPr>
                <w:rFonts w:eastAsia="Times New Roman" w:cstheme="minorHAnsi"/>
                <w:iCs/>
                <w:noProof/>
              </w:rPr>
              <w:t xml:space="preserve">nevoile de dezvoltare </w:t>
            </w:r>
            <w:r w:rsidR="001D27CD" w:rsidRPr="001552C0">
              <w:rPr>
                <w:rFonts w:eastAsia="Times New Roman" w:cstheme="minorHAnsi"/>
                <w:iCs/>
                <w:noProof/>
              </w:rPr>
              <w:t>identificate la nivel national</w:t>
            </w:r>
            <w:r w:rsidR="000E7168" w:rsidRPr="001552C0">
              <w:rPr>
                <w:rFonts w:eastAsia="Times New Roman" w:cstheme="minorHAnsi"/>
                <w:iCs/>
                <w:noProof/>
              </w:rPr>
              <w:t>.</w:t>
            </w:r>
            <w:r w:rsidR="00C32282" w:rsidRPr="001552C0">
              <w:rPr>
                <w:rFonts w:eastAsia="Times New Roman" w:cstheme="minorHAnsi"/>
                <w:iCs/>
                <w:noProof/>
              </w:rPr>
              <w:t xml:space="preserve"> Astfel, prin</w:t>
            </w:r>
            <w:r w:rsidR="00233F36" w:rsidRPr="001552C0">
              <w:rPr>
                <w:rFonts w:eastAsia="Times New Roman" w:cstheme="minorHAnsi"/>
                <w:iCs/>
                <w:noProof/>
              </w:rPr>
              <w:t xml:space="preserve"> investițiile care urmează a fi realizate, PODD va adresa provocările și deficiențele identificate în Rapoartele de Țară recente și la punerea în practică a deciziilor Semestrului European, prin finanţarea celui de-al doilea obiectiv de politică din Regulamentul nr. …., r</w:t>
            </w:r>
            <w:r w:rsidR="00855676" w:rsidRPr="001552C0">
              <w:rPr>
                <w:rFonts w:eastAsia="Times New Roman" w:cstheme="minorHAnsi"/>
                <w:iCs/>
                <w:noProof/>
              </w:rPr>
              <w:t>espectiv ”o Europă mai verde</w:t>
            </w:r>
            <w:r w:rsidR="00233F36" w:rsidRPr="001552C0">
              <w:rPr>
                <w:rFonts w:eastAsia="Times New Roman" w:cstheme="minorHAnsi"/>
                <w:iCs/>
                <w:noProof/>
              </w:rPr>
              <w:t>, cu emisii scăzute de carbon, prin promovarea tranziției către o energie nepoluantă și echitabilă, a investițiilor verzi și albastre, a economiei circulare, a adaptării la schimbările climatice și a prevenirii și gestionării riscurilor”.</w:t>
            </w:r>
          </w:p>
          <w:p w14:paraId="48DA89C5" w14:textId="5C4259EC" w:rsidR="00D42115" w:rsidRPr="001552C0" w:rsidRDefault="00D42115" w:rsidP="006A151E">
            <w:pPr>
              <w:spacing w:before="120" w:after="120" w:line="240" w:lineRule="auto"/>
              <w:jc w:val="both"/>
              <w:rPr>
                <w:rFonts w:eastAsia="Times New Roman" w:cstheme="minorHAnsi"/>
                <w:iCs/>
                <w:noProof/>
              </w:rPr>
            </w:pPr>
            <w:r>
              <w:rPr>
                <w:rFonts w:eastAsia="Times New Roman" w:cstheme="minorHAnsi"/>
                <w:iCs/>
                <w:noProof/>
              </w:rPr>
              <w:t xml:space="preserve">De asemenea, PODD are </w:t>
            </w:r>
            <w:r w:rsidR="006A151E">
              <w:rPr>
                <w:rFonts w:eastAsia="Times New Roman" w:cstheme="minorHAnsi"/>
                <w:iCs/>
                <w:noProof/>
              </w:rPr>
              <w:t>ca fundament Strategia Națională</w:t>
            </w:r>
            <w:r>
              <w:rPr>
                <w:rFonts w:eastAsia="Times New Roman" w:cstheme="minorHAnsi"/>
                <w:iCs/>
                <w:noProof/>
              </w:rPr>
              <w:t xml:space="preserve"> pentru Dezvoltarea Durabilã a României 2030, document structurat conform Obiectivelor pentru Dezvoltare Durabilă stabilite conform Agendei 2030 a</w:t>
            </w:r>
            <w:r w:rsidR="006A151E">
              <w:rPr>
                <w:rFonts w:eastAsia="Times New Roman" w:cstheme="minorHAnsi"/>
                <w:iCs/>
                <w:noProof/>
              </w:rPr>
              <w:t xml:space="preserve"> ONU pentru Dezvoltare Durabilă și </w:t>
            </w:r>
            <w:r w:rsidR="006A151E" w:rsidRPr="006A151E">
              <w:rPr>
                <w:rFonts w:eastAsia="Times New Roman" w:cstheme="minorHAnsi"/>
                <w:iCs/>
                <w:noProof/>
              </w:rPr>
              <w:t>Concluziil</w:t>
            </w:r>
            <w:r w:rsidR="006A151E">
              <w:rPr>
                <w:rFonts w:eastAsia="Times New Roman" w:cstheme="minorHAnsi"/>
                <w:iCs/>
                <w:noProof/>
              </w:rPr>
              <w:t>or</w:t>
            </w:r>
            <w:r w:rsidR="006A151E" w:rsidRPr="006A151E">
              <w:rPr>
                <w:rFonts w:eastAsia="Times New Roman" w:cstheme="minorHAnsi"/>
                <w:iCs/>
                <w:noProof/>
              </w:rPr>
              <w:t xml:space="preserve"> Consiliului</w:t>
            </w:r>
            <w:r w:rsidR="006A151E">
              <w:rPr>
                <w:rFonts w:eastAsia="Times New Roman" w:cstheme="minorHAnsi"/>
                <w:iCs/>
                <w:noProof/>
              </w:rPr>
              <w:t xml:space="preserve"> </w:t>
            </w:r>
            <w:r w:rsidR="006A151E" w:rsidRPr="006A151E">
              <w:rPr>
                <w:rFonts w:eastAsia="Times New Roman" w:cstheme="minorHAnsi"/>
                <w:iCs/>
                <w:noProof/>
              </w:rPr>
              <w:t>UE, adoptate în data de 20 iunie 2017, „Un viitor durabil al Europei: răspunsul UE la Agenda</w:t>
            </w:r>
            <w:r w:rsidR="006A151E">
              <w:rPr>
                <w:rFonts w:eastAsia="Times New Roman" w:cstheme="minorHAnsi"/>
                <w:iCs/>
                <w:noProof/>
              </w:rPr>
              <w:t xml:space="preserve"> </w:t>
            </w:r>
            <w:r w:rsidR="006A151E" w:rsidRPr="006A151E">
              <w:rPr>
                <w:rFonts w:eastAsia="Times New Roman" w:cstheme="minorHAnsi"/>
                <w:iCs/>
                <w:noProof/>
              </w:rPr>
              <w:t>2030 pentru Dezvoltare Durabilă”</w:t>
            </w:r>
            <w:r w:rsidR="006A151E">
              <w:rPr>
                <w:rFonts w:eastAsia="Times New Roman" w:cstheme="minorHAnsi"/>
                <w:iCs/>
                <w:noProof/>
              </w:rPr>
              <w:t>.</w:t>
            </w:r>
            <w:r w:rsidR="00A61349">
              <w:rPr>
                <w:rFonts w:eastAsia="Times New Roman" w:cstheme="minorHAnsi"/>
                <w:iCs/>
                <w:noProof/>
              </w:rPr>
              <w:t xml:space="preserve"> A</w:t>
            </w:r>
            <w:r w:rsidR="006A151E">
              <w:rPr>
                <w:rFonts w:eastAsia="Times New Roman" w:cstheme="minorHAnsi"/>
                <w:iCs/>
                <w:noProof/>
              </w:rPr>
              <w:t xml:space="preserve">stfel, prin </w:t>
            </w:r>
            <w:r w:rsidR="006A151E" w:rsidRPr="006A151E">
              <w:rPr>
                <w:rFonts w:eastAsia="Times New Roman" w:cstheme="minorHAnsi"/>
                <w:iCs/>
                <w:noProof/>
              </w:rPr>
              <w:t>Strategia Națio</w:t>
            </w:r>
            <w:r w:rsidR="00A61349">
              <w:rPr>
                <w:rFonts w:eastAsia="Times New Roman" w:cstheme="minorHAnsi"/>
                <w:iCs/>
                <w:noProof/>
              </w:rPr>
              <w:t>nală</w:t>
            </w:r>
            <w:r w:rsidR="006A151E">
              <w:rPr>
                <w:rFonts w:eastAsia="Times New Roman" w:cstheme="minorHAnsi"/>
                <w:iCs/>
                <w:noProof/>
              </w:rPr>
              <w:t xml:space="preserve"> pentru Dezvoltarea Durabilă</w:t>
            </w:r>
            <w:r w:rsidR="006A151E" w:rsidRPr="006A151E">
              <w:rPr>
                <w:rFonts w:eastAsia="Times New Roman" w:cstheme="minorHAnsi"/>
                <w:iCs/>
                <w:noProof/>
              </w:rPr>
              <w:t xml:space="preserve"> a României 2030</w:t>
            </w:r>
            <w:r w:rsidR="006A151E">
              <w:rPr>
                <w:rFonts w:eastAsia="Times New Roman" w:cstheme="minorHAnsi"/>
                <w:iCs/>
                <w:noProof/>
              </w:rPr>
              <w:t xml:space="preserve"> </w:t>
            </w:r>
            <w:r w:rsidR="00A61349">
              <w:rPr>
                <w:rFonts w:eastAsia="Times New Roman" w:cstheme="minorHAnsi"/>
                <w:iCs/>
                <w:noProof/>
              </w:rPr>
              <w:t xml:space="preserve">sunt asigurate premisele strategice de </w:t>
            </w:r>
            <w:r w:rsidR="006A151E" w:rsidRPr="006A151E">
              <w:rPr>
                <w:rFonts w:eastAsia="Times New Roman" w:cstheme="minorHAnsi"/>
                <w:iCs/>
                <w:noProof/>
              </w:rPr>
              <w:t>dezvoltare</w:t>
            </w:r>
            <w:r w:rsidR="00A61349">
              <w:rPr>
                <w:rFonts w:eastAsia="Times New Roman" w:cstheme="minorHAnsi"/>
                <w:iCs/>
                <w:noProof/>
              </w:rPr>
              <w:t xml:space="preserve"> </w:t>
            </w:r>
            <w:r w:rsidR="006A151E" w:rsidRPr="006A151E">
              <w:rPr>
                <w:rFonts w:eastAsia="Times New Roman" w:cstheme="minorHAnsi"/>
                <w:iCs/>
                <w:noProof/>
              </w:rPr>
              <w:t>a României pe</w:t>
            </w:r>
            <w:r w:rsidR="006A151E">
              <w:rPr>
                <w:rFonts w:eastAsia="Times New Roman" w:cstheme="minorHAnsi"/>
                <w:iCs/>
                <w:noProof/>
              </w:rPr>
              <w:t xml:space="preserve"> </w:t>
            </w:r>
            <w:r w:rsidR="006A151E" w:rsidRPr="006A151E">
              <w:rPr>
                <w:rFonts w:eastAsia="Times New Roman" w:cstheme="minorHAnsi"/>
                <w:iCs/>
                <w:noProof/>
              </w:rPr>
              <w:t>trei piloni principali, respectiv economic, social și de mediu</w:t>
            </w:r>
            <w:r w:rsidR="00A61349">
              <w:rPr>
                <w:rFonts w:eastAsia="Times New Roman" w:cstheme="minorHAnsi"/>
                <w:iCs/>
                <w:noProof/>
              </w:rPr>
              <w:t>.</w:t>
            </w:r>
          </w:p>
          <w:p w14:paraId="380077B6" w14:textId="232CA3A9" w:rsidR="000E7168" w:rsidRPr="001552C0" w:rsidRDefault="00A61349" w:rsidP="000E7168">
            <w:pPr>
              <w:spacing w:before="120" w:after="120" w:line="240" w:lineRule="auto"/>
              <w:jc w:val="both"/>
              <w:rPr>
                <w:rFonts w:eastAsia="Times New Roman" w:cstheme="minorHAnsi"/>
                <w:iCs/>
                <w:noProof/>
              </w:rPr>
            </w:pPr>
            <w:r>
              <w:rPr>
                <w:rFonts w:eastAsia="Times New Roman" w:cstheme="minorHAnsi"/>
                <w:iCs/>
                <w:noProof/>
              </w:rPr>
              <w:t>Având în vedere bazele strategice menționate</w:t>
            </w:r>
            <w:r w:rsidR="000E7168" w:rsidRPr="001552C0">
              <w:rPr>
                <w:rFonts w:eastAsia="Times New Roman" w:cstheme="minorHAnsi"/>
                <w:iCs/>
                <w:noProof/>
              </w:rPr>
              <w:t xml:space="preserve">,  </w:t>
            </w:r>
            <w:r>
              <w:rPr>
                <w:rFonts w:eastAsia="Times New Roman" w:cstheme="minorHAnsi"/>
                <w:iCs/>
                <w:noProof/>
              </w:rPr>
              <w:t xml:space="preserve">obiectivele </w:t>
            </w:r>
            <w:r w:rsidR="000E7168" w:rsidRPr="001552C0">
              <w:rPr>
                <w:rFonts w:eastAsia="Times New Roman" w:cstheme="minorHAnsi"/>
                <w:iCs/>
                <w:noProof/>
              </w:rPr>
              <w:t>PODD</w:t>
            </w:r>
            <w:r w:rsidR="00CC6C0F" w:rsidRPr="001552C0">
              <w:rPr>
                <w:rFonts w:eastAsia="Times New Roman" w:cstheme="minorHAnsi"/>
                <w:iCs/>
                <w:noProof/>
              </w:rPr>
              <w:t xml:space="preserve"> </w:t>
            </w:r>
            <w:r w:rsidR="00F57D28" w:rsidRPr="001552C0">
              <w:rPr>
                <w:rFonts w:eastAsia="Times New Roman" w:cstheme="minorHAnsi"/>
                <w:iCs/>
                <w:noProof/>
              </w:rPr>
              <w:t xml:space="preserve"> vizează asigurarea coeziunii</w:t>
            </w:r>
            <w:r w:rsidR="000E7168" w:rsidRPr="001552C0">
              <w:rPr>
                <w:rFonts w:eastAsia="Times New Roman" w:cstheme="minorHAnsi"/>
                <w:iCs/>
                <w:noProof/>
              </w:rPr>
              <w:t xml:space="preserve"> social</w:t>
            </w:r>
            <w:r w:rsidR="00F57D28" w:rsidRPr="001552C0">
              <w:rPr>
                <w:rFonts w:eastAsia="Times New Roman" w:cstheme="minorHAnsi"/>
                <w:iCs/>
                <w:noProof/>
              </w:rPr>
              <w:t>e</w:t>
            </w:r>
            <w:r w:rsidR="000E7168" w:rsidRPr="001552C0">
              <w:rPr>
                <w:rFonts w:eastAsia="Times New Roman" w:cstheme="minorHAnsi"/>
                <w:iCs/>
                <w:noProof/>
              </w:rPr>
              <w:t>, economic</w:t>
            </w:r>
            <w:r w:rsidR="00F57D28" w:rsidRPr="001552C0">
              <w:rPr>
                <w:rFonts w:eastAsia="Times New Roman" w:cstheme="minorHAnsi"/>
                <w:iCs/>
                <w:noProof/>
              </w:rPr>
              <w:t>e</w:t>
            </w:r>
            <w:r w:rsidR="000E7168" w:rsidRPr="001552C0">
              <w:rPr>
                <w:rFonts w:eastAsia="Times New Roman" w:cstheme="minorHAnsi"/>
                <w:iCs/>
                <w:noProof/>
              </w:rPr>
              <w:t xml:space="preserve"> și teritorial</w:t>
            </w:r>
            <w:r w:rsidR="00F57D28" w:rsidRPr="001552C0">
              <w:rPr>
                <w:rFonts w:eastAsia="Times New Roman" w:cstheme="minorHAnsi"/>
                <w:iCs/>
                <w:noProof/>
              </w:rPr>
              <w:t>e</w:t>
            </w:r>
            <w:r w:rsidR="000E7168" w:rsidRPr="001552C0">
              <w:rPr>
                <w:rFonts w:eastAsia="Times New Roman" w:cstheme="minorHAnsi"/>
                <w:iCs/>
                <w:noProof/>
              </w:rPr>
              <w:t xml:space="preserve"> prin sprijinirea unei economii cu emisii scăzute de gaze cu efect </w:t>
            </w:r>
            <w:r w:rsidR="00CC6C0F" w:rsidRPr="001552C0">
              <w:rPr>
                <w:rFonts w:eastAsia="Times New Roman" w:cstheme="minorHAnsi"/>
                <w:iCs/>
                <w:noProof/>
              </w:rPr>
              <w:t>de seră</w:t>
            </w:r>
            <w:r w:rsidR="000E7168" w:rsidRPr="001552C0">
              <w:rPr>
                <w:rFonts w:eastAsia="Times New Roman" w:cstheme="minorHAnsi"/>
                <w:iCs/>
                <w:noProof/>
              </w:rPr>
              <w:t xml:space="preserve"> </w:t>
            </w:r>
            <w:r w:rsidR="00F57D28" w:rsidRPr="001552C0">
              <w:rPr>
                <w:rFonts w:eastAsia="Times New Roman" w:cstheme="minorHAnsi"/>
                <w:iCs/>
                <w:noProof/>
              </w:rPr>
              <w:t xml:space="preserve">și prin </w:t>
            </w:r>
            <w:r w:rsidR="00650E3E" w:rsidRPr="001552C0">
              <w:rPr>
                <w:rFonts w:eastAsia="Times New Roman" w:cstheme="minorHAnsi"/>
                <w:iCs/>
                <w:noProof/>
              </w:rPr>
              <w:t>asigurarea utilizării eficiente a resurselor naturale.</w:t>
            </w:r>
          </w:p>
          <w:p w14:paraId="04FD490D" w14:textId="3E814197" w:rsidR="00F86403" w:rsidRPr="001552C0" w:rsidRDefault="005A5555" w:rsidP="00F86403">
            <w:pPr>
              <w:spacing w:before="120" w:after="120" w:line="240" w:lineRule="auto"/>
              <w:jc w:val="both"/>
              <w:rPr>
                <w:rFonts w:eastAsia="Times New Roman" w:cstheme="minorHAnsi"/>
                <w:iCs/>
                <w:noProof/>
              </w:rPr>
            </w:pPr>
            <w:r w:rsidRPr="001552C0">
              <w:rPr>
                <w:rFonts w:eastAsia="Times New Roman" w:cstheme="minorHAnsi"/>
                <w:iCs/>
                <w:noProof/>
              </w:rPr>
              <w:t xml:space="preserve">Prin PODD sprijinul este direcționat către un număr limitat de sectoare care urmează să servească la utilizarea în mod coerent a finanțării din partea Uniunii și la maximizarea valorii adăugate a sprijinului financiar. Astfel, prin PODD vor fi </w:t>
            </w:r>
            <w:r w:rsidR="00650E3E" w:rsidRPr="001552C0">
              <w:rPr>
                <w:rFonts w:eastAsia="Times New Roman" w:cstheme="minorHAnsi"/>
                <w:iCs/>
                <w:noProof/>
              </w:rPr>
              <w:t>finanț</w:t>
            </w:r>
            <w:r w:rsidRPr="001552C0">
              <w:rPr>
                <w:rFonts w:eastAsia="Times New Roman" w:cstheme="minorHAnsi"/>
                <w:iCs/>
                <w:noProof/>
              </w:rPr>
              <w:t>ate</w:t>
            </w:r>
            <w:r w:rsidR="000E7168" w:rsidRPr="001552C0">
              <w:rPr>
                <w:rFonts w:eastAsia="Times New Roman" w:cstheme="minorHAnsi"/>
                <w:iCs/>
                <w:noProof/>
              </w:rPr>
              <w:t xml:space="preserve"> </w:t>
            </w:r>
            <w:r w:rsidR="00F86403" w:rsidRPr="001552C0">
              <w:rPr>
                <w:rFonts w:eastAsia="Times New Roman" w:cstheme="minorHAnsi"/>
                <w:iCs/>
                <w:noProof/>
              </w:rPr>
              <w:t xml:space="preserve">nevoile de dezvoltare din următoarele </w:t>
            </w:r>
            <w:r w:rsidR="000E7168" w:rsidRPr="001552C0">
              <w:rPr>
                <w:rFonts w:eastAsia="Times New Roman" w:cstheme="minorHAnsi"/>
                <w:iCs/>
                <w:noProof/>
              </w:rPr>
              <w:t xml:space="preserve">sectoare: </w:t>
            </w:r>
            <w:r w:rsidR="00F86403" w:rsidRPr="001552C0">
              <w:rPr>
                <w:rFonts w:eastAsia="Times New Roman" w:cstheme="minorHAnsi"/>
                <w:iCs/>
                <w:noProof/>
              </w:rPr>
              <w:t>adaptarea la schimbările climatice</w:t>
            </w:r>
            <w:r w:rsidR="006E6985" w:rsidRPr="001552C0">
              <w:rPr>
                <w:rFonts w:eastAsia="Times New Roman" w:cstheme="minorHAnsi"/>
                <w:iCs/>
                <w:noProof/>
              </w:rPr>
              <w:t xml:space="preserve"> prin creșterea eficienței energetice și dezvoltarea sistemelor inteligente de energie, a soluțiilor de stocare și a adecvanței sistemului energetic;</w:t>
            </w:r>
            <w:r w:rsidR="00F86403" w:rsidRPr="001552C0">
              <w:rPr>
                <w:rFonts w:eastAsia="Times New Roman" w:cstheme="minorHAnsi"/>
                <w:iCs/>
                <w:noProof/>
              </w:rPr>
              <w:t xml:space="preserve"> inf</w:t>
            </w:r>
            <w:r w:rsidR="006E6985" w:rsidRPr="001552C0">
              <w:rPr>
                <w:rFonts w:eastAsia="Times New Roman" w:cstheme="minorHAnsi"/>
                <w:iCs/>
                <w:noProof/>
              </w:rPr>
              <w:t>rastructura de apă și apă uzată; economia circulară; conservarea biodiversităţii;</w:t>
            </w:r>
            <w:r w:rsidR="00F86403" w:rsidRPr="001552C0">
              <w:rPr>
                <w:rFonts w:eastAsia="Times New Roman" w:cstheme="minorHAnsi"/>
                <w:iCs/>
                <w:noProof/>
              </w:rPr>
              <w:t xml:space="preserve"> calitatea aerului</w:t>
            </w:r>
            <w:r w:rsidR="006E6985" w:rsidRPr="001552C0">
              <w:rPr>
                <w:rFonts w:eastAsia="Times New Roman" w:cstheme="minorHAnsi"/>
                <w:iCs/>
                <w:noProof/>
              </w:rPr>
              <w:t xml:space="preserve"> si</w:t>
            </w:r>
            <w:r w:rsidR="00F86403" w:rsidRPr="001552C0">
              <w:rPr>
                <w:rFonts w:eastAsia="Times New Roman" w:cstheme="minorHAnsi"/>
                <w:iCs/>
                <w:noProof/>
              </w:rPr>
              <w:t xml:space="preserve"> decontaminarea siturilor poluate</w:t>
            </w:r>
            <w:r w:rsidR="00360557" w:rsidRPr="001552C0">
              <w:rPr>
                <w:rFonts w:eastAsia="Times New Roman" w:cstheme="minorHAnsi"/>
                <w:iCs/>
                <w:noProof/>
              </w:rPr>
              <w:t xml:space="preserve">; </w:t>
            </w:r>
            <w:r w:rsidR="00985EC5" w:rsidRPr="001552C0">
              <w:rPr>
                <w:rFonts w:eastAsia="Times New Roman" w:cstheme="minorHAnsi"/>
                <w:iCs/>
                <w:noProof/>
              </w:rPr>
              <w:t>managementul</w:t>
            </w:r>
            <w:r w:rsidR="00360557" w:rsidRPr="001552C0">
              <w:rPr>
                <w:rFonts w:eastAsia="Times New Roman" w:cstheme="minorHAnsi"/>
                <w:iCs/>
                <w:noProof/>
              </w:rPr>
              <w:t xml:space="preserve"> riscurilor</w:t>
            </w:r>
            <w:r w:rsidR="003D0139" w:rsidRPr="001552C0">
              <w:rPr>
                <w:rFonts w:eastAsia="Times New Roman" w:cstheme="minorHAnsi"/>
                <w:iCs/>
                <w:noProof/>
              </w:rPr>
              <w:t>.</w:t>
            </w:r>
          </w:p>
          <w:p w14:paraId="7EF5FC5D" w14:textId="235418CE" w:rsidR="002437A3" w:rsidRPr="001552C0" w:rsidRDefault="002437A3" w:rsidP="000E7168">
            <w:pPr>
              <w:spacing w:before="120" w:after="120" w:line="240" w:lineRule="auto"/>
              <w:jc w:val="both"/>
              <w:rPr>
                <w:rFonts w:eastAsia="Times New Roman" w:cstheme="minorHAnsi"/>
                <w:iCs/>
                <w:noProof/>
              </w:rPr>
            </w:pPr>
            <w:r w:rsidRPr="001552C0">
              <w:rPr>
                <w:rFonts w:eastAsia="Times New Roman" w:cstheme="minorHAnsi"/>
                <w:iCs/>
                <w:noProof/>
              </w:rPr>
              <w:t xml:space="preserve">Din analiza socio-economică </w:t>
            </w:r>
            <w:r w:rsidR="00C9226A" w:rsidRPr="001552C0">
              <w:rPr>
                <w:rFonts w:eastAsia="Times New Roman" w:cstheme="minorHAnsi"/>
                <w:iCs/>
                <w:noProof/>
              </w:rPr>
              <w:t>efectuat</w:t>
            </w:r>
            <w:r w:rsidR="00084950" w:rsidRPr="001552C0">
              <w:rPr>
                <w:rFonts w:eastAsia="Times New Roman" w:cstheme="minorHAnsi"/>
                <w:iCs/>
                <w:noProof/>
              </w:rPr>
              <w:t>ă</w:t>
            </w:r>
            <w:r w:rsidR="00C9226A" w:rsidRPr="001552C0">
              <w:rPr>
                <w:rFonts w:eastAsia="Times New Roman" w:cstheme="minorHAnsi"/>
                <w:iCs/>
                <w:noProof/>
              </w:rPr>
              <w:t xml:space="preserve"> pentru</w:t>
            </w:r>
            <w:r w:rsidRPr="001552C0">
              <w:rPr>
                <w:rFonts w:eastAsia="Times New Roman" w:cstheme="minorHAnsi"/>
                <w:iCs/>
                <w:noProof/>
              </w:rPr>
              <w:t xml:space="preserve"> sectoarel</w:t>
            </w:r>
            <w:r w:rsidR="00C9226A" w:rsidRPr="001552C0">
              <w:rPr>
                <w:rFonts w:eastAsia="Times New Roman" w:cstheme="minorHAnsi"/>
                <w:iCs/>
                <w:noProof/>
              </w:rPr>
              <w:t>e avut</w:t>
            </w:r>
            <w:r w:rsidR="00084950" w:rsidRPr="001552C0">
              <w:rPr>
                <w:rFonts w:eastAsia="Times New Roman" w:cstheme="minorHAnsi"/>
                <w:iCs/>
                <w:noProof/>
              </w:rPr>
              <w:t>e</w:t>
            </w:r>
            <w:r w:rsidR="00C9226A" w:rsidRPr="001552C0">
              <w:rPr>
                <w:rFonts w:eastAsia="Times New Roman" w:cstheme="minorHAnsi"/>
                <w:iCs/>
                <w:noProof/>
              </w:rPr>
              <w:t xml:space="preserve"> </w:t>
            </w:r>
            <w:r w:rsidR="00084950" w:rsidRPr="001552C0">
              <w:rPr>
                <w:rFonts w:eastAsia="Times New Roman" w:cstheme="minorHAnsi"/>
                <w:iCs/>
                <w:noProof/>
              </w:rPr>
              <w:t>î</w:t>
            </w:r>
            <w:r w:rsidR="00C9226A" w:rsidRPr="001552C0">
              <w:rPr>
                <w:rFonts w:eastAsia="Times New Roman" w:cstheme="minorHAnsi"/>
                <w:iCs/>
                <w:noProof/>
              </w:rPr>
              <w:t>n vedere pentru PODD,</w:t>
            </w:r>
            <w:r w:rsidRPr="001552C0">
              <w:rPr>
                <w:rFonts w:eastAsia="Times New Roman" w:cstheme="minorHAnsi"/>
                <w:iCs/>
                <w:noProof/>
              </w:rPr>
              <w:t xml:space="preserve"> </w:t>
            </w:r>
            <w:r w:rsidR="00FB77A4" w:rsidRPr="001552C0">
              <w:rPr>
                <w:rFonts w:eastAsia="Times New Roman" w:cstheme="minorHAnsi"/>
                <w:iCs/>
                <w:noProof/>
              </w:rPr>
              <w:t xml:space="preserve">au rezultat următoarele </w:t>
            </w:r>
            <w:r w:rsidR="00226BD9" w:rsidRPr="001552C0">
              <w:rPr>
                <w:rFonts w:eastAsia="Times New Roman" w:cstheme="minorHAnsi"/>
                <w:iCs/>
                <w:noProof/>
              </w:rPr>
              <w:t>aspecte:</w:t>
            </w:r>
            <w:r w:rsidR="00FB77A4" w:rsidRPr="001552C0">
              <w:rPr>
                <w:rFonts w:eastAsia="Times New Roman" w:cstheme="minorHAnsi"/>
                <w:iCs/>
                <w:noProof/>
              </w:rPr>
              <w:t xml:space="preserve">  </w:t>
            </w:r>
          </w:p>
          <w:p w14:paraId="513E18C7" w14:textId="19F8E58C" w:rsidR="001A2279" w:rsidRPr="001552C0" w:rsidRDefault="001A2279" w:rsidP="001A2279">
            <w:pPr>
              <w:spacing w:before="120" w:after="120" w:line="240" w:lineRule="auto"/>
              <w:jc w:val="both"/>
              <w:rPr>
                <w:rFonts w:eastAsia="Times New Roman" w:cstheme="minorHAnsi"/>
                <w:b/>
                <w:bCs/>
                <w:i/>
                <w:iCs/>
                <w:noProof/>
              </w:rPr>
            </w:pPr>
            <w:r w:rsidRPr="001552C0">
              <w:rPr>
                <w:rFonts w:eastAsia="Times New Roman" w:cstheme="minorHAnsi"/>
                <w:b/>
                <w:bCs/>
                <w:i/>
                <w:iCs/>
                <w:noProof/>
              </w:rPr>
              <w:t>Intensitatea energetică în România este peste media UE, ceea ce determină nevoia de creștere a eficienței energetice, scăderea emisiilor de CO2 și GES</w:t>
            </w:r>
            <w:r w:rsidR="00FF6666" w:rsidRPr="001552C0">
              <w:rPr>
                <w:rFonts w:eastAsia="Times New Roman" w:cstheme="minorHAnsi"/>
                <w:b/>
                <w:bCs/>
                <w:i/>
                <w:iCs/>
                <w:noProof/>
              </w:rPr>
              <w:t xml:space="preserve"> în vederea atingerii obiectivelor UE de neutralitate climatică</w:t>
            </w:r>
            <w:r w:rsidRPr="001552C0">
              <w:rPr>
                <w:rFonts w:eastAsia="Times New Roman" w:cstheme="minorHAnsi"/>
                <w:b/>
                <w:bCs/>
                <w:i/>
                <w:iCs/>
                <w:noProof/>
              </w:rPr>
              <w:t xml:space="preserve"> și dezvoltarea sistemelor inteligente de energie, a soluțiilor de stocare și a adecvanței sistemului</w:t>
            </w:r>
            <w:r w:rsidR="00FF2927">
              <w:rPr>
                <w:rFonts w:eastAsia="Times New Roman" w:cstheme="minorHAnsi"/>
                <w:b/>
                <w:bCs/>
                <w:i/>
                <w:iCs/>
                <w:noProof/>
              </w:rPr>
              <w:t>.</w:t>
            </w:r>
          </w:p>
          <w:p w14:paraId="5649673E" w14:textId="78676666" w:rsidR="001A2279" w:rsidRPr="001552C0" w:rsidRDefault="001A2279" w:rsidP="001A2279">
            <w:pPr>
              <w:spacing w:before="120" w:after="120" w:line="240" w:lineRule="auto"/>
              <w:jc w:val="both"/>
              <w:rPr>
                <w:rFonts w:eastAsia="Times New Roman" w:cstheme="minorHAnsi"/>
                <w:iCs/>
                <w:noProof/>
              </w:rPr>
            </w:pPr>
            <w:r w:rsidRPr="001552C0">
              <w:rPr>
                <w:rFonts w:eastAsia="Times New Roman" w:cstheme="minorHAnsi"/>
                <w:iCs/>
                <w:noProof/>
              </w:rPr>
              <w:t>Obiectivul general al României în domeniul energiei este conturat prin Planul Național Integrat de Energie și Schimbări Climatice (PNIESC). Planul stabilește obiective, dar și politici și măsuri aferente celor cinci dimensiuni ale Uniunii Energetice</w:t>
            </w:r>
            <w:r w:rsidR="002444D4" w:rsidRPr="001552C0">
              <w:rPr>
                <w:rFonts w:eastAsia="Times New Roman" w:cstheme="minorHAnsi"/>
                <w:iCs/>
                <w:noProof/>
              </w:rPr>
              <w:t>.</w:t>
            </w:r>
          </w:p>
          <w:p w14:paraId="36EBF193" w14:textId="002C740A" w:rsidR="002366E5" w:rsidRPr="001552C0" w:rsidRDefault="002366E5" w:rsidP="001A2279">
            <w:pPr>
              <w:spacing w:before="120" w:after="120" w:line="240" w:lineRule="auto"/>
              <w:jc w:val="both"/>
              <w:rPr>
                <w:rFonts w:eastAsia="Times New Roman" w:cstheme="minorHAnsi"/>
                <w:iCs/>
                <w:noProof/>
              </w:rPr>
            </w:pPr>
            <w:r w:rsidRPr="001552C0">
              <w:rPr>
                <w:rFonts w:eastAsia="Times New Roman" w:cstheme="minorHAnsi"/>
                <w:iCs/>
                <w:noProof/>
              </w:rPr>
              <w:t>Totodată, strategia PODD are în vedere Raportul de Țară</w:t>
            </w:r>
            <w:r w:rsidR="00217B5B" w:rsidRPr="001552C0">
              <w:rPr>
                <w:rFonts w:eastAsia="Times New Roman" w:cstheme="minorHAnsi"/>
                <w:iCs/>
                <w:noProof/>
              </w:rPr>
              <w:t xml:space="preserve"> din 2020 în care se menționează</w:t>
            </w:r>
            <w:r w:rsidRPr="001552C0">
              <w:rPr>
                <w:rFonts w:eastAsia="Times New Roman" w:cstheme="minorHAnsi"/>
                <w:iCs/>
                <w:noProof/>
              </w:rPr>
              <w:t xml:space="preserve"> că investițiile în eficiența energetică rămân în continuare scăzute, în ciuda unor stimulente adecvate din partea statului, iar pentru îndeplinirea obiectivul UE 2030 de eficiență energetică de 32,5%, trebuie atrasă o cotă mai mare de finanțare privată.</w:t>
            </w:r>
          </w:p>
          <w:p w14:paraId="590A88B1" w14:textId="51721DD3" w:rsidR="001A2279" w:rsidRPr="001552C0" w:rsidRDefault="00E166B3" w:rsidP="001A2279">
            <w:pPr>
              <w:spacing w:before="120" w:after="120" w:line="240" w:lineRule="auto"/>
              <w:jc w:val="both"/>
              <w:rPr>
                <w:rFonts w:eastAsia="Times New Roman" w:cstheme="minorHAnsi"/>
                <w:iCs/>
                <w:noProof/>
              </w:rPr>
            </w:pPr>
            <w:r w:rsidRPr="001552C0">
              <w:rPr>
                <w:rFonts w:eastAsia="Times New Roman" w:cstheme="minorHAnsi"/>
                <w:iCs/>
                <w:noProof/>
              </w:rPr>
              <w:t xml:space="preserve">Totodată, PODD va viza </w:t>
            </w:r>
            <w:r w:rsidR="001A2279" w:rsidRPr="001552C0">
              <w:rPr>
                <w:rFonts w:eastAsia="Times New Roman" w:cstheme="minorHAnsi"/>
                <w:iCs/>
                <w:noProof/>
              </w:rPr>
              <w:t>o serie de domenii investiționale prioritare</w:t>
            </w:r>
            <w:r w:rsidR="00711605" w:rsidRPr="001552C0">
              <w:rPr>
                <w:rFonts w:eastAsia="Times New Roman" w:cstheme="minorHAnsi"/>
                <w:iCs/>
                <w:noProof/>
              </w:rPr>
              <w:t xml:space="preserve"> la nivel european</w:t>
            </w:r>
            <w:r w:rsidRPr="001552C0">
              <w:rPr>
                <w:rFonts w:eastAsia="Times New Roman" w:cstheme="minorHAnsi"/>
                <w:iCs/>
                <w:noProof/>
              </w:rPr>
              <w:t xml:space="preserve"> identificate de Comisie</w:t>
            </w:r>
            <w:r w:rsidR="001A2279" w:rsidRPr="001552C0">
              <w:rPr>
                <w:rFonts w:eastAsia="Times New Roman" w:cstheme="minorHAnsi"/>
                <w:iCs/>
                <w:noProof/>
              </w:rPr>
              <w:t>, axate pe promovarea măsurilor de eficiență energetică, având în vedere faptul că sărăcia energetică afectează o gospodărie din patru, iar intensitatea energetică la nivel național se menține peste media Uniunii, respectiv pe promovarea energiei din surse regenerabile.</w:t>
            </w:r>
          </w:p>
          <w:p w14:paraId="042ADFF9" w14:textId="7EB1289F" w:rsidR="001A2279" w:rsidRPr="001552C0" w:rsidRDefault="00E166B3" w:rsidP="001A2279">
            <w:pPr>
              <w:spacing w:before="120" w:after="120" w:line="240" w:lineRule="auto"/>
              <w:jc w:val="both"/>
              <w:rPr>
                <w:rFonts w:eastAsia="Times New Roman" w:cstheme="minorHAnsi"/>
                <w:iCs/>
                <w:noProof/>
              </w:rPr>
            </w:pPr>
            <w:r w:rsidRPr="001552C0">
              <w:rPr>
                <w:rFonts w:eastAsia="Times New Roman" w:cstheme="minorHAnsi"/>
                <w:iCs/>
                <w:noProof/>
              </w:rPr>
              <w:t xml:space="preserve">De asemenea, </w:t>
            </w:r>
            <w:r w:rsidR="00FF6666" w:rsidRPr="001552C0">
              <w:rPr>
                <w:rFonts w:eastAsia="Times New Roman" w:cstheme="minorHAnsi"/>
                <w:iCs/>
                <w:noProof/>
              </w:rPr>
              <w:t xml:space="preserve">Comunicarea COM(2016) 860 </w:t>
            </w:r>
            <w:r w:rsidR="001A2279" w:rsidRPr="001552C0">
              <w:rPr>
                <w:rFonts w:eastAsia="Times New Roman" w:cstheme="minorHAnsi"/>
                <w:iCs/>
                <w:noProof/>
              </w:rPr>
              <w:t>“Energie curată pentru toți europenii” propune, printre alte deziderate europene, eficiența energetică și flexibilitatea</w:t>
            </w:r>
            <w:r w:rsidR="00FF6666" w:rsidRPr="001552C0">
              <w:rPr>
                <w:rFonts w:eastAsia="Times New Roman" w:cstheme="minorHAnsi"/>
                <w:iCs/>
                <w:noProof/>
              </w:rPr>
              <w:t xml:space="preserve">. </w:t>
            </w:r>
            <w:r w:rsidRPr="001552C0">
              <w:rPr>
                <w:rFonts w:eastAsia="Times New Roman" w:cstheme="minorHAnsi"/>
                <w:iCs/>
                <w:noProof/>
              </w:rPr>
              <w:t xml:space="preserve">De asemenea, și aceste </w:t>
            </w:r>
            <w:r w:rsidR="001A2279" w:rsidRPr="001552C0">
              <w:rPr>
                <w:rFonts w:eastAsia="Times New Roman" w:cstheme="minorHAnsi"/>
                <w:iCs/>
                <w:noProof/>
              </w:rPr>
              <w:t xml:space="preserve">două obiective au conturat intervențiile avute în vedere a fi implementate  prin acest </w:t>
            </w:r>
            <w:r w:rsidR="00FF6666" w:rsidRPr="001552C0">
              <w:rPr>
                <w:rFonts w:eastAsia="Times New Roman" w:cstheme="minorHAnsi"/>
                <w:iCs/>
                <w:noProof/>
              </w:rPr>
              <w:t>p</w:t>
            </w:r>
            <w:r w:rsidR="001A2279" w:rsidRPr="001552C0">
              <w:rPr>
                <w:rFonts w:eastAsia="Times New Roman" w:cstheme="minorHAnsi"/>
                <w:iCs/>
                <w:noProof/>
              </w:rPr>
              <w:t xml:space="preserve">rogram. </w:t>
            </w:r>
          </w:p>
          <w:p w14:paraId="7BDEF59F" w14:textId="6D132010" w:rsidR="001A2279" w:rsidRDefault="00E166B3" w:rsidP="001A2279">
            <w:pPr>
              <w:spacing w:before="120" w:after="120" w:line="240" w:lineRule="auto"/>
              <w:jc w:val="both"/>
              <w:rPr>
                <w:rFonts w:eastAsia="Times New Roman" w:cstheme="minorHAnsi"/>
                <w:iCs/>
                <w:noProof/>
              </w:rPr>
            </w:pPr>
            <w:r w:rsidRPr="001552C0">
              <w:rPr>
                <w:rFonts w:eastAsia="Times New Roman" w:cstheme="minorHAnsi"/>
                <w:iCs/>
                <w:noProof/>
              </w:rPr>
              <w:t>Ținând seama de</w:t>
            </w:r>
            <w:r w:rsidR="001A2279" w:rsidRPr="001552C0">
              <w:rPr>
                <w:rFonts w:eastAsia="Times New Roman" w:cstheme="minorHAnsi"/>
                <w:iCs/>
                <w:noProof/>
              </w:rPr>
              <w:t xml:space="preserve"> necesitatea identificării măsurilor adiționale necesare de reducere a consumului conform obiectivelor asumate la nivel european, în urma analizei la nivel na</w:t>
            </w:r>
            <w:r w:rsidR="00FF6666" w:rsidRPr="001552C0">
              <w:rPr>
                <w:rFonts w:eastAsia="Times New Roman" w:cstheme="minorHAnsi"/>
                <w:iCs/>
                <w:noProof/>
              </w:rPr>
              <w:t>ț</w:t>
            </w:r>
            <w:r w:rsidR="001A2279" w:rsidRPr="001552C0">
              <w:rPr>
                <w:rFonts w:eastAsia="Times New Roman" w:cstheme="minorHAnsi"/>
                <w:iCs/>
                <w:noProof/>
              </w:rPr>
              <w:t>ional  a fost eviden</w:t>
            </w:r>
            <w:r w:rsidR="00FF6666" w:rsidRPr="001552C0">
              <w:rPr>
                <w:rFonts w:eastAsia="Times New Roman" w:cstheme="minorHAnsi"/>
                <w:iCs/>
                <w:noProof/>
              </w:rPr>
              <w:t>ț</w:t>
            </w:r>
            <w:r w:rsidR="001A2279" w:rsidRPr="001552C0">
              <w:rPr>
                <w:rFonts w:eastAsia="Times New Roman" w:cstheme="minorHAnsi"/>
                <w:iCs/>
                <w:noProof/>
              </w:rPr>
              <w:t xml:space="preserve">iat că industria reprezintă cea mai mare pondere - de 26,4% în consumul final total, date confirmate și în </w:t>
            </w:r>
            <w:r w:rsidR="001A2279" w:rsidRPr="001552C0">
              <w:rPr>
                <w:rFonts w:eastAsia="Times New Roman" w:cstheme="minorHAnsi"/>
                <w:iCs/>
                <w:noProof/>
              </w:rPr>
              <w:lastRenderedPageBreak/>
              <w:t>Raportul de Țară semestrial (2020).</w:t>
            </w:r>
          </w:p>
          <w:p w14:paraId="7508B4C7" w14:textId="2832DBC8" w:rsidR="00227898" w:rsidRPr="001552C0" w:rsidRDefault="007B00F4" w:rsidP="001A2279">
            <w:pPr>
              <w:spacing w:before="120" w:after="120" w:line="240" w:lineRule="auto"/>
              <w:jc w:val="both"/>
              <w:rPr>
                <w:rFonts w:eastAsia="Times New Roman" w:cstheme="minorHAnsi"/>
                <w:iCs/>
                <w:noProof/>
              </w:rPr>
            </w:pPr>
            <w:r>
              <w:rPr>
                <w:rFonts w:eastAsia="Times New Roman" w:cstheme="minorHAnsi"/>
                <w:iCs/>
                <w:noProof/>
              </w:rPr>
              <w:t>Diminuarea</w:t>
            </w:r>
            <w:r w:rsidR="00BC0CE9">
              <w:rPr>
                <w:rFonts w:eastAsia="Times New Roman" w:cstheme="minorHAnsi"/>
                <w:iCs/>
                <w:noProof/>
              </w:rPr>
              <w:t xml:space="preserve"> poluă</w:t>
            </w:r>
            <w:r w:rsidR="00227898">
              <w:rPr>
                <w:rFonts w:eastAsia="Times New Roman" w:cstheme="minorHAnsi"/>
                <w:iCs/>
                <w:noProof/>
              </w:rPr>
              <w:t>rii în mediul urban reprezintă</w:t>
            </w:r>
            <w:r w:rsidR="00227898" w:rsidRPr="00227898">
              <w:rPr>
                <w:rFonts w:eastAsia="Times New Roman" w:cstheme="minorHAnsi"/>
                <w:iCs/>
                <w:noProof/>
              </w:rPr>
              <w:t xml:space="preserve"> o prioritate </w:t>
            </w:r>
            <w:r w:rsidR="00227898">
              <w:rPr>
                <w:rFonts w:eastAsia="Times New Roman" w:cstheme="minorHAnsi"/>
                <w:iCs/>
                <w:noProof/>
              </w:rPr>
              <w:t>națională</w:t>
            </w:r>
            <w:r w:rsidR="00227898" w:rsidRPr="00227898">
              <w:rPr>
                <w:rFonts w:eastAsia="Times New Roman" w:cstheme="minorHAnsi"/>
                <w:iCs/>
                <w:noProof/>
              </w:rPr>
              <w:t>,</w:t>
            </w:r>
            <w:r w:rsidR="00227898">
              <w:rPr>
                <w:rFonts w:eastAsia="Times New Roman" w:cstheme="minorHAnsi"/>
                <w:iCs/>
                <w:noProof/>
              </w:rPr>
              <w:t xml:space="preserve"> impunandu-se</w:t>
            </w:r>
            <w:r w:rsidR="00227898" w:rsidRPr="00227898">
              <w:rPr>
                <w:rFonts w:eastAsia="Times New Roman" w:cstheme="minorHAnsi"/>
                <w:iCs/>
                <w:noProof/>
              </w:rPr>
              <w:t xml:space="preserve"> </w:t>
            </w:r>
            <w:r w:rsidR="00227898">
              <w:rPr>
                <w:rFonts w:eastAsia="Times New Roman" w:cstheme="minorHAnsi"/>
                <w:iCs/>
                <w:noProof/>
              </w:rPr>
              <w:t xml:space="preserve">eforturi în sensul </w:t>
            </w:r>
            <w:r>
              <w:rPr>
                <w:rFonts w:eastAsia="Times New Roman" w:cstheme="minorHAnsi"/>
                <w:iCs/>
                <w:noProof/>
              </w:rPr>
              <w:t>r</w:t>
            </w:r>
            <w:r w:rsidR="00227898">
              <w:rPr>
                <w:rFonts w:eastAsia="Times New Roman" w:cstheme="minorHAnsi"/>
                <w:iCs/>
                <w:noProof/>
              </w:rPr>
              <w:t>educerii</w:t>
            </w:r>
            <w:r w:rsidR="00227898" w:rsidRPr="00227898">
              <w:rPr>
                <w:rFonts w:eastAsia="Times New Roman" w:cstheme="minorHAnsi"/>
                <w:iCs/>
                <w:noProof/>
              </w:rPr>
              <w:t xml:space="preserve"> emisiilor de dioxid de carbon şi a altor emisii de gaze</w:t>
            </w:r>
            <w:r w:rsidR="00227898">
              <w:rPr>
                <w:rFonts w:eastAsia="Times New Roman" w:cstheme="minorHAnsi"/>
                <w:iCs/>
                <w:noProof/>
              </w:rPr>
              <w:t xml:space="preserve"> </w:t>
            </w:r>
            <w:r w:rsidR="00227898" w:rsidRPr="00227898">
              <w:rPr>
                <w:rFonts w:eastAsia="Times New Roman" w:cstheme="minorHAnsi"/>
                <w:iCs/>
                <w:noProof/>
              </w:rPr>
              <w:t xml:space="preserve">cu efect de seră. În acest context, </w:t>
            </w:r>
            <w:r>
              <w:rPr>
                <w:rFonts w:eastAsia="Times New Roman" w:cstheme="minorHAnsi"/>
                <w:iCs/>
                <w:noProof/>
              </w:rPr>
              <w:t>sistemele de încălzire</w:t>
            </w:r>
            <w:r w:rsidR="00227898" w:rsidRPr="00227898">
              <w:rPr>
                <w:rFonts w:eastAsia="Times New Roman" w:cstheme="minorHAnsi"/>
                <w:iCs/>
                <w:noProof/>
              </w:rPr>
              <w:t xml:space="preserve"> </w:t>
            </w:r>
            <w:r w:rsidR="00227898">
              <w:rPr>
                <w:rFonts w:eastAsia="Times New Roman" w:cstheme="minorHAnsi"/>
                <w:iCs/>
                <w:noProof/>
              </w:rPr>
              <w:t>centralizată reprezint</w:t>
            </w:r>
            <w:r w:rsidR="00227898" w:rsidRPr="00227898">
              <w:rPr>
                <w:rFonts w:eastAsia="Times New Roman" w:cstheme="minorHAnsi"/>
                <w:iCs/>
                <w:noProof/>
              </w:rPr>
              <w:t>ă</w:t>
            </w:r>
            <w:r w:rsidR="00227898">
              <w:rPr>
                <w:rFonts w:eastAsia="Times New Roman" w:cstheme="minorHAnsi"/>
                <w:iCs/>
                <w:noProof/>
              </w:rPr>
              <w:t xml:space="preserve"> o</w:t>
            </w:r>
            <w:r w:rsidR="00227898" w:rsidRPr="00227898">
              <w:rPr>
                <w:rFonts w:eastAsia="Times New Roman" w:cstheme="minorHAnsi"/>
                <w:iCs/>
                <w:noProof/>
              </w:rPr>
              <w:t xml:space="preserve"> soluți</w:t>
            </w:r>
            <w:r w:rsidR="00227898">
              <w:rPr>
                <w:rFonts w:eastAsia="Times New Roman" w:cstheme="minorHAnsi"/>
                <w:iCs/>
                <w:noProof/>
              </w:rPr>
              <w:t>e</w:t>
            </w:r>
            <w:r w:rsidR="00227898" w:rsidRPr="00227898">
              <w:rPr>
                <w:rFonts w:eastAsia="Times New Roman" w:cstheme="minorHAnsi"/>
                <w:iCs/>
                <w:noProof/>
              </w:rPr>
              <w:t xml:space="preserve"> sustenabilă și eficientă de încălzire </w:t>
            </w:r>
            <w:r w:rsidR="00227898">
              <w:rPr>
                <w:rFonts w:eastAsia="Times New Roman" w:cstheme="minorHAnsi"/>
                <w:iCs/>
                <w:noProof/>
              </w:rPr>
              <w:t xml:space="preserve">a locuințelor, atât din </w:t>
            </w:r>
            <w:r w:rsidR="00227898" w:rsidRPr="00227898">
              <w:rPr>
                <w:rFonts w:eastAsia="Times New Roman" w:cstheme="minorHAnsi"/>
                <w:iCs/>
                <w:noProof/>
              </w:rPr>
              <w:t>punct de vedere al costurilor, cât și în ceea ce priveste posibilitatea integrării diferitelor surse de</w:t>
            </w:r>
            <w:r w:rsidR="00227898">
              <w:rPr>
                <w:rFonts w:eastAsia="Times New Roman" w:cstheme="minorHAnsi"/>
                <w:iCs/>
                <w:noProof/>
              </w:rPr>
              <w:t xml:space="preserve"> energie</w:t>
            </w:r>
            <w:r>
              <w:rPr>
                <w:rFonts w:eastAsia="Times New Roman" w:cstheme="minorHAnsi"/>
                <w:iCs/>
                <w:noProof/>
              </w:rPr>
              <w:t>,</w:t>
            </w:r>
            <w:r w:rsidR="00227898">
              <w:rPr>
                <w:rFonts w:eastAsia="Times New Roman" w:cstheme="minorHAnsi"/>
                <w:iCs/>
                <w:noProof/>
              </w:rPr>
              <w:t xml:space="preserve"> astfel încât să </w:t>
            </w:r>
            <w:r w:rsidR="0077656C">
              <w:rPr>
                <w:rFonts w:eastAsia="Times New Roman" w:cstheme="minorHAnsi"/>
                <w:iCs/>
                <w:noProof/>
              </w:rPr>
              <w:t xml:space="preserve">se asigure </w:t>
            </w:r>
            <w:r w:rsidR="0077656C" w:rsidRPr="00146003">
              <w:rPr>
                <w:rFonts w:eastAsia="Times New Roman" w:cstheme="minorHAnsi"/>
                <w:iCs/>
                <w:noProof/>
              </w:rPr>
              <w:t xml:space="preserve">creșterea eficienței energetice </w:t>
            </w:r>
            <w:r w:rsidR="0077656C">
              <w:rPr>
                <w:rFonts w:eastAsia="Times New Roman" w:cstheme="minorHAnsi"/>
                <w:iCs/>
                <w:noProof/>
              </w:rPr>
              <w:t xml:space="preserve">și </w:t>
            </w:r>
            <w:r w:rsidR="0077656C" w:rsidRPr="00146003">
              <w:rPr>
                <w:rFonts w:eastAsia="Times New Roman" w:cstheme="minorHAnsi"/>
                <w:iCs/>
                <w:noProof/>
              </w:rPr>
              <w:t>tranziția către o economie cu emisii scăzute de dioxid de carbon</w:t>
            </w:r>
            <w:r w:rsidR="0077656C">
              <w:rPr>
                <w:rFonts w:eastAsia="Times New Roman" w:cstheme="minorHAnsi"/>
                <w:iCs/>
                <w:noProof/>
              </w:rPr>
              <w:t xml:space="preserve">. </w:t>
            </w:r>
            <w:r w:rsidR="00FC1A6D">
              <w:rPr>
                <w:rFonts w:eastAsia="Times New Roman" w:cstheme="minorHAnsi"/>
                <w:iCs/>
                <w:noProof/>
              </w:rPr>
              <w:t>Prin PODD se au în vedere investiții de m</w:t>
            </w:r>
            <w:r w:rsidR="00BC34FF">
              <w:rPr>
                <w:rFonts w:eastAsia="Times New Roman" w:cstheme="minorHAnsi"/>
                <w:iCs/>
                <w:noProof/>
              </w:rPr>
              <w:t>odernizare</w:t>
            </w:r>
            <w:r w:rsidR="00FC1A6D">
              <w:rPr>
                <w:rFonts w:eastAsia="Times New Roman" w:cstheme="minorHAnsi"/>
                <w:iCs/>
                <w:noProof/>
              </w:rPr>
              <w:t xml:space="preserve"> </w:t>
            </w:r>
            <w:r w:rsidR="00BC34FF">
              <w:rPr>
                <w:rFonts w:eastAsia="Times New Roman" w:cstheme="minorHAnsi"/>
                <w:iCs/>
                <w:noProof/>
              </w:rPr>
              <w:t>a</w:t>
            </w:r>
            <w:r w:rsidR="00FC1A6D">
              <w:rPr>
                <w:rFonts w:eastAsia="Times New Roman" w:cstheme="minorHAnsi"/>
                <w:iCs/>
                <w:noProof/>
              </w:rPr>
              <w:t xml:space="preserve"> sistemelor</w:t>
            </w:r>
            <w:r w:rsidR="00FC1A6D" w:rsidRPr="00FC1A6D">
              <w:rPr>
                <w:rFonts w:eastAsia="Times New Roman" w:cstheme="minorHAnsi"/>
                <w:iCs/>
                <w:noProof/>
              </w:rPr>
              <w:t xml:space="preserve"> de încălzire centralizată</w:t>
            </w:r>
            <w:r w:rsidR="00FC1A6D">
              <w:rPr>
                <w:rFonts w:eastAsia="Times New Roman" w:cstheme="minorHAnsi"/>
                <w:iCs/>
                <w:noProof/>
              </w:rPr>
              <w:t xml:space="preserve"> pentru a</w:t>
            </w:r>
            <w:r w:rsidR="00BC34FF">
              <w:rPr>
                <w:rFonts w:eastAsia="Times New Roman" w:cstheme="minorHAnsi"/>
                <w:iCs/>
                <w:noProof/>
              </w:rPr>
              <w:t xml:space="preserve">tingerea </w:t>
            </w:r>
            <w:r w:rsidR="00FC1A6D">
              <w:rPr>
                <w:rFonts w:eastAsia="Times New Roman" w:cstheme="minorHAnsi"/>
                <w:iCs/>
                <w:noProof/>
              </w:rPr>
              <w:t>ț</w:t>
            </w:r>
            <w:r w:rsidR="00BC34FF">
              <w:rPr>
                <w:rFonts w:eastAsia="Times New Roman" w:cstheme="minorHAnsi"/>
                <w:iCs/>
                <w:noProof/>
              </w:rPr>
              <w:t xml:space="preserve">intelor PNIESC </w:t>
            </w:r>
            <w:r w:rsidR="00FC1A6D">
              <w:rPr>
                <w:rFonts w:eastAsia="Times New Roman" w:cstheme="minorHAnsi"/>
                <w:iCs/>
                <w:noProof/>
              </w:rPr>
              <w:t>privind GHG și CO2.</w:t>
            </w:r>
          </w:p>
          <w:p w14:paraId="3381CE5F" w14:textId="0B1D3171" w:rsidR="001A2279" w:rsidRPr="001552C0" w:rsidRDefault="001A2279" w:rsidP="001A2279">
            <w:pPr>
              <w:spacing w:before="120" w:after="120" w:line="240" w:lineRule="auto"/>
              <w:jc w:val="both"/>
              <w:rPr>
                <w:rFonts w:eastAsia="Times New Roman" w:cstheme="minorHAnsi"/>
                <w:iCs/>
                <w:noProof/>
              </w:rPr>
            </w:pPr>
            <w:r w:rsidRPr="001552C0">
              <w:rPr>
                <w:rFonts w:eastAsia="Times New Roman" w:cstheme="minorHAnsi"/>
                <w:iCs/>
                <w:noProof/>
              </w:rPr>
              <w:t>Totodat</w:t>
            </w:r>
            <w:r w:rsidR="00FF6666" w:rsidRPr="001552C0">
              <w:rPr>
                <w:rFonts w:eastAsia="Times New Roman" w:cstheme="minorHAnsi"/>
                <w:iCs/>
                <w:noProof/>
              </w:rPr>
              <w:t xml:space="preserve">ă, </w:t>
            </w:r>
            <w:r w:rsidRPr="001552C0">
              <w:rPr>
                <w:rFonts w:eastAsia="Times New Roman" w:cstheme="minorHAnsi"/>
                <w:iCs/>
                <w:noProof/>
              </w:rPr>
              <w:t xml:space="preserve"> a fost evidențiat că implementarea sistemelor de distribuție inteligentă și a soluțiilor de stocare, reprezintă un pas intermediar esențial pentru asigurarea flexibilității sistemului energetic, în contextul integrării sporite a SRE în rețea, aceste sisteme contribuind la creșterea eficienței energetice în cadrul sectoarelor rezidențial și terțiar.</w:t>
            </w:r>
          </w:p>
          <w:p w14:paraId="15D6E4DC" w14:textId="2B486D7E" w:rsidR="001A2279" w:rsidRPr="001552C0" w:rsidRDefault="001A2279" w:rsidP="001A2279">
            <w:pPr>
              <w:spacing w:before="120" w:after="120" w:line="240" w:lineRule="auto"/>
              <w:jc w:val="both"/>
              <w:rPr>
                <w:rFonts w:eastAsia="Times New Roman" w:cstheme="minorHAnsi"/>
                <w:iCs/>
                <w:noProof/>
              </w:rPr>
            </w:pPr>
            <w:r w:rsidRPr="001552C0">
              <w:rPr>
                <w:rFonts w:eastAsia="Times New Roman" w:cstheme="minorHAnsi"/>
                <w:iCs/>
                <w:noProof/>
              </w:rPr>
              <w:t>Astfel, viitoarele investi</w:t>
            </w:r>
            <w:r w:rsidR="00FF6666" w:rsidRPr="001552C0">
              <w:rPr>
                <w:rFonts w:eastAsia="Times New Roman" w:cstheme="minorHAnsi"/>
                <w:iCs/>
                <w:noProof/>
              </w:rPr>
              <w:t>ț</w:t>
            </w:r>
            <w:r w:rsidRPr="001552C0">
              <w:rPr>
                <w:rFonts w:eastAsia="Times New Roman" w:cstheme="minorHAnsi"/>
                <w:iCs/>
                <w:noProof/>
              </w:rPr>
              <w:t xml:space="preserve">ii ce se vor realiza din PODD au în vedere, pe de o parte, </w:t>
            </w:r>
            <w:r w:rsidR="00FF6666" w:rsidRPr="001552C0">
              <w:rPr>
                <w:rFonts w:eastAsia="Times New Roman" w:cstheme="minorHAnsi"/>
                <w:iCs/>
                <w:noProof/>
              </w:rPr>
              <w:t>î</w:t>
            </w:r>
            <w:r w:rsidRPr="001552C0">
              <w:rPr>
                <w:rFonts w:eastAsia="Times New Roman" w:cstheme="minorHAnsi"/>
                <w:iCs/>
                <w:noProof/>
              </w:rPr>
              <w:t xml:space="preserve">ndeplinirea obiectivelor strategice asumate </w:t>
            </w:r>
            <w:r w:rsidR="00FF6666" w:rsidRPr="001552C0">
              <w:rPr>
                <w:rFonts w:eastAsia="Times New Roman" w:cstheme="minorHAnsi"/>
                <w:iCs/>
                <w:noProof/>
              </w:rPr>
              <w:t>î</w:t>
            </w:r>
            <w:r w:rsidRPr="001552C0">
              <w:rPr>
                <w:rFonts w:eastAsia="Times New Roman" w:cstheme="minorHAnsi"/>
                <w:iCs/>
                <w:noProof/>
              </w:rPr>
              <w:t>n PNIESC</w:t>
            </w:r>
            <w:r w:rsidR="00FF6666" w:rsidRPr="001552C0">
              <w:rPr>
                <w:rFonts w:eastAsia="Times New Roman" w:cstheme="minorHAnsi"/>
                <w:iCs/>
                <w:noProof/>
              </w:rPr>
              <w:t>,</w:t>
            </w:r>
            <w:r w:rsidRPr="001552C0">
              <w:rPr>
                <w:rFonts w:eastAsia="Times New Roman" w:cstheme="minorHAnsi"/>
                <w:iCs/>
                <w:noProof/>
              </w:rPr>
              <w:t xml:space="preserve"> precum și sprijinirea atingerii obiectivelor propuse </w:t>
            </w:r>
            <w:r w:rsidR="00FF6666" w:rsidRPr="001552C0">
              <w:rPr>
                <w:rFonts w:eastAsia="Times New Roman" w:cstheme="minorHAnsi"/>
                <w:iCs/>
                <w:noProof/>
              </w:rPr>
              <w:t xml:space="preserve">în </w:t>
            </w:r>
            <w:r w:rsidRPr="001552C0">
              <w:rPr>
                <w:rFonts w:eastAsia="Times New Roman" w:cstheme="minorHAnsi"/>
                <w:iCs/>
                <w:noProof/>
              </w:rPr>
              <w:t>pachetul “Energie curată pentru toți europenii” la orizontul anului 2030.</w:t>
            </w:r>
          </w:p>
          <w:p w14:paraId="18F41E2A" w14:textId="149D32D3" w:rsidR="00226BD9" w:rsidRPr="001552C0" w:rsidRDefault="002437A3" w:rsidP="00B61B38">
            <w:pPr>
              <w:spacing w:before="120" w:after="120" w:line="240" w:lineRule="auto"/>
              <w:jc w:val="both"/>
              <w:rPr>
                <w:rFonts w:eastAsia="Times New Roman" w:cstheme="minorHAnsi"/>
                <w:b/>
                <w:bCs/>
                <w:i/>
                <w:iCs/>
                <w:noProof/>
              </w:rPr>
            </w:pPr>
            <w:r w:rsidRPr="001552C0">
              <w:rPr>
                <w:rFonts w:eastAsia="Times New Roman" w:cstheme="minorHAnsi"/>
                <w:b/>
                <w:bCs/>
                <w:i/>
                <w:iCs/>
                <w:noProof/>
              </w:rPr>
              <w:t>I</w:t>
            </w:r>
            <w:r w:rsidR="00734448" w:rsidRPr="001552C0">
              <w:rPr>
                <w:rFonts w:eastAsia="Times New Roman" w:cstheme="minorHAnsi"/>
                <w:b/>
                <w:bCs/>
                <w:i/>
                <w:iCs/>
                <w:noProof/>
              </w:rPr>
              <w:t>nfr</w:t>
            </w:r>
            <w:r w:rsidRPr="001552C0">
              <w:rPr>
                <w:rFonts w:eastAsia="Times New Roman" w:cstheme="minorHAnsi"/>
                <w:b/>
                <w:bCs/>
                <w:i/>
                <w:iCs/>
                <w:noProof/>
              </w:rPr>
              <w:t>astructura</w:t>
            </w:r>
            <w:r w:rsidR="00734448" w:rsidRPr="001552C0">
              <w:rPr>
                <w:rFonts w:eastAsia="Times New Roman" w:cstheme="minorHAnsi"/>
                <w:b/>
                <w:bCs/>
                <w:i/>
                <w:iCs/>
                <w:noProof/>
              </w:rPr>
              <w:t xml:space="preserve"> de apă și apă uzată </w:t>
            </w:r>
            <w:r w:rsidRPr="001552C0">
              <w:rPr>
                <w:rFonts w:eastAsia="Times New Roman" w:cstheme="minorHAnsi"/>
                <w:b/>
                <w:bCs/>
                <w:i/>
                <w:iCs/>
                <w:noProof/>
              </w:rPr>
              <w:t>ins</w:t>
            </w:r>
            <w:r w:rsidR="00C527D9" w:rsidRPr="001552C0">
              <w:rPr>
                <w:rFonts w:eastAsia="Times New Roman" w:cstheme="minorHAnsi"/>
                <w:b/>
                <w:bCs/>
                <w:i/>
                <w:iCs/>
                <w:noProof/>
              </w:rPr>
              <w:t>u</w:t>
            </w:r>
            <w:r w:rsidRPr="001552C0">
              <w:rPr>
                <w:rFonts w:eastAsia="Times New Roman" w:cstheme="minorHAnsi"/>
                <w:b/>
                <w:bCs/>
                <w:i/>
                <w:iCs/>
                <w:noProof/>
              </w:rPr>
              <w:t>ficientă</w:t>
            </w:r>
            <w:r w:rsidR="00C527D9" w:rsidRPr="001552C0">
              <w:rPr>
                <w:rFonts w:eastAsia="Times New Roman" w:cstheme="minorHAnsi"/>
                <w:b/>
                <w:bCs/>
                <w:i/>
                <w:iCs/>
                <w:noProof/>
              </w:rPr>
              <w:t xml:space="preserve"> și inadecvată în raport cu cerințele de </w:t>
            </w:r>
            <w:r w:rsidR="00734448" w:rsidRPr="001552C0">
              <w:rPr>
                <w:rFonts w:eastAsia="Times New Roman" w:cstheme="minorHAnsi"/>
                <w:b/>
                <w:bCs/>
                <w:i/>
                <w:iCs/>
                <w:noProof/>
              </w:rPr>
              <w:t xml:space="preserve"> </w:t>
            </w:r>
            <w:r w:rsidRPr="001552C0">
              <w:rPr>
                <w:rFonts w:eastAsia="Times New Roman" w:cstheme="minorHAnsi"/>
                <w:b/>
                <w:bCs/>
                <w:i/>
                <w:iCs/>
                <w:noProof/>
              </w:rPr>
              <w:t xml:space="preserve">conformare cu </w:t>
            </w:r>
            <w:r w:rsidR="00F82818" w:rsidRPr="001552C0">
              <w:rPr>
                <w:rFonts w:eastAsia="Times New Roman" w:cstheme="minorHAnsi"/>
                <w:b/>
                <w:bCs/>
                <w:i/>
                <w:iCs/>
                <w:noProof/>
              </w:rPr>
              <w:t xml:space="preserve">directivele </w:t>
            </w:r>
            <w:r w:rsidRPr="001552C0">
              <w:rPr>
                <w:rFonts w:eastAsia="Times New Roman" w:cstheme="minorHAnsi"/>
                <w:b/>
                <w:bCs/>
                <w:i/>
                <w:iCs/>
                <w:noProof/>
              </w:rPr>
              <w:t xml:space="preserve"> de mediu și pentru </w:t>
            </w:r>
            <w:r w:rsidR="00734448" w:rsidRPr="001552C0">
              <w:rPr>
                <w:rFonts w:eastAsia="Times New Roman" w:cstheme="minorHAnsi"/>
                <w:b/>
                <w:bCs/>
                <w:i/>
                <w:iCs/>
                <w:noProof/>
              </w:rPr>
              <w:t xml:space="preserve">asigurarea </w:t>
            </w:r>
            <w:r w:rsidRPr="001552C0">
              <w:rPr>
                <w:rFonts w:eastAsia="Times New Roman" w:cstheme="minorHAnsi"/>
                <w:b/>
                <w:bCs/>
                <w:i/>
                <w:iCs/>
                <w:noProof/>
              </w:rPr>
              <w:t xml:space="preserve">adecvată a </w:t>
            </w:r>
            <w:r w:rsidR="00734448" w:rsidRPr="001552C0">
              <w:rPr>
                <w:rFonts w:eastAsia="Times New Roman" w:cstheme="minorHAnsi"/>
                <w:b/>
                <w:bCs/>
                <w:i/>
                <w:iCs/>
                <w:noProof/>
              </w:rPr>
              <w:t>calității vieții</w:t>
            </w:r>
          </w:p>
          <w:p w14:paraId="6835DE10" w14:textId="6868F9F3" w:rsidR="00453765" w:rsidRPr="001552C0" w:rsidRDefault="00453765" w:rsidP="00395A0E">
            <w:pPr>
              <w:spacing w:before="120" w:after="120" w:line="240" w:lineRule="auto"/>
              <w:jc w:val="both"/>
              <w:rPr>
                <w:rFonts w:eastAsia="Times New Roman" w:cstheme="minorHAnsi"/>
                <w:bCs/>
                <w:iCs/>
                <w:noProof/>
              </w:rPr>
            </w:pPr>
            <w:r w:rsidRPr="001552C0">
              <w:rPr>
                <w:rFonts w:eastAsia="Times New Roman" w:cstheme="minorHAnsi"/>
                <w:bCs/>
                <w:iCs/>
                <w:noProof/>
              </w:rPr>
              <w:t>Rom</w:t>
            </w:r>
            <w:r w:rsidR="00660FC0" w:rsidRPr="001552C0">
              <w:rPr>
                <w:rFonts w:eastAsia="Times New Roman" w:cstheme="minorHAnsi"/>
                <w:bCs/>
                <w:iCs/>
                <w:noProof/>
              </w:rPr>
              <w:t>â</w:t>
            </w:r>
            <w:r w:rsidRPr="001552C0">
              <w:rPr>
                <w:rFonts w:eastAsia="Times New Roman" w:cstheme="minorHAnsi"/>
                <w:bCs/>
                <w:iCs/>
                <w:noProof/>
              </w:rPr>
              <w:t>nia a asumat prin Tratatul de Aderare la UE implementarea Directivei nr. 98/83/CE privind calitatea apei destinate consumului uman şi Directivei nr. 91/271/CEE privind colectarea şi epurarea apelor uzate. In vederea conform</w:t>
            </w:r>
            <w:r w:rsidR="00660FC0" w:rsidRPr="001552C0">
              <w:rPr>
                <w:rFonts w:eastAsia="Times New Roman" w:cstheme="minorHAnsi"/>
                <w:bCs/>
                <w:iCs/>
                <w:noProof/>
              </w:rPr>
              <w:t>ă</w:t>
            </w:r>
            <w:r w:rsidRPr="001552C0">
              <w:rPr>
                <w:rFonts w:eastAsia="Times New Roman" w:cstheme="minorHAnsi"/>
                <w:bCs/>
                <w:iCs/>
                <w:noProof/>
              </w:rPr>
              <w:t>rii cu prevederile acestor directive România a avut perioade de tranziţie, aceste nefiind respectate. Astfel, până în decembrie 2015</w:t>
            </w:r>
            <w:r w:rsidR="00660FC0" w:rsidRPr="001552C0">
              <w:rPr>
                <w:rFonts w:eastAsia="Times New Roman" w:cstheme="minorHAnsi"/>
                <w:bCs/>
                <w:iCs/>
                <w:noProof/>
              </w:rPr>
              <w:t>,</w:t>
            </w:r>
            <w:r w:rsidRPr="001552C0">
              <w:rPr>
                <w:rFonts w:eastAsia="Times New Roman" w:cstheme="minorHAnsi"/>
                <w:bCs/>
                <w:iCs/>
                <w:noProof/>
              </w:rPr>
              <w:t xml:space="preserve"> era necesară conformarea cu anumiți parametri ai apei potabile, iar până în 2018 trebuiau îndeplinite obligațiile privind colectarea și tratarea apei uzate în aglomerările cu peste 2000 l.e., cu termen intermediare</w:t>
            </w:r>
            <w:r w:rsidR="006E0F7A" w:rsidRPr="001552C0">
              <w:t xml:space="preserve"> </w:t>
            </w:r>
            <w:r w:rsidR="006E0F7A" w:rsidRPr="001552C0">
              <w:rPr>
                <w:rFonts w:eastAsia="Times New Roman" w:cstheme="minorHAnsi"/>
                <w:bCs/>
                <w:iCs/>
                <w:noProof/>
              </w:rPr>
              <w:t>pentru aglomerările peste 10.000 l.e.</w:t>
            </w:r>
            <w:r w:rsidRPr="001552C0">
              <w:rPr>
                <w:rFonts w:eastAsia="Times New Roman" w:cstheme="minorHAnsi"/>
                <w:bCs/>
                <w:iCs/>
                <w:noProof/>
              </w:rPr>
              <w:t xml:space="preserve"> in decembrie 2015.</w:t>
            </w:r>
          </w:p>
          <w:p w14:paraId="1ED7E55F" w14:textId="6BB77FBC" w:rsidR="006B332C" w:rsidRPr="001552C0" w:rsidRDefault="006B332C" w:rsidP="00395A0E">
            <w:pPr>
              <w:spacing w:before="120" w:after="120" w:line="240" w:lineRule="auto"/>
              <w:jc w:val="both"/>
              <w:rPr>
                <w:rFonts w:eastAsia="Times New Roman" w:cstheme="minorHAnsi"/>
                <w:bCs/>
                <w:iCs/>
                <w:noProof/>
              </w:rPr>
            </w:pPr>
            <w:r w:rsidRPr="001552C0">
              <w:rPr>
                <w:rFonts w:eastAsia="Times New Roman" w:cstheme="minorHAnsi"/>
                <w:bCs/>
                <w:iCs/>
                <w:noProof/>
              </w:rPr>
              <w:t xml:space="preserve">În Raportul de Țară din 2020, se arată că politica României în domeniul apei prezintă în continuare deficiențe, în special în ceea ce privește accesul la apă și la canalizare în zonele rurale, precum și cantitatea și calitatea apei potabile. </w:t>
            </w:r>
            <w:r w:rsidR="001008FD" w:rsidRPr="001552C0">
              <w:rPr>
                <w:rFonts w:eastAsia="Times New Roman" w:cstheme="minorHAnsi"/>
                <w:bCs/>
                <w:iCs/>
                <w:noProof/>
              </w:rPr>
              <w:t xml:space="preserve">Totodată, Raportul evidențiază că acțiunile legate de colectarea apelor uzate și conectarea la infrastructura publică de canalizare nu sunt încă finalizate, iar diferența până la atingerea obiectivului fixat privind colectarea apelor uzate generate de aglomerările cu peste 2 000 de locuitori echivalenți este de 26 %. La nivelul UE, în medie, 96 % din cetățeni sunt conectați în prezent la rezerve de apă potabilă, iar în România în 2017 doar 67,5 % din cetățeni erau conectați la apă potabilă. Accesibilitatea din punct de vedere financiar este cea mai scăzută din UE, cheltuielile cu aprovizionarea cu apă și cu canalizare reprezentând peste 6 % din cheltuielile gospodăriilor din cadrul celui mai sărac grup al populației. </w:t>
            </w:r>
            <w:r w:rsidRPr="001552C0">
              <w:rPr>
                <w:rFonts w:eastAsia="Times New Roman" w:cstheme="minorHAnsi"/>
                <w:bCs/>
                <w:iCs/>
                <w:noProof/>
              </w:rPr>
              <w:t xml:space="preserve">Măsurile identificate în Raportul </w:t>
            </w:r>
            <w:r w:rsidR="001008FD" w:rsidRPr="001552C0">
              <w:rPr>
                <w:rFonts w:eastAsia="Times New Roman" w:cstheme="minorHAnsi"/>
                <w:bCs/>
                <w:iCs/>
                <w:noProof/>
              </w:rPr>
              <w:t xml:space="preserve">de Țară </w:t>
            </w:r>
            <w:r w:rsidRPr="001552C0">
              <w:rPr>
                <w:rFonts w:eastAsia="Times New Roman" w:cstheme="minorHAnsi"/>
                <w:bCs/>
                <w:iCs/>
                <w:noProof/>
              </w:rPr>
              <w:t>vizează extinderea și modernizarea infrastructurii de apă potabilă și de apă uzată, monitorizarea calității apei potabile și modernizarea laboratoarelor pentru o mai bună monitorizare a substanțelor deversate în ape.</w:t>
            </w:r>
          </w:p>
          <w:p w14:paraId="3BDD2AD2" w14:textId="1BDA6561" w:rsidR="006E0F7A" w:rsidRPr="001552C0" w:rsidRDefault="00453765" w:rsidP="00453765">
            <w:pPr>
              <w:spacing w:before="120" w:after="120" w:line="240" w:lineRule="auto"/>
              <w:jc w:val="both"/>
              <w:rPr>
                <w:rFonts w:eastAsia="Times New Roman" w:cstheme="minorHAnsi"/>
                <w:bCs/>
                <w:iCs/>
                <w:noProof/>
              </w:rPr>
            </w:pPr>
            <w:r w:rsidRPr="001552C0">
              <w:rPr>
                <w:rFonts w:eastAsia="Times New Roman" w:cstheme="minorHAnsi"/>
                <w:bCs/>
                <w:iCs/>
                <w:noProof/>
              </w:rPr>
              <w:t>De</w:t>
            </w:r>
            <w:r w:rsidR="00660FC0" w:rsidRPr="001552C0">
              <w:rPr>
                <w:rFonts w:eastAsia="Times New Roman" w:cstheme="minorHAnsi"/>
                <w:bCs/>
                <w:iCs/>
                <w:noProof/>
              </w:rPr>
              <w:t>ș</w:t>
            </w:r>
            <w:r w:rsidRPr="001552C0">
              <w:rPr>
                <w:rFonts w:eastAsia="Times New Roman" w:cstheme="minorHAnsi"/>
                <w:bCs/>
                <w:iCs/>
                <w:noProof/>
              </w:rPr>
              <w:t>i au fost finantate proiecte prin POSM 2007-2013</w:t>
            </w:r>
            <w:r w:rsidR="00F84C27" w:rsidRPr="001552C0">
              <w:rPr>
                <w:rFonts w:eastAsia="Times New Roman" w:cstheme="minorHAnsi"/>
                <w:bCs/>
                <w:iCs/>
                <w:noProof/>
              </w:rPr>
              <w:t>,</w:t>
            </w:r>
            <w:r w:rsidRPr="001552C0">
              <w:rPr>
                <w:rFonts w:eastAsia="Times New Roman" w:cstheme="minorHAnsi"/>
                <w:bCs/>
                <w:iCs/>
                <w:noProof/>
              </w:rPr>
              <w:t xml:space="preserve">  prin POIM 2014-2020</w:t>
            </w:r>
            <w:r w:rsidR="00F84C27" w:rsidRPr="001552C0">
              <w:rPr>
                <w:rFonts w:eastAsia="Times New Roman" w:cstheme="minorHAnsi"/>
                <w:bCs/>
                <w:iCs/>
                <w:noProof/>
              </w:rPr>
              <w:t xml:space="preserve"> și prin PNDR 2007-2013 și 2014-2020</w:t>
            </w:r>
            <w:r w:rsidRPr="001552C0">
              <w:rPr>
                <w:rFonts w:eastAsia="Times New Roman" w:cstheme="minorHAnsi"/>
                <w:bCs/>
                <w:iCs/>
                <w:noProof/>
              </w:rPr>
              <w:t xml:space="preserve"> (unele proiecte </w:t>
            </w:r>
            <w:r w:rsidR="001F7339" w:rsidRPr="001552C0">
              <w:rPr>
                <w:rFonts w:eastAsia="Times New Roman" w:cstheme="minorHAnsi"/>
                <w:bCs/>
                <w:iCs/>
                <w:noProof/>
              </w:rPr>
              <w:t>î</w:t>
            </w:r>
            <w:r w:rsidRPr="001552C0">
              <w:rPr>
                <w:rFonts w:eastAsia="Times New Roman" w:cstheme="minorHAnsi"/>
                <w:bCs/>
                <w:iCs/>
                <w:noProof/>
              </w:rPr>
              <w:t>nregistr</w:t>
            </w:r>
            <w:r w:rsidR="001F7339" w:rsidRPr="001552C0">
              <w:rPr>
                <w:rFonts w:eastAsia="Times New Roman" w:cstheme="minorHAnsi"/>
                <w:bCs/>
                <w:iCs/>
                <w:noProof/>
              </w:rPr>
              <w:t>â</w:t>
            </w:r>
            <w:r w:rsidRPr="001552C0">
              <w:rPr>
                <w:rFonts w:eastAsia="Times New Roman" w:cstheme="minorHAnsi"/>
                <w:bCs/>
                <w:iCs/>
                <w:noProof/>
              </w:rPr>
              <w:t xml:space="preserve">nd </w:t>
            </w:r>
            <w:r w:rsidR="001F7339" w:rsidRPr="001552C0">
              <w:rPr>
                <w:rFonts w:eastAsia="Times New Roman" w:cstheme="minorHAnsi"/>
                <w:bCs/>
                <w:iCs/>
                <w:noProof/>
              </w:rPr>
              <w:t>î</w:t>
            </w:r>
            <w:r w:rsidRPr="001552C0">
              <w:rPr>
                <w:rFonts w:eastAsia="Times New Roman" w:cstheme="minorHAnsi"/>
                <w:bCs/>
                <w:iCs/>
                <w:noProof/>
              </w:rPr>
              <w:t>nt</w:t>
            </w:r>
            <w:r w:rsidR="001F7339" w:rsidRPr="001552C0">
              <w:rPr>
                <w:rFonts w:eastAsia="Times New Roman" w:cstheme="minorHAnsi"/>
                <w:bCs/>
                <w:iCs/>
                <w:noProof/>
              </w:rPr>
              <w:t>â</w:t>
            </w:r>
            <w:r w:rsidRPr="001552C0">
              <w:rPr>
                <w:rFonts w:eastAsia="Times New Roman" w:cstheme="minorHAnsi"/>
                <w:bCs/>
                <w:iCs/>
                <w:noProof/>
              </w:rPr>
              <w:t>rzieri), există decalaje în atingerea ţintelor asumate prin Tratatul de Aderare.</w:t>
            </w:r>
            <w:r w:rsidR="004A6771" w:rsidRPr="001552C0">
              <w:rPr>
                <w:rFonts w:eastAsia="Times New Roman" w:cstheme="minorHAnsi"/>
                <w:bCs/>
                <w:iCs/>
                <w:noProof/>
              </w:rPr>
              <w:t xml:space="preserve"> </w:t>
            </w:r>
            <w:r w:rsidR="001F7339" w:rsidRPr="001552C0">
              <w:rPr>
                <w:rFonts w:eastAsia="Times New Roman" w:cstheme="minorHAnsi"/>
                <w:bCs/>
                <w:iCs/>
                <w:noProof/>
              </w:rPr>
              <w:t>În consecință</w:t>
            </w:r>
            <w:r w:rsidR="004A6771" w:rsidRPr="001552C0">
              <w:rPr>
                <w:rFonts w:eastAsia="Times New Roman" w:cstheme="minorHAnsi"/>
                <w:bCs/>
                <w:iCs/>
                <w:noProof/>
              </w:rPr>
              <w:t>, pentru aglomerările peste 10.000 l.e., în data de 08.06.2018, COM a transmis autorităților române scrisoarea de punere în întârziere în cauza 2018/2109</w:t>
            </w:r>
            <w:r w:rsidR="006E0F7A" w:rsidRPr="001552C0">
              <w:t xml:space="preserve"> </w:t>
            </w:r>
            <w:r w:rsidR="006E0F7A" w:rsidRPr="001552C0">
              <w:rPr>
                <w:rFonts w:eastAsia="Times New Roman" w:cstheme="minorHAnsi"/>
                <w:bCs/>
                <w:iCs/>
                <w:noProof/>
              </w:rPr>
              <w:t>referitoare la Directiva 91/271/CEE</w:t>
            </w:r>
            <w:r w:rsidR="004A6771" w:rsidRPr="001552C0">
              <w:rPr>
                <w:rFonts w:eastAsia="Times New Roman" w:cstheme="minorHAnsi"/>
                <w:bCs/>
                <w:iCs/>
                <w:noProof/>
              </w:rPr>
              <w:t>.</w:t>
            </w:r>
          </w:p>
          <w:p w14:paraId="7594FD7A" w14:textId="444C360E" w:rsidR="004A6771" w:rsidRPr="001552C0" w:rsidRDefault="006E0F7A" w:rsidP="00453765">
            <w:pPr>
              <w:spacing w:before="120" w:after="120" w:line="240" w:lineRule="auto"/>
              <w:jc w:val="both"/>
              <w:rPr>
                <w:rFonts w:eastAsia="Times New Roman" w:cstheme="minorHAnsi"/>
                <w:bCs/>
                <w:iCs/>
                <w:noProof/>
              </w:rPr>
            </w:pPr>
            <w:r w:rsidRPr="001552C0">
              <w:rPr>
                <w:rFonts w:eastAsia="Times New Roman" w:cstheme="minorHAnsi"/>
                <w:bCs/>
                <w:iCs/>
                <w:noProof/>
              </w:rPr>
              <w:t xml:space="preserve">O primă evaluarea a necesarului de investiții în sector a fost realizată de Banca Europeană de Reconstrucție și Dezvoltare în baza datelor furnizate la nivelul anului 2018 și cu referire la toate aglomerăile care au făzut subiectul  negocierilor în contextul aderării la UE. Ca urmare a acestei evaluări rezultă un necesar preliminar de investiții de 13 miliarde de euro pentru apă uzată și de 9 miliarde de euro pentru apă potabilă.  Evaluarea finală a necesarului de investiții va fi </w:t>
            </w:r>
            <w:r w:rsidR="005F4B4B" w:rsidRPr="001552C0">
              <w:rPr>
                <w:rFonts w:eastAsia="Times New Roman" w:cstheme="minorHAnsi"/>
                <w:bCs/>
                <w:iCs/>
                <w:noProof/>
              </w:rPr>
              <w:t xml:space="preserve">realizată </w:t>
            </w:r>
            <w:r w:rsidRPr="001552C0">
              <w:rPr>
                <w:rFonts w:eastAsia="Times New Roman" w:cstheme="minorHAnsi"/>
                <w:bCs/>
                <w:iCs/>
                <w:noProof/>
              </w:rPr>
              <w:t xml:space="preserve">în cadrul Planului </w:t>
            </w:r>
            <w:r w:rsidR="005F4B4B" w:rsidRPr="001552C0">
              <w:rPr>
                <w:rFonts w:eastAsia="Times New Roman" w:cstheme="minorHAnsi"/>
                <w:bCs/>
                <w:iCs/>
                <w:noProof/>
              </w:rPr>
              <w:t>strategic</w:t>
            </w:r>
            <w:r w:rsidRPr="001552C0">
              <w:rPr>
                <w:rFonts w:eastAsia="Times New Roman" w:cstheme="minorHAnsi"/>
                <w:bCs/>
                <w:iCs/>
                <w:noProof/>
              </w:rPr>
              <w:t xml:space="preserve"> de finanțare</w:t>
            </w:r>
            <w:r w:rsidR="005F4B4B" w:rsidRPr="001552C0">
              <w:rPr>
                <w:rFonts w:eastAsia="Times New Roman" w:cstheme="minorHAnsi"/>
                <w:bCs/>
                <w:iCs/>
                <w:noProof/>
              </w:rPr>
              <w:t>,</w:t>
            </w:r>
            <w:r w:rsidR="005F4B4B" w:rsidRPr="001552C0">
              <w:t xml:space="preserve"> </w:t>
            </w:r>
            <w:r w:rsidR="005F4B4B" w:rsidRPr="001552C0">
              <w:rPr>
                <w:rFonts w:eastAsia="Times New Roman" w:cstheme="minorHAnsi"/>
                <w:bCs/>
                <w:iCs/>
                <w:noProof/>
              </w:rPr>
              <w:t xml:space="preserve">bazat pe Planul National de investiții elaborat în urma  </w:t>
            </w:r>
            <w:r w:rsidR="005F4B4B" w:rsidRPr="001552C0">
              <w:rPr>
                <w:rFonts w:eastAsia="Times New Roman" w:cstheme="minorHAnsi"/>
                <w:bCs/>
                <w:iCs/>
                <w:noProof/>
              </w:rPr>
              <w:lastRenderedPageBreak/>
              <w:t>finalizării</w:t>
            </w:r>
            <w:r w:rsidRPr="001552C0">
              <w:rPr>
                <w:rFonts w:eastAsia="Times New Roman" w:cstheme="minorHAnsi"/>
                <w:bCs/>
                <w:iCs/>
                <w:noProof/>
              </w:rPr>
              <w:t xml:space="preserve"> Listei actualizatae a aglomerărilor de peste 2000 l.e., aflate în curs de elaborare de către Ministerul Mediului, Apelor și Pădurilor cu Banca Mondială.</w:t>
            </w:r>
          </w:p>
          <w:p w14:paraId="6061E5A5" w14:textId="028F45AB" w:rsidR="006E0F7A" w:rsidRPr="001552C0" w:rsidRDefault="006E0F7A" w:rsidP="00395A0E">
            <w:pPr>
              <w:spacing w:before="120" w:after="120" w:line="240" w:lineRule="auto"/>
              <w:jc w:val="both"/>
              <w:rPr>
                <w:rFonts w:eastAsia="Times New Roman" w:cstheme="minorHAnsi"/>
                <w:bCs/>
                <w:iCs/>
                <w:noProof/>
              </w:rPr>
            </w:pPr>
            <w:r w:rsidRPr="001552C0">
              <w:rPr>
                <w:rFonts w:eastAsia="Times New Roman" w:cstheme="minorHAnsi"/>
                <w:bCs/>
                <w:iCs/>
                <w:noProof/>
              </w:rPr>
              <w:t>Având în vedere decalajul substanțial în îndeplinirea angajamentelor de conformare</w:t>
            </w:r>
            <w:r w:rsidR="00395A0E" w:rsidRPr="001552C0">
              <w:rPr>
                <w:rFonts w:eastAsia="Times New Roman" w:cstheme="minorHAnsi"/>
                <w:bCs/>
                <w:iCs/>
                <w:noProof/>
              </w:rPr>
              <w:t>, investitiile</w:t>
            </w:r>
            <w:r w:rsidR="00453765" w:rsidRPr="001552C0">
              <w:rPr>
                <w:rFonts w:eastAsia="Times New Roman" w:cstheme="minorHAnsi"/>
                <w:bCs/>
                <w:iCs/>
                <w:noProof/>
              </w:rPr>
              <w:t xml:space="preserve"> care vizeaza sectorul ap</w:t>
            </w:r>
            <w:r w:rsidR="001F7339" w:rsidRPr="001552C0">
              <w:rPr>
                <w:rFonts w:eastAsia="Times New Roman" w:cstheme="minorHAnsi"/>
                <w:bCs/>
                <w:iCs/>
                <w:noProof/>
              </w:rPr>
              <w:t>ă</w:t>
            </w:r>
            <w:r w:rsidR="00453765" w:rsidRPr="001552C0">
              <w:rPr>
                <w:rFonts w:eastAsia="Times New Roman" w:cstheme="minorHAnsi"/>
                <w:bCs/>
                <w:iCs/>
                <w:noProof/>
              </w:rPr>
              <w:t xml:space="preserve"> – ap</w:t>
            </w:r>
            <w:r w:rsidR="001F7339" w:rsidRPr="001552C0">
              <w:rPr>
                <w:rFonts w:eastAsia="Times New Roman" w:cstheme="minorHAnsi"/>
                <w:bCs/>
                <w:iCs/>
                <w:noProof/>
              </w:rPr>
              <w:t>ă</w:t>
            </w:r>
            <w:r w:rsidR="00453765" w:rsidRPr="001552C0">
              <w:rPr>
                <w:rFonts w:eastAsia="Times New Roman" w:cstheme="minorHAnsi"/>
                <w:bCs/>
                <w:iCs/>
                <w:noProof/>
              </w:rPr>
              <w:t xml:space="preserve"> uzat</w:t>
            </w:r>
            <w:r w:rsidR="001F7339" w:rsidRPr="001552C0">
              <w:rPr>
                <w:rFonts w:eastAsia="Times New Roman" w:cstheme="minorHAnsi"/>
                <w:bCs/>
                <w:iCs/>
                <w:noProof/>
              </w:rPr>
              <w:t>ă</w:t>
            </w:r>
            <w:r w:rsidR="00395A0E" w:rsidRPr="001552C0">
              <w:rPr>
                <w:rFonts w:eastAsia="Times New Roman" w:cstheme="minorHAnsi"/>
                <w:bCs/>
                <w:iCs/>
                <w:noProof/>
              </w:rPr>
              <w:t xml:space="preserve"> din PODD</w:t>
            </w:r>
            <w:r w:rsidR="00453765" w:rsidRPr="001552C0">
              <w:rPr>
                <w:rFonts w:eastAsia="Times New Roman" w:cstheme="minorHAnsi"/>
                <w:bCs/>
                <w:iCs/>
                <w:noProof/>
              </w:rPr>
              <w:t xml:space="preserve"> </w:t>
            </w:r>
            <w:r w:rsidRPr="001552C0">
              <w:rPr>
                <w:rFonts w:eastAsia="Times New Roman" w:cstheme="minorHAnsi"/>
                <w:bCs/>
                <w:iCs/>
                <w:noProof/>
              </w:rPr>
              <w:t xml:space="preserve">reprezintă o prioritate strategică și </w:t>
            </w:r>
            <w:r w:rsidR="00DA1936" w:rsidRPr="001552C0">
              <w:rPr>
                <w:rFonts w:eastAsia="Times New Roman" w:cstheme="minorHAnsi"/>
                <w:bCs/>
                <w:iCs/>
                <w:noProof/>
              </w:rPr>
              <w:t xml:space="preserve">vor fi realizate conform </w:t>
            </w:r>
            <w:r w:rsidR="00453765" w:rsidRPr="001552C0">
              <w:rPr>
                <w:rFonts w:eastAsia="Times New Roman" w:cstheme="minorHAnsi"/>
                <w:bCs/>
                <w:iCs/>
                <w:noProof/>
              </w:rPr>
              <w:t>Master Planuril</w:t>
            </w:r>
            <w:r w:rsidR="00DA1936" w:rsidRPr="001552C0">
              <w:rPr>
                <w:rFonts w:eastAsia="Times New Roman" w:cstheme="minorHAnsi"/>
                <w:bCs/>
                <w:iCs/>
                <w:noProof/>
              </w:rPr>
              <w:t>or</w:t>
            </w:r>
            <w:r w:rsidR="00453765" w:rsidRPr="001552C0">
              <w:rPr>
                <w:rFonts w:eastAsia="Times New Roman" w:cstheme="minorHAnsi"/>
                <w:bCs/>
                <w:iCs/>
                <w:noProof/>
              </w:rPr>
              <w:t xml:space="preserve"> Judeţene</w:t>
            </w:r>
            <w:r w:rsidR="005F4B4B" w:rsidRPr="001552C0">
              <w:rPr>
                <w:rFonts w:eastAsia="Times New Roman" w:cstheme="minorHAnsi"/>
                <w:bCs/>
                <w:iCs/>
                <w:noProof/>
              </w:rPr>
              <w:t xml:space="preserve"> reactualizate</w:t>
            </w:r>
            <w:r w:rsidR="00453765" w:rsidRPr="001552C0">
              <w:rPr>
                <w:rFonts w:eastAsia="Times New Roman" w:cstheme="minorHAnsi"/>
                <w:bCs/>
                <w:iCs/>
                <w:noProof/>
              </w:rPr>
              <w:t xml:space="preserve"> </w:t>
            </w:r>
            <w:r w:rsidR="00170224" w:rsidRPr="001552C0">
              <w:rPr>
                <w:rFonts w:eastAsia="Times New Roman" w:cstheme="minorHAnsi"/>
                <w:bCs/>
                <w:iCs/>
                <w:noProof/>
              </w:rPr>
              <w:t xml:space="preserve">și a </w:t>
            </w:r>
            <w:r w:rsidR="00453765" w:rsidRPr="001552C0">
              <w:rPr>
                <w:rFonts w:eastAsia="Times New Roman" w:cstheme="minorHAnsi"/>
                <w:bCs/>
                <w:iCs/>
                <w:noProof/>
              </w:rPr>
              <w:t>P</w:t>
            </w:r>
            <w:r w:rsidR="004A6771" w:rsidRPr="001552C0">
              <w:rPr>
                <w:rFonts w:eastAsia="Times New Roman" w:cstheme="minorHAnsi"/>
                <w:bCs/>
                <w:iCs/>
                <w:noProof/>
              </w:rPr>
              <w:t>lanuril</w:t>
            </w:r>
            <w:r w:rsidR="00170224" w:rsidRPr="001552C0">
              <w:rPr>
                <w:rFonts w:eastAsia="Times New Roman" w:cstheme="minorHAnsi"/>
                <w:bCs/>
                <w:iCs/>
                <w:noProof/>
              </w:rPr>
              <w:t>or</w:t>
            </w:r>
            <w:r w:rsidR="00DA1936" w:rsidRPr="001552C0">
              <w:rPr>
                <w:rFonts w:eastAsia="Times New Roman" w:cstheme="minorHAnsi"/>
                <w:bCs/>
                <w:iCs/>
                <w:noProof/>
              </w:rPr>
              <w:t xml:space="preserve"> </w:t>
            </w:r>
            <w:r w:rsidR="004A6771" w:rsidRPr="001552C0">
              <w:rPr>
                <w:rFonts w:eastAsia="Times New Roman" w:cstheme="minorHAnsi"/>
                <w:bCs/>
                <w:iCs/>
                <w:noProof/>
              </w:rPr>
              <w:t xml:space="preserve">de </w:t>
            </w:r>
            <w:r w:rsidR="00453765" w:rsidRPr="001552C0">
              <w:rPr>
                <w:rFonts w:eastAsia="Times New Roman" w:cstheme="minorHAnsi"/>
                <w:bCs/>
                <w:iCs/>
                <w:noProof/>
              </w:rPr>
              <w:t>M</w:t>
            </w:r>
            <w:r w:rsidR="004A6771" w:rsidRPr="001552C0">
              <w:rPr>
                <w:rFonts w:eastAsia="Times New Roman" w:cstheme="minorHAnsi"/>
                <w:bCs/>
                <w:iCs/>
                <w:noProof/>
              </w:rPr>
              <w:t xml:space="preserve">anagement ale </w:t>
            </w:r>
            <w:r w:rsidR="00453765" w:rsidRPr="001552C0">
              <w:rPr>
                <w:rFonts w:eastAsia="Times New Roman" w:cstheme="minorHAnsi"/>
                <w:bCs/>
                <w:iCs/>
                <w:noProof/>
              </w:rPr>
              <w:t>B</w:t>
            </w:r>
            <w:r w:rsidR="004A6771" w:rsidRPr="001552C0">
              <w:rPr>
                <w:rFonts w:eastAsia="Times New Roman" w:cstheme="minorHAnsi"/>
                <w:bCs/>
                <w:iCs/>
                <w:noProof/>
              </w:rPr>
              <w:t>azinelor</w:t>
            </w:r>
            <w:r w:rsidR="007906D8" w:rsidRPr="001552C0">
              <w:rPr>
                <w:rFonts w:eastAsia="Times New Roman" w:cstheme="minorHAnsi"/>
                <w:bCs/>
                <w:iCs/>
                <w:noProof/>
              </w:rPr>
              <w:t xml:space="preserve"> Hidrografice</w:t>
            </w:r>
            <w:r w:rsidR="00304D35" w:rsidRPr="001552C0">
              <w:rPr>
                <w:rFonts w:eastAsia="Times New Roman" w:cstheme="minorHAnsi"/>
                <w:bCs/>
                <w:iCs/>
                <w:noProof/>
              </w:rPr>
              <w:t>.</w:t>
            </w:r>
            <w:r w:rsidRPr="001552C0">
              <w:rPr>
                <w:rFonts w:eastAsia="Times New Roman" w:cstheme="minorHAnsi"/>
                <w:bCs/>
                <w:iCs/>
                <w:noProof/>
              </w:rPr>
              <w:t xml:space="preserve"> Totodată</w:t>
            </w:r>
            <w:r w:rsidR="00453765" w:rsidRPr="001552C0">
              <w:rPr>
                <w:rFonts w:eastAsia="Times New Roman" w:cstheme="minorHAnsi"/>
                <w:bCs/>
                <w:iCs/>
                <w:noProof/>
              </w:rPr>
              <w:t xml:space="preserve">, </w:t>
            </w:r>
            <w:r w:rsidR="001F7339" w:rsidRPr="001552C0">
              <w:rPr>
                <w:rFonts w:eastAsia="Times New Roman" w:cstheme="minorHAnsi"/>
                <w:bCs/>
                <w:iCs/>
                <w:noProof/>
              </w:rPr>
              <w:t>î</w:t>
            </w:r>
            <w:r w:rsidR="00DA1936" w:rsidRPr="001552C0">
              <w:rPr>
                <w:rFonts w:eastAsia="Times New Roman" w:cstheme="minorHAnsi"/>
                <w:bCs/>
                <w:iCs/>
                <w:noProof/>
              </w:rPr>
              <w:t xml:space="preserve">n PODD </w:t>
            </w:r>
            <w:r w:rsidR="00395A0E" w:rsidRPr="001552C0">
              <w:rPr>
                <w:rFonts w:eastAsia="Times New Roman" w:cstheme="minorHAnsi"/>
                <w:bCs/>
                <w:iCs/>
                <w:noProof/>
              </w:rPr>
              <w:t>va continua politica de regionalizare în sector, dema</w:t>
            </w:r>
            <w:r w:rsidR="00453765" w:rsidRPr="001552C0">
              <w:rPr>
                <w:rFonts w:eastAsia="Times New Roman" w:cstheme="minorHAnsi"/>
                <w:bCs/>
                <w:iCs/>
                <w:noProof/>
              </w:rPr>
              <w:t xml:space="preserve">rată </w:t>
            </w:r>
            <w:r w:rsidR="007945E4" w:rsidRPr="001552C0">
              <w:rPr>
                <w:rFonts w:eastAsia="Times New Roman" w:cstheme="minorHAnsi"/>
                <w:bCs/>
                <w:iCs/>
                <w:noProof/>
              </w:rPr>
              <w:t>in perioadele de programare financiar</w:t>
            </w:r>
            <w:r w:rsidR="00280621" w:rsidRPr="001552C0">
              <w:rPr>
                <w:rFonts w:eastAsia="Times New Roman" w:cstheme="minorHAnsi"/>
                <w:bCs/>
                <w:iCs/>
                <w:noProof/>
              </w:rPr>
              <w:t>ă anterioare</w:t>
            </w:r>
            <w:r w:rsidR="007945E4" w:rsidRPr="001552C0">
              <w:rPr>
                <w:rFonts w:eastAsia="Times New Roman" w:cstheme="minorHAnsi"/>
                <w:bCs/>
                <w:iCs/>
                <w:noProof/>
              </w:rPr>
              <w:t>, av</w:t>
            </w:r>
            <w:r w:rsidR="00280621" w:rsidRPr="001552C0">
              <w:rPr>
                <w:rFonts w:eastAsia="Times New Roman" w:cstheme="minorHAnsi"/>
                <w:bCs/>
                <w:iCs/>
                <w:noProof/>
              </w:rPr>
              <w:t>â</w:t>
            </w:r>
            <w:r w:rsidR="007945E4" w:rsidRPr="001552C0">
              <w:rPr>
                <w:rFonts w:eastAsia="Times New Roman" w:cstheme="minorHAnsi"/>
                <w:bCs/>
                <w:iCs/>
                <w:noProof/>
              </w:rPr>
              <w:t xml:space="preserve">ndu-se </w:t>
            </w:r>
            <w:r w:rsidR="00280621" w:rsidRPr="001552C0">
              <w:rPr>
                <w:rFonts w:eastAsia="Times New Roman" w:cstheme="minorHAnsi"/>
                <w:bCs/>
                <w:iCs/>
                <w:noProof/>
              </w:rPr>
              <w:t>î</w:t>
            </w:r>
            <w:r w:rsidR="004A6771" w:rsidRPr="001552C0">
              <w:rPr>
                <w:rFonts w:eastAsia="Times New Roman" w:cstheme="minorHAnsi"/>
                <w:bCs/>
                <w:iCs/>
                <w:noProof/>
              </w:rPr>
              <w:t>n vedere</w:t>
            </w:r>
            <w:r w:rsidR="00395A0E" w:rsidRPr="001552C0">
              <w:rPr>
                <w:rFonts w:eastAsia="Times New Roman" w:cstheme="minorHAnsi"/>
                <w:bCs/>
                <w:iCs/>
                <w:noProof/>
              </w:rPr>
              <w:t xml:space="preserve"> implementarea proiectelor începute în perioada 20</w:t>
            </w:r>
            <w:r w:rsidR="00453765" w:rsidRPr="001552C0">
              <w:rPr>
                <w:rFonts w:eastAsia="Times New Roman" w:cstheme="minorHAnsi"/>
                <w:bCs/>
                <w:iCs/>
                <w:noProof/>
              </w:rPr>
              <w:t>14-2020</w:t>
            </w:r>
            <w:r w:rsidR="00395A0E" w:rsidRPr="001552C0">
              <w:rPr>
                <w:rFonts w:eastAsia="Times New Roman" w:cstheme="minorHAnsi"/>
                <w:bCs/>
                <w:iCs/>
                <w:noProof/>
              </w:rPr>
              <w:t xml:space="preserve"> a căror fi</w:t>
            </w:r>
            <w:r w:rsidR="00453765" w:rsidRPr="001552C0">
              <w:rPr>
                <w:rFonts w:eastAsia="Times New Roman" w:cstheme="minorHAnsi"/>
                <w:bCs/>
                <w:iCs/>
                <w:noProof/>
              </w:rPr>
              <w:t xml:space="preserve">nalizare se va realiza </w:t>
            </w:r>
            <w:r w:rsidR="005F4B4B" w:rsidRPr="001552C0">
              <w:rPr>
                <w:rFonts w:eastAsia="Times New Roman" w:cstheme="minorHAnsi"/>
                <w:bCs/>
                <w:iCs/>
                <w:noProof/>
              </w:rPr>
              <w:t>începând cu</w:t>
            </w:r>
            <w:r w:rsidR="00DA768E" w:rsidRPr="001552C0">
              <w:rPr>
                <w:rFonts w:eastAsia="Times New Roman" w:cstheme="minorHAnsi"/>
                <w:bCs/>
                <w:iCs/>
                <w:noProof/>
              </w:rPr>
              <w:t xml:space="preserve"> anul</w:t>
            </w:r>
            <w:r w:rsidR="005F4B4B" w:rsidRPr="001552C0">
              <w:rPr>
                <w:rFonts w:eastAsia="Times New Roman" w:cstheme="minorHAnsi"/>
                <w:bCs/>
                <w:iCs/>
                <w:noProof/>
              </w:rPr>
              <w:t xml:space="preserve"> </w:t>
            </w:r>
            <w:r w:rsidR="00453765" w:rsidRPr="001552C0">
              <w:rPr>
                <w:rFonts w:eastAsia="Times New Roman" w:cstheme="minorHAnsi"/>
                <w:bCs/>
                <w:iCs/>
                <w:noProof/>
              </w:rPr>
              <w:t>2023</w:t>
            </w:r>
            <w:r w:rsidR="007945E4" w:rsidRPr="001552C0">
              <w:rPr>
                <w:rFonts w:eastAsia="Times New Roman" w:cstheme="minorHAnsi"/>
                <w:bCs/>
                <w:iCs/>
                <w:noProof/>
              </w:rPr>
              <w:t>,</w:t>
            </w:r>
            <w:r w:rsidR="004A6771" w:rsidRPr="001552C0">
              <w:rPr>
                <w:rFonts w:eastAsia="Times New Roman" w:cstheme="minorHAnsi"/>
                <w:bCs/>
                <w:iCs/>
                <w:noProof/>
              </w:rPr>
              <w:t xml:space="preserve"> precum și </w:t>
            </w:r>
            <w:r w:rsidR="00395A0E" w:rsidRPr="001552C0">
              <w:rPr>
                <w:rFonts w:eastAsia="Times New Roman" w:cstheme="minorHAnsi"/>
                <w:bCs/>
                <w:iCs/>
                <w:noProof/>
              </w:rPr>
              <w:t xml:space="preserve">dezvoltarea de noi proiecte </w:t>
            </w:r>
            <w:r w:rsidR="00453765" w:rsidRPr="001552C0">
              <w:rPr>
                <w:rFonts w:eastAsia="Times New Roman" w:cstheme="minorHAnsi"/>
                <w:bCs/>
                <w:iCs/>
                <w:noProof/>
              </w:rPr>
              <w:t>care vizeaz</w:t>
            </w:r>
            <w:r w:rsidR="00280621" w:rsidRPr="001552C0">
              <w:rPr>
                <w:rFonts w:eastAsia="Times New Roman" w:cstheme="minorHAnsi"/>
                <w:bCs/>
                <w:iCs/>
                <w:noProof/>
              </w:rPr>
              <w:t>ă</w:t>
            </w:r>
            <w:r w:rsidR="00395A0E" w:rsidRPr="001552C0">
              <w:rPr>
                <w:rFonts w:eastAsia="Times New Roman" w:cstheme="minorHAnsi"/>
                <w:bCs/>
                <w:iCs/>
                <w:noProof/>
              </w:rPr>
              <w:t xml:space="preserve"> conformarea cu prevederile </w:t>
            </w:r>
            <w:r w:rsidR="00DA768E" w:rsidRPr="001552C0">
              <w:rPr>
                <w:rFonts w:eastAsia="Times New Roman" w:cstheme="minorHAnsi"/>
                <w:bCs/>
                <w:iCs/>
                <w:noProof/>
              </w:rPr>
              <w:t>Directivei privind epurarea apelor uzate urbane</w:t>
            </w:r>
            <w:r w:rsidR="003867DD">
              <w:rPr>
                <w:rFonts w:eastAsia="Times New Roman" w:cstheme="minorHAnsi"/>
                <w:bCs/>
                <w:iCs/>
                <w:noProof/>
              </w:rPr>
              <w:t xml:space="preserve"> și </w:t>
            </w:r>
            <w:r w:rsidR="00475E37">
              <w:rPr>
                <w:rFonts w:eastAsia="Times New Roman" w:cstheme="minorHAnsi"/>
                <w:bCs/>
                <w:iCs/>
                <w:noProof/>
              </w:rPr>
              <w:t xml:space="preserve">celei privind </w:t>
            </w:r>
            <w:r w:rsidR="003867DD">
              <w:rPr>
                <w:rFonts w:eastAsia="Times New Roman" w:cstheme="minorHAnsi"/>
                <w:bCs/>
                <w:iCs/>
                <w:noProof/>
              </w:rPr>
              <w:t>alimentarea cu apă</w:t>
            </w:r>
            <w:r w:rsidR="0007335B" w:rsidRPr="001552C0">
              <w:rPr>
                <w:rFonts w:eastAsia="Times New Roman" w:cstheme="minorHAnsi"/>
                <w:bCs/>
                <w:iCs/>
                <w:noProof/>
              </w:rPr>
              <w:t>.</w:t>
            </w:r>
          </w:p>
          <w:p w14:paraId="45D31362" w14:textId="460830AF" w:rsidR="006E0F7A" w:rsidRPr="001552C0" w:rsidRDefault="0007335B" w:rsidP="00395A0E">
            <w:pPr>
              <w:spacing w:before="120" w:after="120" w:line="240" w:lineRule="auto"/>
              <w:jc w:val="both"/>
              <w:rPr>
                <w:rFonts w:eastAsia="Times New Roman" w:cstheme="minorHAnsi"/>
                <w:bCs/>
                <w:iCs/>
                <w:noProof/>
              </w:rPr>
            </w:pPr>
            <w:r w:rsidRPr="001552C0">
              <w:rPr>
                <w:rFonts w:eastAsia="Times New Roman" w:cstheme="minorHAnsi"/>
                <w:bCs/>
                <w:iCs/>
                <w:noProof/>
              </w:rPr>
              <w:t>Referitor la alimentarea cu ap</w:t>
            </w:r>
            <w:r w:rsidR="00660FC0" w:rsidRPr="001552C0">
              <w:rPr>
                <w:rFonts w:eastAsia="Times New Roman" w:cstheme="minorHAnsi"/>
                <w:bCs/>
                <w:iCs/>
                <w:noProof/>
              </w:rPr>
              <w:t>ă</w:t>
            </w:r>
            <w:r w:rsidRPr="001552C0">
              <w:rPr>
                <w:rFonts w:eastAsia="Times New Roman" w:cstheme="minorHAnsi"/>
                <w:bCs/>
                <w:iCs/>
                <w:noProof/>
              </w:rPr>
              <w:t xml:space="preserve">, proiectele vor viza, </w:t>
            </w:r>
            <w:r w:rsidR="00660FC0" w:rsidRPr="001552C0">
              <w:rPr>
                <w:rFonts w:eastAsia="Times New Roman" w:cstheme="minorHAnsi"/>
                <w:bCs/>
                <w:iCs/>
                <w:noProof/>
              </w:rPr>
              <w:t>în</w:t>
            </w:r>
            <w:r w:rsidRPr="001552C0">
              <w:rPr>
                <w:rFonts w:eastAsia="Times New Roman" w:cstheme="minorHAnsi"/>
                <w:bCs/>
                <w:iCs/>
                <w:noProof/>
              </w:rPr>
              <w:t xml:space="preserve">  principal, asigurarea calit</w:t>
            </w:r>
            <w:r w:rsidR="00660FC0" w:rsidRPr="001552C0">
              <w:rPr>
                <w:rFonts w:eastAsia="Times New Roman" w:cstheme="minorHAnsi"/>
                <w:bCs/>
                <w:iCs/>
                <w:noProof/>
              </w:rPr>
              <w:t>ăț</w:t>
            </w:r>
            <w:r w:rsidRPr="001552C0">
              <w:rPr>
                <w:rFonts w:eastAsia="Times New Roman" w:cstheme="minorHAnsi"/>
                <w:bCs/>
                <w:iCs/>
                <w:noProof/>
              </w:rPr>
              <w:t xml:space="preserve">ii apei </w:t>
            </w:r>
            <w:r w:rsidR="00660FC0" w:rsidRPr="001552C0">
              <w:rPr>
                <w:rFonts w:eastAsia="Times New Roman" w:cstheme="minorHAnsi"/>
                <w:bCs/>
                <w:iCs/>
                <w:noProof/>
              </w:rPr>
              <w:t>ș</w:t>
            </w:r>
            <w:r w:rsidRPr="001552C0">
              <w:rPr>
                <w:rFonts w:eastAsia="Times New Roman" w:cstheme="minorHAnsi"/>
                <w:bCs/>
                <w:iCs/>
                <w:noProof/>
              </w:rPr>
              <w:t>i conectarea la sistemele de alimentare cu apa</w:t>
            </w:r>
            <w:r w:rsidR="006E0F7A" w:rsidRPr="001552C0">
              <w:rPr>
                <w:rFonts w:eastAsia="Times New Roman" w:cstheme="minorHAnsi"/>
                <w:bCs/>
                <w:iCs/>
                <w:noProof/>
              </w:rPr>
              <w:t xml:space="preserve"> in contextul proiectelor integrate regionale de apă și apă uzată. O pondere importantă o vor avea măsurile vizând reducerea pierderilor de apă, astfel cum a fost recomnadat atat de Raportul 12/2017 al ECA „Implementing the Drinking Water Directive: water quality and access to it improved in Bulgaria, Hungary and Romania, but investment needs remain substantial”, cat si de analizele efectuate la nivel national cu privire la masurile necesare pentru eficientizarea și asigurarea sustenabilității proiectelor</w:t>
            </w:r>
            <w:r w:rsidRPr="001552C0">
              <w:rPr>
                <w:rFonts w:eastAsia="Times New Roman" w:cstheme="minorHAnsi"/>
                <w:bCs/>
                <w:iCs/>
                <w:noProof/>
              </w:rPr>
              <w:t>.</w:t>
            </w:r>
            <w:r w:rsidR="006E0F7A" w:rsidRPr="001552C0">
              <w:rPr>
                <w:rFonts w:eastAsia="Times New Roman" w:cstheme="minorHAnsi"/>
                <w:bCs/>
                <w:iCs/>
                <w:noProof/>
              </w:rPr>
              <w:t xml:space="preserve"> </w:t>
            </w:r>
            <w:r w:rsidR="00DA768E" w:rsidRPr="001552C0">
              <w:rPr>
                <w:rFonts w:eastAsia="Times New Roman" w:cstheme="minorHAnsi"/>
                <w:bCs/>
                <w:iCs/>
                <w:noProof/>
              </w:rPr>
              <w:t xml:space="preserve">În plus se vor avea în vedere prevederile directivei care amendeaza Directiva privind calitatea apei destinate consumului uman legat în special de asigurarea accesului la apă.  </w:t>
            </w:r>
          </w:p>
          <w:p w14:paraId="6FCD2036" w14:textId="4D70583C" w:rsidR="00395A0E" w:rsidRPr="001552C0" w:rsidRDefault="00660FC0" w:rsidP="00395A0E">
            <w:pPr>
              <w:spacing w:before="120" w:after="120" w:line="240" w:lineRule="auto"/>
              <w:jc w:val="both"/>
              <w:rPr>
                <w:rFonts w:eastAsia="Times New Roman" w:cstheme="minorHAnsi"/>
                <w:bCs/>
                <w:iCs/>
                <w:noProof/>
              </w:rPr>
            </w:pPr>
            <w:r w:rsidRPr="001552C0">
              <w:rPr>
                <w:rFonts w:eastAsia="Times New Roman" w:cstheme="minorHAnsi"/>
                <w:bCs/>
                <w:iCs/>
                <w:noProof/>
              </w:rPr>
              <w:t>Î</w:t>
            </w:r>
            <w:r w:rsidR="00395A0E" w:rsidRPr="001552C0">
              <w:rPr>
                <w:rFonts w:eastAsia="Times New Roman" w:cstheme="minorHAnsi"/>
                <w:bCs/>
                <w:iCs/>
                <w:noProof/>
              </w:rPr>
              <w:t>n ceea ce priveşte colectarea şi epurarea apelor uzate urbane</w:t>
            </w:r>
            <w:r w:rsidR="0023405D" w:rsidRPr="001552C0">
              <w:rPr>
                <w:rFonts w:eastAsia="Times New Roman" w:cstheme="minorHAnsi"/>
                <w:bCs/>
                <w:iCs/>
                <w:noProof/>
              </w:rPr>
              <w:t xml:space="preserve">, </w:t>
            </w:r>
            <w:r w:rsidR="006E0F7A" w:rsidRPr="001552C0">
              <w:rPr>
                <w:rFonts w:eastAsia="Times New Roman" w:cstheme="minorHAnsi"/>
                <w:bCs/>
                <w:iCs/>
                <w:noProof/>
              </w:rPr>
              <w:t xml:space="preserve">finanțarea va fi acordată pentru </w:t>
            </w:r>
            <w:r w:rsidR="00395A0E" w:rsidRPr="001552C0">
              <w:rPr>
                <w:rFonts w:eastAsia="Times New Roman" w:cstheme="minorHAnsi"/>
                <w:bCs/>
                <w:iCs/>
                <w:noProof/>
              </w:rPr>
              <w:t xml:space="preserve"> aglomerările cu peste </w:t>
            </w:r>
            <w:r w:rsidR="00C03087" w:rsidRPr="001552C0">
              <w:rPr>
                <w:rFonts w:eastAsia="Times New Roman" w:cstheme="minorHAnsi"/>
                <w:bCs/>
                <w:iCs/>
                <w:noProof/>
              </w:rPr>
              <w:t>2000 l.e</w:t>
            </w:r>
            <w:r w:rsidR="00395A0E" w:rsidRPr="001552C0">
              <w:rPr>
                <w:rFonts w:eastAsia="Times New Roman" w:cstheme="minorHAnsi"/>
                <w:bCs/>
                <w:iCs/>
                <w:noProof/>
              </w:rPr>
              <w:t>.</w:t>
            </w:r>
            <w:r w:rsidR="00DA768E" w:rsidRPr="001552C0">
              <w:t xml:space="preserve"> </w:t>
            </w:r>
            <w:r w:rsidR="00DA768E" w:rsidRPr="001552C0">
              <w:rPr>
                <w:rFonts w:eastAsia="Times New Roman" w:cstheme="minorHAnsi"/>
                <w:bCs/>
                <w:iCs/>
                <w:noProof/>
              </w:rPr>
              <w:t>dând prioritate finalizăriii investițiilor în aglomerările peste 10.000 de locuitori echivalenți,</w:t>
            </w:r>
            <w:r w:rsidR="006E0F7A" w:rsidRPr="001552C0">
              <w:rPr>
                <w:rFonts w:eastAsia="Times New Roman" w:cstheme="minorHAnsi"/>
                <w:bCs/>
                <w:iCs/>
                <w:noProof/>
              </w:rPr>
              <w:t xml:space="preserve"> </w:t>
            </w:r>
            <w:r w:rsidR="00DA1936" w:rsidRPr="001552C0">
              <w:rPr>
                <w:rFonts w:eastAsia="Times New Roman" w:cstheme="minorHAnsi"/>
                <w:bCs/>
                <w:iCs/>
                <w:noProof/>
              </w:rPr>
              <w:t xml:space="preserve">astfel </w:t>
            </w:r>
            <w:r w:rsidR="00280621" w:rsidRPr="001552C0">
              <w:rPr>
                <w:rFonts w:eastAsia="Times New Roman" w:cstheme="minorHAnsi"/>
                <w:bCs/>
                <w:iCs/>
                <w:noProof/>
              </w:rPr>
              <w:t>î</w:t>
            </w:r>
            <w:r w:rsidR="00DA1936" w:rsidRPr="001552C0">
              <w:rPr>
                <w:rFonts w:eastAsia="Times New Roman" w:cstheme="minorHAnsi"/>
                <w:bCs/>
                <w:iCs/>
                <w:noProof/>
              </w:rPr>
              <w:t>nc</w:t>
            </w:r>
            <w:r w:rsidR="00280621" w:rsidRPr="001552C0">
              <w:rPr>
                <w:rFonts w:eastAsia="Times New Roman" w:cstheme="minorHAnsi"/>
                <w:bCs/>
                <w:iCs/>
                <w:noProof/>
              </w:rPr>
              <w:t>â</w:t>
            </w:r>
            <w:r w:rsidR="00DA1936" w:rsidRPr="001552C0">
              <w:rPr>
                <w:rFonts w:eastAsia="Times New Roman" w:cstheme="minorHAnsi"/>
                <w:bCs/>
                <w:iCs/>
                <w:noProof/>
              </w:rPr>
              <w:t>t s</w:t>
            </w:r>
            <w:r w:rsidR="00280621" w:rsidRPr="001552C0">
              <w:rPr>
                <w:rFonts w:eastAsia="Times New Roman" w:cstheme="minorHAnsi"/>
                <w:bCs/>
                <w:iCs/>
                <w:noProof/>
              </w:rPr>
              <w:t>ă</w:t>
            </w:r>
            <w:r w:rsidR="00DA1936" w:rsidRPr="001552C0">
              <w:rPr>
                <w:rFonts w:eastAsia="Times New Roman" w:cstheme="minorHAnsi"/>
                <w:bCs/>
                <w:iCs/>
                <w:noProof/>
              </w:rPr>
              <w:t xml:space="preserve"> fie evitate </w:t>
            </w:r>
            <w:r w:rsidR="000356D2" w:rsidRPr="001552C0">
              <w:rPr>
                <w:rFonts w:eastAsia="Times New Roman" w:cstheme="minorHAnsi"/>
                <w:bCs/>
                <w:iCs/>
                <w:noProof/>
              </w:rPr>
              <w:t>penalitățile</w:t>
            </w:r>
            <w:r w:rsidR="00DA1936" w:rsidRPr="001552C0">
              <w:rPr>
                <w:rFonts w:eastAsia="Times New Roman" w:cstheme="minorHAnsi"/>
                <w:bCs/>
                <w:iCs/>
                <w:noProof/>
              </w:rPr>
              <w:t xml:space="preserve"> generate de infringement</w:t>
            </w:r>
            <w:r w:rsidR="006E0F7A" w:rsidRPr="001552C0">
              <w:rPr>
                <w:rFonts w:eastAsia="Times New Roman" w:cstheme="minorHAnsi"/>
                <w:bCs/>
                <w:iCs/>
                <w:noProof/>
              </w:rPr>
              <w:t xml:space="preserve"> și să nu fie afectat procesul de regionalizare care reprezintă pilonul principal de susținere a procesului investițional în sector</w:t>
            </w:r>
            <w:r w:rsidR="00395A0E" w:rsidRPr="001552C0">
              <w:rPr>
                <w:rFonts w:eastAsia="Times New Roman" w:cstheme="minorHAnsi"/>
                <w:bCs/>
                <w:iCs/>
                <w:noProof/>
              </w:rPr>
              <w:t>.</w:t>
            </w:r>
            <w:r w:rsidR="004A6771" w:rsidRPr="001552C0">
              <w:rPr>
                <w:rFonts w:eastAsia="Times New Roman" w:cstheme="minorHAnsi"/>
                <w:bCs/>
                <w:iCs/>
                <w:noProof/>
              </w:rPr>
              <w:t xml:space="preserve"> Totodat</w:t>
            </w:r>
            <w:r w:rsidR="00280621" w:rsidRPr="001552C0">
              <w:rPr>
                <w:rFonts w:eastAsia="Times New Roman" w:cstheme="minorHAnsi"/>
                <w:bCs/>
                <w:iCs/>
                <w:noProof/>
              </w:rPr>
              <w:t>ă</w:t>
            </w:r>
            <w:r w:rsidR="004A6771" w:rsidRPr="001552C0">
              <w:rPr>
                <w:rFonts w:eastAsia="Times New Roman" w:cstheme="minorHAnsi"/>
                <w:bCs/>
                <w:iCs/>
                <w:noProof/>
              </w:rPr>
              <w:t>,</w:t>
            </w:r>
            <w:r w:rsidR="0007335B" w:rsidRPr="001552C0">
              <w:rPr>
                <w:rFonts w:eastAsia="Times New Roman" w:cstheme="minorHAnsi"/>
                <w:bCs/>
                <w:iCs/>
                <w:noProof/>
              </w:rPr>
              <w:t xml:space="preserve"> proiectele</w:t>
            </w:r>
            <w:r w:rsidR="00F82818" w:rsidRPr="001552C0">
              <w:rPr>
                <w:rFonts w:eastAsia="Times New Roman" w:cstheme="minorHAnsi"/>
                <w:bCs/>
                <w:iCs/>
                <w:noProof/>
              </w:rPr>
              <w:t xml:space="preserve"> vor avea ca </w:t>
            </w:r>
            <w:r w:rsidR="004A6771" w:rsidRPr="001552C0">
              <w:rPr>
                <w:rFonts w:eastAsia="Times New Roman" w:cstheme="minorHAnsi"/>
                <w:bCs/>
                <w:iCs/>
                <w:noProof/>
              </w:rPr>
              <w:t>obiectiv</w:t>
            </w:r>
            <w:r w:rsidR="00F82818" w:rsidRPr="001552C0">
              <w:rPr>
                <w:rFonts w:eastAsia="Times New Roman" w:cstheme="minorHAnsi"/>
                <w:bCs/>
                <w:iCs/>
                <w:noProof/>
              </w:rPr>
              <w:t xml:space="preserve"> </w:t>
            </w:r>
            <w:r w:rsidR="00E27DED" w:rsidRPr="001552C0">
              <w:rPr>
                <w:rFonts w:eastAsia="Times New Roman" w:cstheme="minorHAnsi"/>
                <w:bCs/>
                <w:iCs/>
                <w:noProof/>
              </w:rPr>
              <w:t>ș</w:t>
            </w:r>
            <w:r w:rsidR="00F82818" w:rsidRPr="001552C0">
              <w:rPr>
                <w:rFonts w:eastAsia="Times New Roman" w:cstheme="minorHAnsi"/>
                <w:bCs/>
                <w:iCs/>
                <w:noProof/>
              </w:rPr>
              <w:t>i</w:t>
            </w:r>
            <w:r w:rsidR="004A6771" w:rsidRPr="001552C0">
              <w:rPr>
                <w:rFonts w:eastAsia="Times New Roman" w:cstheme="minorHAnsi"/>
                <w:bCs/>
                <w:iCs/>
                <w:noProof/>
              </w:rPr>
              <w:t xml:space="preserve"> </w:t>
            </w:r>
            <w:r w:rsidR="00E27DED" w:rsidRPr="001552C0">
              <w:rPr>
                <w:rFonts w:eastAsia="Times New Roman" w:cstheme="minorHAnsi"/>
                <w:bCs/>
                <w:iCs/>
                <w:noProof/>
              </w:rPr>
              <w:t xml:space="preserve">asigurarea facilităților de </w:t>
            </w:r>
            <w:r w:rsidR="004A6771" w:rsidRPr="001552C0">
              <w:rPr>
                <w:rFonts w:eastAsia="Times New Roman" w:cstheme="minorHAnsi"/>
                <w:bCs/>
                <w:iCs/>
                <w:noProof/>
              </w:rPr>
              <w:t>management</w:t>
            </w:r>
            <w:r w:rsidR="00E27DED" w:rsidRPr="001552C0">
              <w:rPr>
                <w:rFonts w:eastAsia="Times New Roman" w:cstheme="minorHAnsi"/>
                <w:bCs/>
                <w:iCs/>
                <w:noProof/>
              </w:rPr>
              <w:t xml:space="preserve"> a</w:t>
            </w:r>
            <w:r w:rsidR="004A6771" w:rsidRPr="001552C0">
              <w:rPr>
                <w:rFonts w:eastAsia="Times New Roman" w:cstheme="minorHAnsi"/>
                <w:bCs/>
                <w:iCs/>
                <w:noProof/>
              </w:rPr>
              <w:t>l n</w:t>
            </w:r>
            <w:r w:rsidR="00280621" w:rsidRPr="001552C0">
              <w:rPr>
                <w:rFonts w:eastAsia="Times New Roman" w:cstheme="minorHAnsi"/>
                <w:bCs/>
                <w:iCs/>
                <w:noProof/>
              </w:rPr>
              <w:t>ă</w:t>
            </w:r>
            <w:r w:rsidR="004A6771" w:rsidRPr="001552C0">
              <w:rPr>
                <w:rFonts w:eastAsia="Times New Roman" w:cstheme="minorHAnsi"/>
                <w:bCs/>
                <w:iCs/>
                <w:noProof/>
              </w:rPr>
              <w:t>molului rezultat de la sta</w:t>
            </w:r>
            <w:r w:rsidR="00E27DED" w:rsidRPr="001552C0">
              <w:rPr>
                <w:rFonts w:eastAsia="Times New Roman" w:cstheme="minorHAnsi"/>
                <w:bCs/>
                <w:iCs/>
                <w:noProof/>
              </w:rPr>
              <w:t>ț</w:t>
            </w:r>
            <w:r w:rsidR="004A6771" w:rsidRPr="001552C0">
              <w:rPr>
                <w:rFonts w:eastAsia="Times New Roman" w:cstheme="minorHAnsi"/>
                <w:bCs/>
                <w:iCs/>
                <w:noProof/>
              </w:rPr>
              <w:t>iile de epurare.</w:t>
            </w:r>
            <w:r w:rsidR="0007335B" w:rsidRPr="001552C0">
              <w:rPr>
                <w:rFonts w:eastAsia="Times New Roman" w:cstheme="minorHAnsi"/>
                <w:bCs/>
                <w:iCs/>
                <w:noProof/>
              </w:rPr>
              <w:t xml:space="preserve"> </w:t>
            </w:r>
            <w:r w:rsidR="00DA768E" w:rsidRPr="001552C0">
              <w:rPr>
                <w:rFonts w:eastAsia="Times New Roman" w:cstheme="minorHAnsi"/>
                <w:bCs/>
                <w:iCs/>
                <w:noProof/>
              </w:rPr>
              <w:t>Pentru  sectorul de apă și apă uzată s</w:t>
            </w:r>
            <w:r w:rsidR="0007335B" w:rsidRPr="001552C0">
              <w:rPr>
                <w:rFonts w:eastAsia="Times New Roman" w:cstheme="minorHAnsi"/>
                <w:bCs/>
                <w:iCs/>
                <w:noProof/>
              </w:rPr>
              <w:t>e va acorda prioritate proiectelor care vizeaz</w:t>
            </w:r>
            <w:r w:rsidR="00E27DED" w:rsidRPr="001552C0">
              <w:rPr>
                <w:rFonts w:eastAsia="Times New Roman" w:cstheme="minorHAnsi"/>
                <w:bCs/>
                <w:iCs/>
                <w:noProof/>
              </w:rPr>
              <w:t>ă</w:t>
            </w:r>
            <w:r w:rsidR="0007335B" w:rsidRPr="001552C0">
              <w:rPr>
                <w:rFonts w:eastAsia="Times New Roman" w:cstheme="minorHAnsi"/>
                <w:bCs/>
                <w:iCs/>
                <w:noProof/>
              </w:rPr>
              <w:t xml:space="preserve"> colectarea </w:t>
            </w:r>
            <w:r w:rsidR="00E27DED" w:rsidRPr="001552C0">
              <w:rPr>
                <w:rFonts w:eastAsia="Times New Roman" w:cstheme="minorHAnsi"/>
                <w:bCs/>
                <w:iCs/>
                <w:noProof/>
              </w:rPr>
              <w:t>ș</w:t>
            </w:r>
            <w:r w:rsidR="0007335B" w:rsidRPr="001552C0">
              <w:rPr>
                <w:rFonts w:eastAsia="Times New Roman" w:cstheme="minorHAnsi"/>
                <w:bCs/>
                <w:iCs/>
                <w:noProof/>
              </w:rPr>
              <w:t>i epurarea apelor uzate</w:t>
            </w:r>
            <w:r w:rsidR="006E0F7A" w:rsidRPr="001552C0">
              <w:rPr>
                <w:rFonts w:eastAsia="Times New Roman" w:cstheme="minorHAnsi"/>
                <w:bCs/>
                <w:iCs/>
                <w:noProof/>
              </w:rPr>
              <w:t>,</w:t>
            </w:r>
            <w:r w:rsidR="00450152" w:rsidRPr="001552C0">
              <w:rPr>
                <w:rFonts w:eastAsia="Times New Roman" w:cstheme="minorHAnsi"/>
                <w:bCs/>
                <w:iCs/>
                <w:noProof/>
              </w:rPr>
              <w:t xml:space="preserve"> </w:t>
            </w:r>
            <w:r w:rsidR="006E0F7A" w:rsidRPr="001552C0">
              <w:rPr>
                <w:rFonts w:eastAsia="Times New Roman" w:cstheme="minorHAnsi"/>
                <w:bCs/>
                <w:iCs/>
                <w:noProof/>
              </w:rPr>
              <w:t>fără a fi afectat însă principiul abordarii integrate al investițiilor în sector</w:t>
            </w:r>
            <w:r w:rsidR="0007335B" w:rsidRPr="001552C0">
              <w:rPr>
                <w:rFonts w:eastAsia="Times New Roman" w:cstheme="minorHAnsi"/>
                <w:bCs/>
                <w:iCs/>
                <w:noProof/>
              </w:rPr>
              <w:t>.</w:t>
            </w:r>
          </w:p>
          <w:p w14:paraId="7D62063E" w14:textId="0D616259" w:rsidR="00AE0470" w:rsidRPr="001552C0" w:rsidRDefault="00532960" w:rsidP="00AE0470">
            <w:pPr>
              <w:spacing w:before="120" w:after="120" w:line="240" w:lineRule="auto"/>
              <w:jc w:val="both"/>
              <w:rPr>
                <w:rFonts w:eastAsia="Times New Roman" w:cstheme="minorHAnsi"/>
                <w:b/>
                <w:bCs/>
                <w:i/>
                <w:iCs/>
                <w:noProof/>
              </w:rPr>
            </w:pPr>
            <w:r w:rsidRPr="001552C0">
              <w:rPr>
                <w:rFonts w:eastAsia="Times New Roman" w:cstheme="minorHAnsi"/>
                <w:b/>
                <w:bCs/>
                <w:i/>
                <w:iCs/>
                <w:noProof/>
              </w:rPr>
              <w:t>Necesitatea a</w:t>
            </w:r>
            <w:r w:rsidR="00AE0470" w:rsidRPr="001552C0">
              <w:rPr>
                <w:rFonts w:eastAsia="Times New Roman" w:cstheme="minorHAnsi"/>
                <w:b/>
                <w:bCs/>
                <w:i/>
                <w:iCs/>
                <w:noProof/>
              </w:rPr>
              <w:t>cceler</w:t>
            </w:r>
            <w:r w:rsidRPr="001552C0">
              <w:rPr>
                <w:rFonts w:eastAsia="Times New Roman" w:cstheme="minorHAnsi"/>
                <w:b/>
                <w:bCs/>
                <w:i/>
                <w:iCs/>
                <w:noProof/>
              </w:rPr>
              <w:t>ării</w:t>
            </w:r>
            <w:r w:rsidR="00AE0470" w:rsidRPr="001552C0">
              <w:rPr>
                <w:rFonts w:eastAsia="Times New Roman" w:cstheme="minorHAnsi"/>
                <w:b/>
                <w:bCs/>
                <w:i/>
                <w:iCs/>
                <w:noProof/>
              </w:rPr>
              <w:t xml:space="preserve"> tranziției spre economia circulară printr-o gestionare eficientă a deșeurilor</w:t>
            </w:r>
          </w:p>
          <w:p w14:paraId="3496695E" w14:textId="77777777" w:rsidR="00AE0470" w:rsidRPr="001552C0" w:rsidRDefault="00AE0470" w:rsidP="00AE0470">
            <w:pPr>
              <w:spacing w:before="120" w:after="120" w:line="240" w:lineRule="auto"/>
              <w:jc w:val="both"/>
              <w:rPr>
                <w:rFonts w:eastAsia="Times New Roman" w:cstheme="minorHAnsi"/>
                <w:iCs/>
                <w:noProof/>
              </w:rPr>
            </w:pPr>
            <w:r w:rsidRPr="001552C0">
              <w:rPr>
                <w:rFonts w:eastAsia="Times New Roman" w:cstheme="minorHAnsi"/>
                <w:iCs/>
                <w:noProof/>
              </w:rPr>
              <w:t xml:space="preserve">La nivel european a fost revizuită legislaţia privind managementul deșeurilor, fiind adoptat </w:t>
            </w:r>
            <w:r w:rsidRPr="001552C0">
              <w:rPr>
                <w:rFonts w:eastAsia="Times New Roman" w:cstheme="minorHAnsi"/>
                <w:i/>
                <w:iCs/>
                <w:noProof/>
              </w:rPr>
              <w:t>Pachetul privind economia circulară</w:t>
            </w:r>
            <w:r w:rsidRPr="001552C0">
              <w:rPr>
                <w:rFonts w:eastAsia="Times New Roman" w:cstheme="minorHAnsi"/>
                <w:iCs/>
                <w:noProof/>
              </w:rPr>
              <w:t xml:space="preserve"> prin care statele membre sunt obligate să ia măsuri specifice pentru a susține prevenirea, pregătirea pentru reutilizare și reciclarea deșeurilor în detrimentul depozitării și incinerării acestora. </w:t>
            </w:r>
          </w:p>
          <w:p w14:paraId="095503E8" w14:textId="2430EEC2" w:rsidR="00AE0470" w:rsidRPr="001552C0" w:rsidRDefault="00AE0470" w:rsidP="00AE0470">
            <w:pPr>
              <w:spacing w:before="120" w:after="120" w:line="240" w:lineRule="auto"/>
              <w:jc w:val="both"/>
              <w:rPr>
                <w:rFonts w:eastAsia="Times New Roman" w:cstheme="minorHAnsi"/>
                <w:iCs/>
                <w:noProof/>
              </w:rPr>
            </w:pPr>
            <w:r w:rsidRPr="001552C0">
              <w:rPr>
                <w:rFonts w:eastAsia="Times New Roman" w:cstheme="minorHAnsi"/>
                <w:iCs/>
                <w:noProof/>
              </w:rPr>
              <w:t xml:space="preserve">Politica națională în domeniul gestionării deșeurilor se subscrie politicii europene în materie de prevenire a generării deșeurilor și urmărește reducerea consumului de resurse și punerea în practică a ierarhiei deșeurilor. </w:t>
            </w:r>
            <w:r w:rsidR="006A7F3D" w:rsidRPr="001552C0">
              <w:rPr>
                <w:rFonts w:eastAsia="Times New Roman" w:cstheme="minorHAnsi"/>
                <w:iCs/>
                <w:noProof/>
              </w:rPr>
              <w:t>I</w:t>
            </w:r>
            <w:r w:rsidRPr="001552C0">
              <w:rPr>
                <w:rFonts w:eastAsia="Times New Roman" w:cstheme="minorHAnsi"/>
                <w:iCs/>
                <w:noProof/>
              </w:rPr>
              <w:t>nvestițiile PODD</w:t>
            </w:r>
            <w:r w:rsidR="006A7F3D" w:rsidRPr="001552C0">
              <w:t xml:space="preserve"> </w:t>
            </w:r>
            <w:r w:rsidR="006A7F3D" w:rsidRPr="001552C0">
              <w:rPr>
                <w:rFonts w:eastAsia="Times New Roman" w:cstheme="minorHAnsi"/>
                <w:iCs/>
                <w:noProof/>
              </w:rPr>
              <w:t>vizează consolidarea economiei circulare, prin prevenirea generării de deșeuri și reducerea acestora, utilizarea eficientă a resurselor, reutilizare, reparare și reciclare</w:t>
            </w:r>
            <w:r w:rsidRPr="001552C0">
              <w:rPr>
                <w:rFonts w:eastAsia="Times New Roman" w:cstheme="minorHAnsi"/>
                <w:iCs/>
                <w:noProof/>
              </w:rPr>
              <w:t xml:space="preserve">  sau alte operaţiuni, precum și închiderea depozitelor neconforme, astfel încât valoarea produselor, a materialelor și a resurselor să fie menținută în economie cât mai mult timp posibil. </w:t>
            </w:r>
          </w:p>
          <w:p w14:paraId="1D839D12" w14:textId="77777777" w:rsidR="00AE0470" w:rsidRPr="001552C0" w:rsidRDefault="00AE0470" w:rsidP="00AE0470">
            <w:pPr>
              <w:spacing w:before="120" w:after="120" w:line="240" w:lineRule="auto"/>
              <w:jc w:val="both"/>
              <w:rPr>
                <w:rFonts w:eastAsia="Times New Roman" w:cstheme="minorHAnsi"/>
                <w:iCs/>
                <w:noProof/>
              </w:rPr>
            </w:pPr>
            <w:r w:rsidRPr="001552C0">
              <w:rPr>
                <w:rFonts w:eastAsia="Times New Roman" w:cstheme="minorHAnsi"/>
                <w:iCs/>
                <w:noProof/>
              </w:rPr>
              <w:t xml:space="preserve">Scopul acestor investiții îl reprezintă contribuția la îndeplinirea tuturor obiectivelor prevazute în legislația națională și a celor din Pachetul privind economia circulară, în principal  pregătirea pentru reutilizare şi reciclarea a 65% din masa deșeurilor municipale și reducerea cantității de deșeuri municipale depozitate până la minim 10% din cantitatea totală de deșeuri municipale depozitate până in 2035. </w:t>
            </w:r>
          </w:p>
          <w:p w14:paraId="6BD280B1" w14:textId="41F62B28" w:rsidR="008E00CD" w:rsidRPr="001552C0" w:rsidRDefault="00205444" w:rsidP="00AE0470">
            <w:pPr>
              <w:spacing w:before="120" w:after="120" w:line="240" w:lineRule="auto"/>
              <w:jc w:val="both"/>
              <w:rPr>
                <w:rFonts w:eastAsia="Times New Roman" w:cstheme="minorHAnsi"/>
                <w:iCs/>
                <w:noProof/>
              </w:rPr>
            </w:pPr>
            <w:r w:rsidRPr="001552C0">
              <w:rPr>
                <w:rFonts w:eastAsia="Times New Roman" w:cstheme="minorHAnsi"/>
                <w:iCs/>
                <w:noProof/>
              </w:rPr>
              <w:t>Totodată, investițiile în acest sector au în vedere aspectele identificate în Raportul de Țară din 2020, în care se precizează că gestionarea deșeurilor continuă să reprezinte o provocare majoră pentru România, înregistrându-se în continuare o rată scăzută de reciclare a deșeurilor municipale (14 %) și rate ridicate de depozitare a deșeurilor (70 %).</w:t>
            </w:r>
            <w:r w:rsidR="00A44DAD" w:rsidRPr="001552C0">
              <w:rPr>
                <w:rFonts w:eastAsia="Times New Roman" w:cstheme="minorHAnsi"/>
                <w:iCs/>
                <w:noProof/>
              </w:rPr>
              <w:t xml:space="preserve"> </w:t>
            </w:r>
            <w:r w:rsidR="008E00CD" w:rsidRPr="001552C0">
              <w:rPr>
                <w:rFonts w:eastAsia="Times New Roman" w:cstheme="minorHAnsi"/>
                <w:iCs/>
                <w:noProof/>
              </w:rPr>
              <w:t xml:space="preserve">În plus, ratele de reciclare stagnează din 2013, în timp ce rata de incinerare a crescut ușor la 4 %. În 2017, cantitatea de deșeuri municipale generate pe cap </w:t>
            </w:r>
            <w:r w:rsidR="008E00CD" w:rsidRPr="001552C0">
              <w:rPr>
                <w:rFonts w:eastAsia="Times New Roman" w:cstheme="minorHAnsi"/>
                <w:iCs/>
                <w:noProof/>
              </w:rPr>
              <w:lastRenderedPageBreak/>
              <w:t>de locuitor în România continua să se situeze cu mult sub media UE, de aproximativ 487 kg</w:t>
            </w:r>
            <w:r w:rsidR="005A5EC8">
              <w:rPr>
                <w:rFonts w:eastAsia="Times New Roman" w:cstheme="minorHAnsi"/>
                <w:iCs/>
                <w:noProof/>
              </w:rPr>
              <w:t>/locuitor</w:t>
            </w:r>
            <w:r w:rsidR="008E00CD" w:rsidRPr="001552C0">
              <w:rPr>
                <w:rFonts w:eastAsia="Times New Roman" w:cstheme="minorHAnsi"/>
                <w:iCs/>
                <w:noProof/>
              </w:rPr>
              <w:t xml:space="preserve">. </w:t>
            </w:r>
            <w:r w:rsidR="00473849" w:rsidRPr="001552C0">
              <w:rPr>
                <w:rFonts w:eastAsia="Times New Roman" w:cstheme="minorHAnsi"/>
                <w:iCs/>
                <w:noProof/>
              </w:rPr>
              <w:t xml:space="preserve">De asemenea, în </w:t>
            </w:r>
            <w:r w:rsidR="008E00CD" w:rsidRPr="001552C0">
              <w:rPr>
                <w:rFonts w:eastAsia="Times New Roman" w:cstheme="minorHAnsi"/>
                <w:iCs/>
                <w:noProof/>
              </w:rPr>
              <w:t xml:space="preserve"> </w:t>
            </w:r>
            <w:r w:rsidR="00473849" w:rsidRPr="001552C0">
              <w:rPr>
                <w:rFonts w:eastAsia="Times New Roman" w:cstheme="minorHAnsi"/>
                <w:iCs/>
                <w:noProof/>
              </w:rPr>
              <w:t>R</w:t>
            </w:r>
            <w:r w:rsidR="008E00CD" w:rsidRPr="001552C0">
              <w:rPr>
                <w:rFonts w:eastAsia="Times New Roman" w:cstheme="minorHAnsi"/>
                <w:iCs/>
                <w:noProof/>
              </w:rPr>
              <w:t>aportul de alertă timpurie pentru România</w:t>
            </w:r>
            <w:r w:rsidR="005A5EC8" w:rsidRPr="001552C0">
              <w:rPr>
                <w:rFonts w:eastAsia="Times New Roman" w:cstheme="minorHAnsi"/>
                <w:iCs/>
                <w:noProof/>
              </w:rPr>
              <w:t xml:space="preserve"> </w:t>
            </w:r>
            <w:r w:rsidR="005A5EC8">
              <w:rPr>
                <w:rFonts w:eastAsia="Times New Roman" w:cstheme="minorHAnsi"/>
                <w:iCs/>
                <w:noProof/>
              </w:rPr>
              <w:t xml:space="preserve">se menționează </w:t>
            </w:r>
            <w:r w:rsidR="008E00CD" w:rsidRPr="001552C0">
              <w:rPr>
                <w:rFonts w:eastAsia="Times New Roman" w:cstheme="minorHAnsi"/>
                <w:iCs/>
                <w:noProof/>
              </w:rPr>
              <w:t>că există riscul ca țara să nu atingă obiectivul privind pregătirea pentru reutilizarea/reciclarea deșeurilor municipale stabilit pentru 2020.</w:t>
            </w:r>
          </w:p>
          <w:p w14:paraId="48A211F7" w14:textId="2C4DD2B7" w:rsidR="00734448" w:rsidRPr="001552C0" w:rsidRDefault="003E0F72" w:rsidP="00734448">
            <w:pPr>
              <w:spacing w:before="120" w:after="120" w:line="240" w:lineRule="auto"/>
              <w:jc w:val="both"/>
              <w:rPr>
                <w:rFonts w:eastAsia="Times New Roman" w:cstheme="minorHAnsi"/>
                <w:b/>
                <w:bCs/>
                <w:i/>
                <w:iCs/>
                <w:noProof/>
              </w:rPr>
            </w:pPr>
            <w:r w:rsidRPr="001552C0">
              <w:rPr>
                <w:rFonts w:eastAsia="Times New Roman" w:cstheme="minorHAnsi"/>
                <w:b/>
                <w:bCs/>
                <w:i/>
                <w:iCs/>
                <w:noProof/>
              </w:rPr>
              <w:t xml:space="preserve">Nivelul </w:t>
            </w:r>
            <w:r w:rsidR="0098504F" w:rsidRPr="001552C0">
              <w:rPr>
                <w:rFonts w:eastAsia="Times New Roman" w:cstheme="minorHAnsi"/>
                <w:b/>
                <w:bCs/>
                <w:i/>
                <w:iCs/>
                <w:noProof/>
              </w:rPr>
              <w:t xml:space="preserve">limitat de </w:t>
            </w:r>
            <w:r w:rsidR="00734448" w:rsidRPr="001552C0">
              <w:rPr>
                <w:rFonts w:eastAsia="Times New Roman" w:cstheme="minorHAnsi"/>
                <w:b/>
                <w:bCs/>
                <w:i/>
                <w:iCs/>
                <w:noProof/>
              </w:rPr>
              <w:t>conservare</w:t>
            </w:r>
            <w:r w:rsidR="0098504F" w:rsidRPr="001552C0">
              <w:rPr>
                <w:rFonts w:eastAsia="Times New Roman" w:cstheme="minorHAnsi"/>
                <w:b/>
                <w:bCs/>
                <w:i/>
                <w:iCs/>
                <w:noProof/>
              </w:rPr>
              <w:t xml:space="preserve"> </w:t>
            </w:r>
            <w:r w:rsidR="00734448" w:rsidRPr="001552C0">
              <w:rPr>
                <w:rFonts w:eastAsia="Times New Roman" w:cstheme="minorHAnsi"/>
                <w:b/>
                <w:bCs/>
                <w:i/>
                <w:iCs/>
                <w:noProof/>
              </w:rPr>
              <w:t>a biodiversităţii</w:t>
            </w:r>
            <w:r w:rsidR="0098504F" w:rsidRPr="001552C0">
              <w:rPr>
                <w:rFonts w:eastAsia="Times New Roman" w:cstheme="minorHAnsi"/>
                <w:b/>
                <w:bCs/>
                <w:i/>
                <w:iCs/>
                <w:noProof/>
              </w:rPr>
              <w:t xml:space="preserve"> în ariile Natura 2000</w:t>
            </w:r>
            <w:r w:rsidR="000768FA" w:rsidRPr="001552C0">
              <w:rPr>
                <w:rFonts w:eastAsia="Times New Roman" w:cstheme="minorHAnsi"/>
                <w:b/>
                <w:bCs/>
                <w:i/>
                <w:iCs/>
                <w:noProof/>
              </w:rPr>
              <w:t xml:space="preserve"> si de asigurare a managementului adecvat pentru menţinerea sau refacerea stării favorabile de conservare a habitatelor şi speciilor</w:t>
            </w:r>
          </w:p>
          <w:p w14:paraId="0F1B7603" w14:textId="4DDB9657" w:rsidR="00501E11" w:rsidRPr="001552C0" w:rsidRDefault="000768FA" w:rsidP="00F97BED">
            <w:pPr>
              <w:spacing w:before="120" w:after="120" w:line="240" w:lineRule="auto"/>
              <w:jc w:val="both"/>
              <w:rPr>
                <w:rFonts w:eastAsia="Times New Roman" w:cstheme="minorHAnsi"/>
                <w:iCs/>
                <w:noProof/>
              </w:rPr>
            </w:pPr>
            <w:r w:rsidRPr="001552C0">
              <w:rPr>
                <w:rFonts w:eastAsia="Times New Roman" w:cstheme="minorHAnsi"/>
                <w:iCs/>
                <w:noProof/>
              </w:rPr>
              <w:t xml:space="preserve">În România, ariile naturale protejate sunt clasificate în arii protejate de interes naţional (Parcuri Naţionale, Parcuri Naturale, rezervaţii, etc.) şi arii protejate de interes internaţional (situri Natura 2000, situri Ramsar, etc.). Dintre ariile protejate de interes internaţional, cele mai </w:t>
            </w:r>
            <w:r w:rsidR="00DA768E" w:rsidRPr="001552C0">
              <w:rPr>
                <w:rFonts w:eastAsia="Times New Roman" w:cstheme="minorHAnsi"/>
                <w:iCs/>
                <w:noProof/>
              </w:rPr>
              <w:t>numeroase</w:t>
            </w:r>
            <w:r w:rsidRPr="001552C0">
              <w:rPr>
                <w:rFonts w:eastAsia="Times New Roman" w:cstheme="minorHAnsi"/>
                <w:iCs/>
                <w:noProof/>
              </w:rPr>
              <w:t xml:space="preserve"> sunt siturile Natura 2000, desemnate la nivel european. Reţeaua de situri </w:t>
            </w:r>
            <w:r w:rsidR="00501E11" w:rsidRPr="001552C0">
              <w:rPr>
                <w:rFonts w:eastAsia="Times New Roman" w:cstheme="minorHAnsi"/>
                <w:iCs/>
                <w:noProof/>
              </w:rPr>
              <w:t>Natura 2000 este instrumentul principal pentru conservarea patrimoniul natural pe teritoriul Uniunii Europene</w:t>
            </w:r>
            <w:r w:rsidRPr="001552C0">
              <w:rPr>
                <w:rFonts w:eastAsia="Times New Roman" w:cstheme="minorHAnsi"/>
                <w:iCs/>
                <w:noProof/>
              </w:rPr>
              <w:t xml:space="preserve">. Aceasta este </w:t>
            </w:r>
            <w:r w:rsidR="009F2031" w:rsidRPr="001552C0">
              <w:rPr>
                <w:rFonts w:eastAsia="Times New Roman" w:cstheme="minorHAnsi"/>
                <w:iCs/>
                <w:noProof/>
              </w:rPr>
              <w:t xml:space="preserve">  fundamentat</w:t>
            </w:r>
            <w:r w:rsidRPr="001552C0">
              <w:rPr>
                <w:rFonts w:eastAsia="Times New Roman" w:cstheme="minorHAnsi"/>
                <w:iCs/>
                <w:noProof/>
              </w:rPr>
              <w:t>a</w:t>
            </w:r>
            <w:r w:rsidR="009F2031" w:rsidRPr="001552C0">
              <w:rPr>
                <w:rFonts w:eastAsia="Times New Roman" w:cstheme="minorHAnsi"/>
                <w:iCs/>
                <w:noProof/>
              </w:rPr>
              <w:t xml:space="preserve"> pe două directive</w:t>
            </w:r>
            <w:r w:rsidR="00501E11" w:rsidRPr="001552C0">
              <w:rPr>
                <w:rFonts w:eastAsia="Times New Roman" w:cstheme="minorHAnsi"/>
                <w:iCs/>
                <w:noProof/>
              </w:rPr>
              <w:t xml:space="preserve">, respectiv Directiva 92/43 din 1992 privind Conservarea Habitatelor Naturale și a Faunei și Florei Sălbatice și Directiva 79/409 din 1979 </w:t>
            </w:r>
            <w:r w:rsidR="001E4C26" w:rsidRPr="001552C0">
              <w:rPr>
                <w:rFonts w:eastAsia="Times New Roman" w:cstheme="minorHAnsi"/>
                <w:iCs/>
                <w:noProof/>
              </w:rPr>
              <w:t xml:space="preserve">amendată în 2009 prin Directiva 2009/147/CE privind </w:t>
            </w:r>
            <w:r w:rsidR="00501E11" w:rsidRPr="001552C0">
              <w:rPr>
                <w:rFonts w:eastAsia="Times New Roman" w:cstheme="minorHAnsi"/>
                <w:iCs/>
                <w:noProof/>
              </w:rPr>
              <w:t xml:space="preserve">conservarea păsărilor sălbatice. </w:t>
            </w:r>
            <w:r w:rsidR="001E4C26" w:rsidRPr="001552C0">
              <w:rPr>
                <w:rFonts w:eastAsia="Times New Roman" w:cstheme="minorHAnsi"/>
                <w:iCs/>
                <w:noProof/>
              </w:rPr>
              <w:t xml:space="preserve">La nivelul României există 435 de Situri de Importanţă Comunitară (SCI) şi 171 de </w:t>
            </w:r>
            <w:r w:rsidR="00131AFC" w:rsidRPr="001552C0">
              <w:rPr>
                <w:rFonts w:eastAsia="Times New Roman" w:cstheme="minorHAnsi"/>
                <w:iCs/>
                <w:noProof/>
              </w:rPr>
              <w:t>Arii</w:t>
            </w:r>
            <w:r w:rsidR="001E4C26" w:rsidRPr="001552C0">
              <w:rPr>
                <w:rFonts w:eastAsia="Times New Roman" w:cstheme="minorHAnsi"/>
                <w:iCs/>
                <w:noProof/>
              </w:rPr>
              <w:t xml:space="preserve"> de Protecţie Specială Avifaunistică (SPA).</w:t>
            </w:r>
          </w:p>
          <w:p w14:paraId="0C981AE8" w14:textId="754A4143" w:rsidR="00B83488" w:rsidRPr="001552C0" w:rsidRDefault="00501E11" w:rsidP="00501E11">
            <w:pPr>
              <w:spacing w:before="120" w:after="120" w:line="240" w:lineRule="auto"/>
              <w:jc w:val="both"/>
              <w:rPr>
                <w:rFonts w:eastAsia="Times New Roman" w:cstheme="minorHAnsi"/>
                <w:iCs/>
                <w:noProof/>
              </w:rPr>
            </w:pPr>
            <w:r w:rsidRPr="001552C0">
              <w:rPr>
                <w:rFonts w:eastAsia="Times New Roman" w:cstheme="minorHAnsi"/>
                <w:iCs/>
                <w:noProof/>
              </w:rPr>
              <w:t xml:space="preserve">Pentru a garanta că siturile Natura 2000 sunt gestionate într-un mod clar și transparent, precum și pentru a exista un cadru solid și eficient pentru punerea în aplicare și monitorizarea măsurilor de conservare, deși nu sunt obligatorii în temeiul Directivei Habitate, Comisia Europeană încurajează cu fermitate SM să elaboreze planuri de management pentru siturile Natura 2000 </w:t>
            </w:r>
            <w:r w:rsidR="0019023B" w:rsidRPr="001552C0">
              <w:rPr>
                <w:rFonts w:eastAsia="Times New Roman" w:cstheme="minorHAnsi"/>
                <w:iCs/>
                <w:noProof/>
              </w:rPr>
              <w:t>identificate pentru a exista un cadru transparent privind starea de conservare a speciilor și habitatelor și obiectivele specifice de conservare</w:t>
            </w:r>
            <w:r w:rsidRPr="001552C0">
              <w:rPr>
                <w:rFonts w:eastAsia="Times New Roman" w:cstheme="minorHAnsi"/>
                <w:iCs/>
                <w:noProof/>
              </w:rPr>
              <w:t xml:space="preserve">. </w:t>
            </w:r>
          </w:p>
          <w:p w14:paraId="6AF7DEDA" w14:textId="76994E22" w:rsidR="009F2031" w:rsidRPr="001552C0" w:rsidRDefault="009F2031" w:rsidP="009F2031">
            <w:pPr>
              <w:spacing w:before="120" w:after="120" w:line="240" w:lineRule="auto"/>
              <w:jc w:val="both"/>
              <w:rPr>
                <w:rFonts w:eastAsia="Times New Roman" w:cstheme="minorHAnsi"/>
                <w:iCs/>
                <w:noProof/>
              </w:rPr>
            </w:pPr>
            <w:r w:rsidRPr="001552C0">
              <w:rPr>
                <w:rFonts w:eastAsia="Times New Roman" w:cstheme="minorHAnsi"/>
                <w:iCs/>
                <w:noProof/>
              </w:rPr>
              <w:t xml:space="preserve">Prin PODD se vor avea </w:t>
            </w:r>
            <w:r w:rsidR="009D34BB" w:rsidRPr="001552C0">
              <w:rPr>
                <w:rFonts w:eastAsia="Times New Roman" w:cstheme="minorHAnsi"/>
                <w:iCs/>
                <w:noProof/>
              </w:rPr>
              <w:t>î</w:t>
            </w:r>
            <w:r w:rsidRPr="001552C0">
              <w:rPr>
                <w:rFonts w:eastAsia="Times New Roman" w:cstheme="minorHAnsi"/>
                <w:iCs/>
                <w:noProof/>
              </w:rPr>
              <w:t>n vedere investi</w:t>
            </w:r>
            <w:r w:rsidR="009D34BB" w:rsidRPr="001552C0">
              <w:rPr>
                <w:rFonts w:eastAsia="Times New Roman" w:cstheme="minorHAnsi"/>
                <w:iCs/>
                <w:noProof/>
              </w:rPr>
              <w:t>ț</w:t>
            </w:r>
            <w:r w:rsidRPr="001552C0">
              <w:rPr>
                <w:rFonts w:eastAsia="Times New Roman" w:cstheme="minorHAnsi"/>
                <w:iCs/>
                <w:noProof/>
              </w:rPr>
              <w:t>ii care vizeaz</w:t>
            </w:r>
            <w:r w:rsidR="009D34BB" w:rsidRPr="001552C0">
              <w:rPr>
                <w:rFonts w:eastAsia="Times New Roman" w:cstheme="minorHAnsi"/>
                <w:iCs/>
                <w:noProof/>
              </w:rPr>
              <w:t>ă</w:t>
            </w:r>
            <w:r w:rsidRPr="001552C0">
              <w:rPr>
                <w:rFonts w:eastAsia="Times New Roman" w:cstheme="minorHAnsi"/>
                <w:iCs/>
                <w:noProof/>
              </w:rPr>
              <w:t xml:space="preserve"> conservarea biodiversit</w:t>
            </w:r>
            <w:r w:rsidR="009D34BB" w:rsidRPr="001552C0">
              <w:rPr>
                <w:rFonts w:eastAsia="Times New Roman" w:cstheme="minorHAnsi"/>
                <w:iCs/>
                <w:noProof/>
              </w:rPr>
              <w:t>ăț</w:t>
            </w:r>
            <w:r w:rsidRPr="001552C0">
              <w:rPr>
                <w:rFonts w:eastAsia="Times New Roman" w:cstheme="minorHAnsi"/>
                <w:iCs/>
                <w:noProof/>
              </w:rPr>
              <w:t>ii prin: asigurarea unui management eficient al ariilor naturale protejate; protecţia diversit</w:t>
            </w:r>
            <w:r w:rsidR="009D34BB" w:rsidRPr="001552C0">
              <w:rPr>
                <w:rFonts w:eastAsia="Times New Roman" w:cstheme="minorHAnsi"/>
                <w:iCs/>
                <w:noProof/>
              </w:rPr>
              <w:t>ăț</w:t>
            </w:r>
            <w:r w:rsidRPr="001552C0">
              <w:rPr>
                <w:rFonts w:eastAsia="Times New Roman" w:cstheme="minorHAnsi"/>
                <w:iCs/>
                <w:noProof/>
              </w:rPr>
              <w:t>ii biologice, inclusiv refacerea ecosistemelor degradate</w:t>
            </w:r>
            <w:r w:rsidR="0019023B" w:rsidRPr="001552C0">
              <w:rPr>
                <w:rFonts w:eastAsia="Times New Roman" w:cstheme="minorHAnsi"/>
                <w:iCs/>
                <w:noProof/>
              </w:rPr>
              <w:t xml:space="preserve"> din ariile protejate, dezvoltarea capacității administrative a structurilor de management și autorităților de reglementare</w:t>
            </w:r>
            <w:r w:rsidRPr="001552C0">
              <w:rPr>
                <w:rFonts w:eastAsia="Times New Roman" w:cstheme="minorHAnsi"/>
                <w:iCs/>
                <w:noProof/>
              </w:rPr>
              <w:t>. Totodat</w:t>
            </w:r>
            <w:r w:rsidR="009D34BB" w:rsidRPr="001552C0">
              <w:rPr>
                <w:rFonts w:eastAsia="Times New Roman" w:cstheme="minorHAnsi"/>
                <w:iCs/>
                <w:noProof/>
              </w:rPr>
              <w:t>ă</w:t>
            </w:r>
            <w:r w:rsidRPr="001552C0">
              <w:rPr>
                <w:rFonts w:eastAsia="Times New Roman" w:cstheme="minorHAnsi"/>
                <w:iCs/>
                <w:noProof/>
              </w:rPr>
              <w:t>, va fi avut</w:t>
            </w:r>
            <w:r w:rsidR="0019023B" w:rsidRPr="001552C0">
              <w:rPr>
                <w:rFonts w:eastAsia="Times New Roman" w:cstheme="minorHAnsi"/>
                <w:iCs/>
                <w:noProof/>
              </w:rPr>
              <w:t>ă</w:t>
            </w:r>
            <w:r w:rsidRPr="001552C0">
              <w:rPr>
                <w:rFonts w:eastAsia="Times New Roman" w:cstheme="minorHAnsi"/>
                <w:iCs/>
                <w:noProof/>
              </w:rPr>
              <w:t xml:space="preserve"> </w:t>
            </w:r>
            <w:r w:rsidR="003064BC" w:rsidRPr="001552C0">
              <w:rPr>
                <w:rFonts w:eastAsia="Times New Roman" w:cstheme="minorHAnsi"/>
                <w:iCs/>
                <w:noProof/>
              </w:rPr>
              <w:t>î</w:t>
            </w:r>
            <w:r w:rsidRPr="001552C0">
              <w:rPr>
                <w:rFonts w:eastAsia="Times New Roman" w:cstheme="minorHAnsi"/>
                <w:iCs/>
                <w:noProof/>
              </w:rPr>
              <w:t xml:space="preserve">n vedere creșterea nivelului de cunoaștere privind biodiversitatea, ecosistemele și serviciile aferente acestora. </w:t>
            </w:r>
          </w:p>
          <w:p w14:paraId="65DBE81B" w14:textId="63567358" w:rsidR="007418A0" w:rsidRPr="001552C0" w:rsidRDefault="009F2031" w:rsidP="007418A0">
            <w:pPr>
              <w:spacing w:before="120" w:after="120" w:line="240" w:lineRule="auto"/>
              <w:jc w:val="both"/>
              <w:rPr>
                <w:rFonts w:eastAsia="Times New Roman" w:cstheme="minorHAnsi"/>
                <w:iCs/>
                <w:noProof/>
              </w:rPr>
            </w:pPr>
            <w:r w:rsidRPr="001552C0">
              <w:rPr>
                <w:rFonts w:eastAsia="Times New Roman" w:cstheme="minorHAnsi"/>
                <w:iCs/>
                <w:noProof/>
              </w:rPr>
              <w:t>De asemenea, protec</w:t>
            </w:r>
            <w:r w:rsidR="0019023B" w:rsidRPr="001552C0">
              <w:rPr>
                <w:rFonts w:eastAsia="Times New Roman" w:cstheme="minorHAnsi"/>
                <w:iCs/>
                <w:noProof/>
              </w:rPr>
              <w:t>ț</w:t>
            </w:r>
            <w:r w:rsidRPr="001552C0">
              <w:rPr>
                <w:rFonts w:eastAsia="Times New Roman" w:cstheme="minorHAnsi"/>
                <w:iCs/>
                <w:noProof/>
              </w:rPr>
              <w:t>ia biodiversit</w:t>
            </w:r>
            <w:r w:rsidR="0019023B" w:rsidRPr="001552C0">
              <w:rPr>
                <w:rFonts w:eastAsia="Times New Roman" w:cstheme="minorHAnsi"/>
                <w:iCs/>
                <w:noProof/>
              </w:rPr>
              <w:t>ăț</w:t>
            </w:r>
            <w:r w:rsidRPr="001552C0">
              <w:rPr>
                <w:rFonts w:eastAsia="Times New Roman" w:cstheme="minorHAnsi"/>
                <w:iCs/>
                <w:noProof/>
              </w:rPr>
              <w:t xml:space="preserve">ii se va realiza </w:t>
            </w:r>
            <w:r w:rsidR="0019023B" w:rsidRPr="001552C0">
              <w:rPr>
                <w:rFonts w:eastAsia="Times New Roman" w:cstheme="minorHAnsi"/>
                <w:iCs/>
                <w:noProof/>
              </w:rPr>
              <w:t>ș</w:t>
            </w:r>
            <w:r w:rsidRPr="001552C0">
              <w:rPr>
                <w:rFonts w:eastAsia="Times New Roman" w:cstheme="minorHAnsi"/>
                <w:iCs/>
                <w:noProof/>
              </w:rPr>
              <w:t xml:space="preserve">i </w:t>
            </w:r>
            <w:r w:rsidR="0019023B" w:rsidRPr="001552C0">
              <w:rPr>
                <w:rFonts w:eastAsia="Times New Roman" w:cstheme="minorHAnsi"/>
                <w:iCs/>
                <w:noProof/>
              </w:rPr>
              <w:t>î</w:t>
            </w:r>
            <w:r w:rsidRPr="001552C0">
              <w:rPr>
                <w:rFonts w:eastAsia="Times New Roman" w:cstheme="minorHAnsi"/>
                <w:iCs/>
                <w:noProof/>
              </w:rPr>
              <w:t>n cadrul celorlalte priorităţi de finanţare din PODD</w:t>
            </w:r>
            <w:r w:rsidR="00A85E8A" w:rsidRPr="001552C0">
              <w:rPr>
                <w:rFonts w:eastAsia="Times New Roman" w:cstheme="minorHAnsi"/>
                <w:iCs/>
                <w:noProof/>
              </w:rPr>
              <w:t xml:space="preserve"> sau alte programe</w:t>
            </w:r>
            <w:r w:rsidRPr="001552C0">
              <w:rPr>
                <w:rFonts w:eastAsia="Times New Roman" w:cstheme="minorHAnsi"/>
                <w:iCs/>
                <w:noProof/>
              </w:rPr>
              <w:t xml:space="preserve">, care vor promova proiecte bazate pe </w:t>
            </w:r>
            <w:r w:rsidR="007418A0" w:rsidRPr="001552C0">
              <w:rPr>
                <w:rFonts w:eastAsia="Times New Roman" w:cstheme="minorHAnsi"/>
                <w:iCs/>
                <w:noProof/>
              </w:rPr>
              <w:t>infrastructura verde şi serviciile oferite de ecosisteme, în acord cu</w:t>
            </w:r>
            <w:r w:rsidR="00300205" w:rsidRPr="001552C0">
              <w:rPr>
                <w:rFonts w:eastAsia="Times New Roman" w:cstheme="minorHAnsi"/>
                <w:iCs/>
                <w:noProof/>
              </w:rPr>
              <w:t xml:space="preserve"> </w:t>
            </w:r>
            <w:r w:rsidR="007418A0" w:rsidRPr="001552C0">
              <w:rPr>
                <w:rFonts w:eastAsia="Times New Roman" w:cstheme="minorHAnsi"/>
                <w:iCs/>
                <w:noProof/>
              </w:rPr>
              <w:t>elementele rezultate din evaluarea impactului asupra mediului.</w:t>
            </w:r>
          </w:p>
          <w:p w14:paraId="2A432E38" w14:textId="673661F1" w:rsidR="009F2031" w:rsidRPr="001552C0" w:rsidRDefault="00521452" w:rsidP="009F2031">
            <w:pPr>
              <w:spacing w:before="120" w:after="120" w:line="240" w:lineRule="auto"/>
              <w:jc w:val="both"/>
              <w:rPr>
                <w:rFonts w:eastAsia="Times New Roman" w:cstheme="minorHAnsi"/>
                <w:iCs/>
                <w:noProof/>
              </w:rPr>
            </w:pPr>
            <w:r w:rsidRPr="001552C0">
              <w:rPr>
                <w:rFonts w:eastAsia="Times New Roman" w:cstheme="minorHAnsi"/>
                <w:iCs/>
                <w:noProof/>
              </w:rPr>
              <w:t>Astfel, PODD va sprijini elaborarea şi implementarea</w:t>
            </w:r>
            <w:r w:rsidR="009F2031" w:rsidRPr="001552C0">
              <w:rPr>
                <w:rFonts w:eastAsia="Times New Roman" w:cstheme="minorHAnsi"/>
                <w:iCs/>
                <w:noProof/>
              </w:rPr>
              <w:t xml:space="preserve"> planurilor de management pentru</w:t>
            </w:r>
            <w:r w:rsidRPr="001552C0">
              <w:rPr>
                <w:rFonts w:eastAsia="Times New Roman" w:cstheme="minorHAnsi"/>
                <w:iCs/>
                <w:noProof/>
              </w:rPr>
              <w:t xml:space="preserve"> </w:t>
            </w:r>
            <w:r w:rsidR="009F2031" w:rsidRPr="001552C0">
              <w:rPr>
                <w:rFonts w:eastAsia="Times New Roman" w:cstheme="minorHAnsi"/>
                <w:iCs/>
                <w:noProof/>
              </w:rPr>
              <w:t>siturile Natura 20</w:t>
            </w:r>
            <w:r w:rsidRPr="001552C0">
              <w:rPr>
                <w:rFonts w:eastAsia="Times New Roman" w:cstheme="minorHAnsi"/>
                <w:iCs/>
                <w:noProof/>
              </w:rPr>
              <w:t>00 și ariile naturale protejate</w:t>
            </w:r>
            <w:r w:rsidR="00D060AF">
              <w:rPr>
                <w:rFonts w:eastAsia="Times New Roman" w:cstheme="minorHAnsi"/>
                <w:iCs/>
                <w:noProof/>
              </w:rPr>
              <w:t xml:space="preserve"> (inclusiv conectivitatea ecologică)</w:t>
            </w:r>
            <w:r w:rsidRPr="001552C0">
              <w:rPr>
                <w:rFonts w:eastAsia="Times New Roman" w:cstheme="minorHAnsi"/>
                <w:iCs/>
                <w:noProof/>
              </w:rPr>
              <w:t xml:space="preserve">, </w:t>
            </w:r>
            <w:r w:rsidR="009F2031" w:rsidRPr="001552C0">
              <w:rPr>
                <w:rFonts w:eastAsia="Times New Roman" w:cstheme="minorHAnsi"/>
                <w:iCs/>
                <w:noProof/>
              </w:rPr>
              <w:t>dezvoltarea de măsuri generale de</w:t>
            </w:r>
            <w:r w:rsidRPr="001552C0">
              <w:rPr>
                <w:rFonts w:eastAsia="Times New Roman" w:cstheme="minorHAnsi"/>
                <w:iCs/>
                <w:noProof/>
              </w:rPr>
              <w:t xml:space="preserve"> </w:t>
            </w:r>
            <w:r w:rsidR="009F2031" w:rsidRPr="001552C0">
              <w:rPr>
                <w:rFonts w:eastAsia="Times New Roman" w:cstheme="minorHAnsi"/>
                <w:iCs/>
                <w:noProof/>
              </w:rPr>
              <w:t>cunoaștere</w:t>
            </w:r>
            <w:r w:rsidRPr="001552C0">
              <w:rPr>
                <w:rFonts w:eastAsia="Times New Roman" w:cstheme="minorHAnsi"/>
                <w:iCs/>
                <w:noProof/>
              </w:rPr>
              <w:t xml:space="preserve"> (inclusiv studii)</w:t>
            </w:r>
            <w:r w:rsidR="009F2031" w:rsidRPr="001552C0">
              <w:rPr>
                <w:rFonts w:eastAsia="Times New Roman" w:cstheme="minorHAnsi"/>
                <w:iCs/>
                <w:noProof/>
              </w:rPr>
              <w:t>, monitorizare</w:t>
            </w:r>
            <w:r w:rsidRPr="001552C0">
              <w:rPr>
                <w:rFonts w:eastAsia="Times New Roman" w:cstheme="minorHAnsi"/>
                <w:iCs/>
                <w:noProof/>
              </w:rPr>
              <w:t xml:space="preserve"> și conservare</w:t>
            </w:r>
            <w:r w:rsidR="009047A8" w:rsidRPr="001552C0">
              <w:rPr>
                <w:rFonts w:eastAsia="Times New Roman" w:cstheme="minorHAnsi"/>
                <w:iCs/>
                <w:noProof/>
              </w:rPr>
              <w:t xml:space="preserve"> a div</w:t>
            </w:r>
            <w:r w:rsidR="002444D4" w:rsidRPr="001552C0">
              <w:rPr>
                <w:rFonts w:eastAsia="Times New Roman" w:cstheme="minorHAnsi"/>
                <w:iCs/>
                <w:noProof/>
              </w:rPr>
              <w:t>e</w:t>
            </w:r>
            <w:r w:rsidR="009047A8" w:rsidRPr="001552C0">
              <w:rPr>
                <w:rFonts w:eastAsia="Times New Roman" w:cstheme="minorHAnsi"/>
                <w:iCs/>
                <w:noProof/>
              </w:rPr>
              <w:t>rsit</w:t>
            </w:r>
            <w:r w:rsidR="002444D4" w:rsidRPr="001552C0">
              <w:rPr>
                <w:rFonts w:eastAsia="Times New Roman" w:cstheme="minorHAnsi"/>
                <w:iCs/>
                <w:noProof/>
              </w:rPr>
              <w:t>ăț</w:t>
            </w:r>
            <w:r w:rsidR="009047A8" w:rsidRPr="001552C0">
              <w:rPr>
                <w:rFonts w:eastAsia="Times New Roman" w:cstheme="minorHAnsi"/>
                <w:iCs/>
                <w:noProof/>
              </w:rPr>
              <w:t>ii biol</w:t>
            </w:r>
            <w:r w:rsidR="002444D4" w:rsidRPr="001552C0">
              <w:rPr>
                <w:rFonts w:eastAsia="Times New Roman" w:cstheme="minorHAnsi"/>
                <w:iCs/>
                <w:noProof/>
              </w:rPr>
              <w:t>o</w:t>
            </w:r>
            <w:r w:rsidR="009047A8" w:rsidRPr="001552C0">
              <w:rPr>
                <w:rFonts w:eastAsia="Times New Roman" w:cstheme="minorHAnsi"/>
                <w:iCs/>
                <w:noProof/>
              </w:rPr>
              <w:t xml:space="preserve">gice, precum </w:t>
            </w:r>
            <w:r w:rsidR="002444D4" w:rsidRPr="001552C0">
              <w:rPr>
                <w:rFonts w:eastAsia="Times New Roman" w:cstheme="minorHAnsi"/>
                <w:iCs/>
                <w:noProof/>
              </w:rPr>
              <w:t>ș</w:t>
            </w:r>
            <w:r w:rsidR="009047A8" w:rsidRPr="001552C0">
              <w:rPr>
                <w:rFonts w:eastAsia="Times New Roman" w:cstheme="minorHAnsi"/>
                <w:iCs/>
                <w:noProof/>
              </w:rPr>
              <w:t>i</w:t>
            </w:r>
            <w:r w:rsidR="009F2031" w:rsidRPr="001552C0">
              <w:rPr>
                <w:rFonts w:eastAsia="Times New Roman" w:cstheme="minorHAnsi"/>
                <w:iCs/>
                <w:noProof/>
              </w:rPr>
              <w:t xml:space="preserve"> acţiuni de reconstrucţie</w:t>
            </w:r>
            <w:r w:rsidRPr="001552C0">
              <w:rPr>
                <w:rFonts w:eastAsia="Times New Roman" w:cstheme="minorHAnsi"/>
                <w:iCs/>
                <w:noProof/>
              </w:rPr>
              <w:t xml:space="preserve"> </w:t>
            </w:r>
            <w:r w:rsidR="009F2031" w:rsidRPr="001552C0">
              <w:rPr>
                <w:rFonts w:eastAsia="Times New Roman" w:cstheme="minorHAnsi"/>
                <w:iCs/>
                <w:noProof/>
              </w:rPr>
              <w:t>ecologică a ecosis</w:t>
            </w:r>
            <w:r w:rsidRPr="001552C0">
              <w:rPr>
                <w:rFonts w:eastAsia="Times New Roman" w:cstheme="minorHAnsi"/>
                <w:iCs/>
                <w:noProof/>
              </w:rPr>
              <w:t>temelor degradate.</w:t>
            </w:r>
          </w:p>
          <w:p w14:paraId="2C05BF12" w14:textId="5161B0BD" w:rsidR="0034797C" w:rsidRPr="001552C0" w:rsidRDefault="00007906" w:rsidP="009F2031">
            <w:pPr>
              <w:spacing w:before="120" w:after="120" w:line="240" w:lineRule="auto"/>
              <w:jc w:val="both"/>
              <w:rPr>
                <w:rFonts w:eastAsia="Times New Roman" w:cstheme="minorHAnsi"/>
                <w:iCs/>
                <w:noProof/>
              </w:rPr>
            </w:pPr>
            <w:r w:rsidRPr="001552C0">
              <w:rPr>
                <w:rFonts w:eastAsia="Times New Roman" w:cstheme="minorHAnsi"/>
                <w:iCs/>
                <w:noProof/>
              </w:rPr>
              <w:t xml:space="preserve">Investițiile în implementarea planurilor de management a ariilor protejate vor ține seama și de cele identificate în Raportul de Țară </w:t>
            </w:r>
            <w:r w:rsidR="0034797C" w:rsidRPr="001552C0">
              <w:rPr>
                <w:rFonts w:eastAsia="Times New Roman" w:cstheme="minorHAnsi"/>
                <w:iCs/>
                <w:noProof/>
              </w:rPr>
              <w:t>din 2020</w:t>
            </w:r>
            <w:r w:rsidRPr="001552C0">
              <w:rPr>
                <w:rFonts w:eastAsia="Times New Roman" w:cstheme="minorHAnsi"/>
                <w:iCs/>
                <w:noProof/>
              </w:rPr>
              <w:t>, unde se precizează că  exploatarea ilegală intensivă a pădurilor românești este o problemă recurentă, care duce la reducerea capacității naturale de captare a dioxidului de carbon a pădurilor și la pierderea semnificativă a biodiversității</w:t>
            </w:r>
            <w:r w:rsidR="0034797C" w:rsidRPr="001552C0">
              <w:rPr>
                <w:rFonts w:eastAsia="Times New Roman" w:cstheme="minorHAnsi"/>
                <w:iCs/>
                <w:noProof/>
              </w:rPr>
              <w:t>. De asemenea, vor fi avute în vedere aspectele identificate în Raportul de Țară din 2019 în care se precizează că România a rămas în urmă cu privire la câteva componente esenţiale care afectează nivelul de trai, printre care şi infrastructura verde.</w:t>
            </w:r>
          </w:p>
          <w:p w14:paraId="424CF885" w14:textId="2E9D09AE" w:rsidR="00FB77A4" w:rsidRPr="001552C0" w:rsidRDefault="00B83488" w:rsidP="00734448">
            <w:pPr>
              <w:spacing w:before="120" w:after="120" w:line="240" w:lineRule="auto"/>
              <w:jc w:val="both"/>
              <w:rPr>
                <w:rFonts w:eastAsia="Times New Roman" w:cstheme="minorHAnsi"/>
                <w:b/>
                <w:bCs/>
                <w:i/>
                <w:iCs/>
                <w:noProof/>
              </w:rPr>
            </w:pPr>
            <w:r w:rsidRPr="001552C0">
              <w:rPr>
                <w:rFonts w:eastAsia="Times New Roman" w:cstheme="minorHAnsi"/>
                <w:b/>
                <w:bCs/>
                <w:i/>
                <w:iCs/>
                <w:noProof/>
              </w:rPr>
              <w:t xml:space="preserve">Măsuri insuficiente pentru îndeplinirea cerințelor de </w:t>
            </w:r>
            <w:r w:rsidR="006A47AF" w:rsidRPr="001552C0">
              <w:rPr>
                <w:rFonts w:eastAsia="Times New Roman" w:cstheme="minorHAnsi"/>
                <w:b/>
                <w:bCs/>
                <w:i/>
                <w:iCs/>
                <w:noProof/>
              </w:rPr>
              <w:t xml:space="preserve">monitorizare </w:t>
            </w:r>
            <w:r w:rsidR="00247901" w:rsidRPr="001552C0">
              <w:rPr>
                <w:rFonts w:eastAsia="Times New Roman" w:cstheme="minorHAnsi"/>
                <w:b/>
                <w:bCs/>
                <w:i/>
                <w:iCs/>
                <w:noProof/>
              </w:rPr>
              <w:t>ș</w:t>
            </w:r>
            <w:r w:rsidR="006A47AF" w:rsidRPr="001552C0">
              <w:rPr>
                <w:rFonts w:eastAsia="Times New Roman" w:cstheme="minorHAnsi"/>
                <w:b/>
                <w:bCs/>
                <w:i/>
                <w:iCs/>
                <w:noProof/>
              </w:rPr>
              <w:t xml:space="preserve">i </w:t>
            </w:r>
            <w:r w:rsidRPr="001552C0">
              <w:rPr>
                <w:rFonts w:eastAsia="Times New Roman" w:cstheme="minorHAnsi"/>
                <w:b/>
                <w:bCs/>
                <w:i/>
                <w:iCs/>
                <w:noProof/>
              </w:rPr>
              <w:t>reducere a emisiilor astfel încât să se contribuie în mod eficient la realizarea obiectivelor Uniunii Europene privind calitatea aerului</w:t>
            </w:r>
          </w:p>
          <w:p w14:paraId="49F30070" w14:textId="0A5E14D6" w:rsidR="00F06245" w:rsidRPr="001552C0" w:rsidRDefault="003B22CD" w:rsidP="00F06245">
            <w:pPr>
              <w:jc w:val="both"/>
              <w:rPr>
                <w:rFonts w:eastAsia="Times New Roman" w:cstheme="minorHAnsi"/>
                <w:iCs/>
                <w:noProof/>
                <w:szCs w:val="24"/>
              </w:rPr>
            </w:pPr>
            <w:r w:rsidRPr="001552C0">
              <w:rPr>
                <w:rFonts w:eastAsia="Times New Roman" w:cstheme="minorHAnsi"/>
                <w:iCs/>
                <w:noProof/>
                <w:szCs w:val="24"/>
              </w:rPr>
              <w:t xml:space="preserve">Conform </w:t>
            </w:r>
            <w:r w:rsidR="00F06245" w:rsidRPr="001552C0">
              <w:rPr>
                <w:rFonts w:eastAsia="Times New Roman" w:cstheme="minorHAnsi"/>
                <w:iCs/>
                <w:noProof/>
                <w:szCs w:val="24"/>
              </w:rPr>
              <w:t>Directivei 2008/50/CE privind calitatea aerului înconjurător și un aer mai curat pentru Europa, SM au obliga</w:t>
            </w:r>
            <w:r w:rsidR="0019023B" w:rsidRPr="001552C0">
              <w:rPr>
                <w:rFonts w:eastAsia="Times New Roman" w:cstheme="minorHAnsi"/>
                <w:iCs/>
                <w:noProof/>
                <w:szCs w:val="24"/>
              </w:rPr>
              <w:t>ț</w:t>
            </w:r>
            <w:r w:rsidR="00F06245" w:rsidRPr="001552C0">
              <w:rPr>
                <w:rFonts w:eastAsia="Times New Roman" w:cstheme="minorHAnsi"/>
                <w:iCs/>
                <w:noProof/>
                <w:szCs w:val="24"/>
              </w:rPr>
              <w:t xml:space="preserve">ia </w:t>
            </w:r>
            <w:r w:rsidR="000D25DE" w:rsidRPr="001552C0">
              <w:rPr>
                <w:rFonts w:eastAsia="Times New Roman" w:cstheme="minorHAnsi"/>
                <w:iCs/>
                <w:noProof/>
                <w:szCs w:val="24"/>
              </w:rPr>
              <w:t xml:space="preserve">de a îmbunătăți monitorizarea </w:t>
            </w:r>
            <w:r w:rsidR="00247901" w:rsidRPr="001552C0">
              <w:rPr>
                <w:rFonts w:eastAsia="Times New Roman" w:cstheme="minorHAnsi"/>
                <w:iCs/>
                <w:noProof/>
                <w:szCs w:val="24"/>
              </w:rPr>
              <w:t>ș</w:t>
            </w:r>
            <w:r w:rsidR="000D25DE" w:rsidRPr="001552C0">
              <w:rPr>
                <w:rFonts w:eastAsia="Times New Roman" w:cstheme="minorHAnsi"/>
                <w:iCs/>
                <w:noProof/>
                <w:szCs w:val="24"/>
              </w:rPr>
              <w:t xml:space="preserve">i evaluarea calității aerului, precum </w:t>
            </w:r>
            <w:r w:rsidR="00247901" w:rsidRPr="001552C0">
              <w:rPr>
                <w:rFonts w:eastAsia="Times New Roman" w:cstheme="minorHAnsi"/>
                <w:iCs/>
                <w:noProof/>
                <w:szCs w:val="24"/>
              </w:rPr>
              <w:t>ș</w:t>
            </w:r>
            <w:r w:rsidR="000D25DE" w:rsidRPr="001552C0">
              <w:rPr>
                <w:rFonts w:eastAsia="Times New Roman" w:cstheme="minorHAnsi"/>
                <w:iCs/>
                <w:noProof/>
                <w:szCs w:val="24"/>
              </w:rPr>
              <w:t xml:space="preserve">i </w:t>
            </w:r>
            <w:r w:rsidR="00F06245" w:rsidRPr="001552C0">
              <w:rPr>
                <w:rFonts w:eastAsia="Times New Roman" w:cstheme="minorHAnsi"/>
                <w:iCs/>
                <w:noProof/>
                <w:szCs w:val="24"/>
              </w:rPr>
              <w:t>de a raporta COM asupra calității aerului</w:t>
            </w:r>
            <w:r w:rsidR="000D25DE" w:rsidRPr="001552C0">
              <w:rPr>
                <w:rFonts w:eastAsia="Times New Roman" w:cstheme="minorHAnsi"/>
                <w:iCs/>
                <w:noProof/>
                <w:szCs w:val="24"/>
              </w:rPr>
              <w:t xml:space="preserve">. </w:t>
            </w:r>
          </w:p>
          <w:p w14:paraId="529F6025" w14:textId="7B0AD3D4" w:rsidR="00266500" w:rsidRPr="001552C0" w:rsidRDefault="006A47AF" w:rsidP="002427EA">
            <w:pPr>
              <w:jc w:val="both"/>
              <w:rPr>
                <w:rFonts w:eastAsia="Times New Roman" w:cstheme="minorHAnsi"/>
                <w:iCs/>
                <w:noProof/>
                <w:szCs w:val="24"/>
              </w:rPr>
            </w:pPr>
            <w:r w:rsidRPr="001552C0">
              <w:rPr>
                <w:rFonts w:eastAsia="Times New Roman" w:cstheme="minorHAnsi"/>
                <w:iCs/>
                <w:noProof/>
                <w:szCs w:val="24"/>
              </w:rPr>
              <w:t>Totodat</w:t>
            </w:r>
            <w:r w:rsidR="00247901" w:rsidRPr="001552C0">
              <w:rPr>
                <w:rFonts w:eastAsia="Times New Roman" w:cstheme="minorHAnsi"/>
                <w:iCs/>
                <w:noProof/>
                <w:szCs w:val="24"/>
              </w:rPr>
              <w:t>ă</w:t>
            </w:r>
            <w:r w:rsidRPr="001552C0">
              <w:rPr>
                <w:rFonts w:eastAsia="Times New Roman" w:cstheme="minorHAnsi"/>
                <w:iCs/>
                <w:noProof/>
                <w:szCs w:val="24"/>
              </w:rPr>
              <w:t xml:space="preserve">, conform </w:t>
            </w:r>
            <w:r w:rsidR="002427EA" w:rsidRPr="001552C0">
              <w:rPr>
                <w:rFonts w:eastAsia="Times New Roman" w:cstheme="minorHAnsi"/>
                <w:iCs/>
                <w:noProof/>
                <w:szCs w:val="24"/>
              </w:rPr>
              <w:t>Directiv</w:t>
            </w:r>
            <w:r w:rsidR="003B22CD" w:rsidRPr="001552C0">
              <w:rPr>
                <w:rFonts w:eastAsia="Times New Roman" w:cstheme="minorHAnsi"/>
                <w:iCs/>
                <w:noProof/>
                <w:szCs w:val="24"/>
              </w:rPr>
              <w:t>ei</w:t>
            </w:r>
            <w:r w:rsidR="002427EA" w:rsidRPr="001552C0">
              <w:rPr>
                <w:rFonts w:eastAsia="Times New Roman" w:cstheme="minorHAnsi"/>
                <w:iCs/>
                <w:noProof/>
                <w:szCs w:val="24"/>
              </w:rPr>
              <w:t xml:space="preserve"> (UE) 2016/2284 privind reducerea emisiilor naționale de anumiți </w:t>
            </w:r>
            <w:r w:rsidR="002427EA" w:rsidRPr="001552C0">
              <w:rPr>
                <w:rFonts w:eastAsia="Times New Roman" w:cstheme="minorHAnsi"/>
                <w:iCs/>
                <w:noProof/>
                <w:szCs w:val="24"/>
              </w:rPr>
              <w:lastRenderedPageBreak/>
              <w:t xml:space="preserve">poluanți atmosferici </w:t>
            </w:r>
            <w:r w:rsidR="00AF194C" w:rsidRPr="001552C0">
              <w:rPr>
                <w:rFonts w:eastAsia="Times New Roman" w:cstheme="minorHAnsi"/>
                <w:iCs/>
                <w:noProof/>
                <w:szCs w:val="24"/>
              </w:rPr>
              <w:t>(</w:t>
            </w:r>
            <w:r w:rsidR="002427EA" w:rsidRPr="001552C0">
              <w:rPr>
                <w:rFonts w:eastAsia="Times New Roman" w:cstheme="minorHAnsi"/>
                <w:iCs/>
                <w:noProof/>
                <w:szCs w:val="24"/>
              </w:rPr>
              <w:t>Directiv</w:t>
            </w:r>
            <w:r w:rsidR="00AF194C" w:rsidRPr="001552C0">
              <w:rPr>
                <w:rFonts w:eastAsia="Times New Roman" w:cstheme="minorHAnsi"/>
                <w:iCs/>
                <w:noProof/>
                <w:szCs w:val="24"/>
              </w:rPr>
              <w:t xml:space="preserve">a NEC) </w:t>
            </w:r>
            <w:r w:rsidR="002427EA" w:rsidRPr="001552C0">
              <w:rPr>
                <w:rFonts w:eastAsia="Times New Roman" w:cstheme="minorHAnsi"/>
                <w:iCs/>
                <w:noProof/>
                <w:szCs w:val="24"/>
              </w:rPr>
              <w:t>fiecare Stat Membru</w:t>
            </w:r>
            <w:r w:rsidR="003B22CD" w:rsidRPr="001552C0">
              <w:rPr>
                <w:rFonts w:eastAsia="Times New Roman" w:cstheme="minorHAnsi"/>
                <w:iCs/>
                <w:noProof/>
                <w:szCs w:val="24"/>
              </w:rPr>
              <w:t xml:space="preserve"> are</w:t>
            </w:r>
            <w:r w:rsidR="002427EA" w:rsidRPr="001552C0">
              <w:rPr>
                <w:rFonts w:eastAsia="Times New Roman" w:cstheme="minorHAnsi"/>
                <w:iCs/>
                <w:noProof/>
                <w:szCs w:val="24"/>
              </w:rPr>
              <w:t xml:space="preserve"> angajamente de </w:t>
            </w:r>
            <w:r w:rsidR="00266500" w:rsidRPr="001552C0">
              <w:rPr>
                <w:rFonts w:eastAsia="Times New Roman" w:cstheme="minorHAnsi"/>
                <w:iCs/>
                <w:noProof/>
                <w:szCs w:val="24"/>
              </w:rPr>
              <w:t xml:space="preserve">monitorizare </w:t>
            </w:r>
            <w:r w:rsidR="00247901" w:rsidRPr="001552C0">
              <w:rPr>
                <w:rFonts w:eastAsia="Times New Roman" w:cstheme="minorHAnsi"/>
                <w:iCs/>
                <w:noProof/>
                <w:szCs w:val="24"/>
              </w:rPr>
              <w:t>ș</w:t>
            </w:r>
            <w:r w:rsidR="00266500" w:rsidRPr="001552C0">
              <w:rPr>
                <w:rFonts w:eastAsia="Times New Roman" w:cstheme="minorHAnsi"/>
                <w:iCs/>
                <w:noProof/>
                <w:szCs w:val="24"/>
              </w:rPr>
              <w:t xml:space="preserve">i </w:t>
            </w:r>
            <w:r w:rsidR="002427EA" w:rsidRPr="001552C0">
              <w:rPr>
                <w:rFonts w:eastAsia="Times New Roman" w:cstheme="minorHAnsi"/>
                <w:iCs/>
                <w:noProof/>
                <w:szCs w:val="24"/>
              </w:rPr>
              <w:t>reducere a emisiilor de poluanți atmosferici (</w:t>
            </w:r>
            <w:r w:rsidR="006F1429" w:rsidRPr="001552C0">
              <w:rPr>
                <w:rFonts w:eastAsia="Times New Roman" w:cstheme="minorHAnsi"/>
                <w:iCs/>
                <w:noProof/>
                <w:szCs w:val="24"/>
              </w:rPr>
              <w:t>particule fine în suspensie</w:t>
            </w:r>
            <w:r w:rsidR="002427EA" w:rsidRPr="001552C0">
              <w:rPr>
                <w:rFonts w:eastAsia="Times New Roman" w:cstheme="minorHAnsi"/>
                <w:iCs/>
                <w:noProof/>
                <w:szCs w:val="24"/>
              </w:rPr>
              <w:t xml:space="preserve">-PM2,5, oxizi de azot-NOx, dioxid de sulf – SO2, compuși organici volatili- COVnm și amoniac – NH3) </w:t>
            </w:r>
            <w:r w:rsidR="003B22CD" w:rsidRPr="001552C0">
              <w:rPr>
                <w:rFonts w:eastAsia="Times New Roman" w:cstheme="minorHAnsi"/>
                <w:iCs/>
                <w:noProof/>
                <w:szCs w:val="24"/>
              </w:rPr>
              <w:t xml:space="preserve">cu </w:t>
            </w:r>
            <w:r w:rsidR="002427EA" w:rsidRPr="001552C0">
              <w:rPr>
                <w:rFonts w:eastAsia="Times New Roman" w:cstheme="minorHAnsi"/>
                <w:iCs/>
                <w:noProof/>
                <w:szCs w:val="24"/>
              </w:rPr>
              <w:t>țint</w:t>
            </w:r>
            <w:r w:rsidR="003B22CD" w:rsidRPr="001552C0">
              <w:rPr>
                <w:rFonts w:eastAsia="Times New Roman" w:cstheme="minorHAnsi"/>
                <w:iCs/>
                <w:noProof/>
                <w:szCs w:val="24"/>
              </w:rPr>
              <w:t>e stabilite pentru anii</w:t>
            </w:r>
            <w:r w:rsidR="002427EA" w:rsidRPr="001552C0">
              <w:rPr>
                <w:rFonts w:eastAsia="Times New Roman" w:cstheme="minorHAnsi"/>
                <w:iCs/>
                <w:noProof/>
                <w:szCs w:val="24"/>
              </w:rPr>
              <w:t xml:space="preserve"> 2020 și 2030</w:t>
            </w:r>
            <w:r w:rsidR="006F1429" w:rsidRPr="001552C0">
              <w:rPr>
                <w:rFonts w:eastAsia="Times New Roman" w:cstheme="minorHAnsi"/>
                <w:iCs/>
                <w:noProof/>
                <w:szCs w:val="24"/>
              </w:rPr>
              <w:t xml:space="preserve">, precum </w:t>
            </w:r>
            <w:r w:rsidR="00247901" w:rsidRPr="001552C0">
              <w:rPr>
                <w:rFonts w:eastAsia="Times New Roman" w:cstheme="minorHAnsi"/>
                <w:iCs/>
                <w:noProof/>
                <w:szCs w:val="24"/>
              </w:rPr>
              <w:t>ș</w:t>
            </w:r>
            <w:r w:rsidR="006F1429" w:rsidRPr="001552C0">
              <w:rPr>
                <w:rFonts w:eastAsia="Times New Roman" w:cstheme="minorHAnsi"/>
                <w:iCs/>
                <w:noProof/>
                <w:szCs w:val="24"/>
              </w:rPr>
              <w:t>i obliga</w:t>
            </w:r>
            <w:r w:rsidR="00247901" w:rsidRPr="001552C0">
              <w:rPr>
                <w:rFonts w:eastAsia="Times New Roman" w:cstheme="minorHAnsi"/>
                <w:iCs/>
                <w:noProof/>
                <w:szCs w:val="24"/>
              </w:rPr>
              <w:t>ț</w:t>
            </w:r>
            <w:r w:rsidR="006F1429" w:rsidRPr="001552C0">
              <w:rPr>
                <w:rFonts w:eastAsia="Times New Roman" w:cstheme="minorHAnsi"/>
                <w:iCs/>
                <w:noProof/>
                <w:szCs w:val="24"/>
              </w:rPr>
              <w:t>ia de a elabora un program național de control al poluării atmosferice (PNCPA)</w:t>
            </w:r>
            <w:r w:rsidR="002427EA" w:rsidRPr="001552C0">
              <w:rPr>
                <w:rFonts w:eastAsia="Times New Roman" w:cstheme="minorHAnsi"/>
                <w:iCs/>
                <w:noProof/>
                <w:szCs w:val="24"/>
              </w:rPr>
              <w:t>.</w:t>
            </w:r>
          </w:p>
          <w:p w14:paraId="61295F4D" w14:textId="3C59A66C" w:rsidR="002427EA" w:rsidRPr="001552C0" w:rsidRDefault="002C460C" w:rsidP="002427EA">
            <w:pPr>
              <w:jc w:val="both"/>
              <w:rPr>
                <w:rFonts w:eastAsia="Times New Roman" w:cstheme="minorHAnsi"/>
                <w:bCs/>
                <w:iCs/>
                <w:noProof/>
              </w:rPr>
            </w:pPr>
            <w:r w:rsidRPr="001552C0">
              <w:rPr>
                <w:rFonts w:eastAsia="Times New Roman" w:cstheme="minorHAnsi"/>
                <w:iCs/>
                <w:noProof/>
                <w:szCs w:val="24"/>
              </w:rPr>
              <w:t>Av</w:t>
            </w:r>
            <w:r w:rsidR="00247901" w:rsidRPr="001552C0">
              <w:rPr>
                <w:rFonts w:eastAsia="Times New Roman" w:cstheme="minorHAnsi"/>
                <w:iCs/>
                <w:noProof/>
                <w:szCs w:val="24"/>
              </w:rPr>
              <w:t>â</w:t>
            </w:r>
            <w:r w:rsidRPr="001552C0">
              <w:rPr>
                <w:rFonts w:eastAsia="Times New Roman" w:cstheme="minorHAnsi"/>
                <w:iCs/>
                <w:noProof/>
                <w:szCs w:val="24"/>
              </w:rPr>
              <w:t xml:space="preserve">nd </w:t>
            </w:r>
            <w:r w:rsidR="00247901" w:rsidRPr="001552C0">
              <w:rPr>
                <w:rFonts w:eastAsia="Times New Roman" w:cstheme="minorHAnsi"/>
                <w:iCs/>
                <w:noProof/>
                <w:szCs w:val="24"/>
              </w:rPr>
              <w:t>î</w:t>
            </w:r>
            <w:r w:rsidRPr="001552C0">
              <w:rPr>
                <w:rFonts w:eastAsia="Times New Roman" w:cstheme="minorHAnsi"/>
                <w:iCs/>
                <w:noProof/>
                <w:szCs w:val="24"/>
              </w:rPr>
              <w:t>n vedere aceste prevederi ale directivelor, investi</w:t>
            </w:r>
            <w:r w:rsidR="00247901" w:rsidRPr="001552C0">
              <w:rPr>
                <w:rFonts w:eastAsia="Times New Roman" w:cstheme="minorHAnsi"/>
                <w:iCs/>
                <w:noProof/>
                <w:szCs w:val="24"/>
              </w:rPr>
              <w:t>ț</w:t>
            </w:r>
            <w:r w:rsidRPr="001552C0">
              <w:rPr>
                <w:rFonts w:eastAsia="Times New Roman" w:cstheme="minorHAnsi"/>
                <w:iCs/>
                <w:noProof/>
                <w:szCs w:val="24"/>
              </w:rPr>
              <w:t xml:space="preserve">iile </w:t>
            </w:r>
            <w:r w:rsidR="001D1DF2" w:rsidRPr="001552C0">
              <w:rPr>
                <w:rFonts w:eastAsia="Times New Roman" w:cstheme="minorHAnsi"/>
                <w:iCs/>
                <w:noProof/>
                <w:szCs w:val="24"/>
              </w:rPr>
              <w:t xml:space="preserve">demarate prin POIM </w:t>
            </w:r>
            <w:r w:rsidR="00EB47D7" w:rsidRPr="001552C0">
              <w:rPr>
                <w:rFonts w:eastAsia="Times New Roman" w:cstheme="minorHAnsi"/>
                <w:iCs/>
                <w:noProof/>
                <w:szCs w:val="24"/>
              </w:rPr>
              <w:t xml:space="preserve">privind </w:t>
            </w:r>
            <w:r w:rsidR="00EB47D7" w:rsidRPr="001552C0">
              <w:rPr>
                <w:rFonts w:eastAsia="Times New Roman" w:cstheme="minorHAnsi"/>
                <w:bCs/>
                <w:iCs/>
                <w:noProof/>
              </w:rPr>
              <w:t>dotarea sistemului naţional de evaluare şi monitorizare a calităţii aerului în vederea dezvoltării şi îmbunătăţirii Evaluării Naţionale a Calităţii Aerului</w:t>
            </w:r>
            <w:r w:rsidR="00EB47D7" w:rsidRPr="001552C0">
              <w:rPr>
                <w:rFonts w:eastAsia="Times New Roman" w:cstheme="minorHAnsi"/>
                <w:iCs/>
                <w:noProof/>
                <w:szCs w:val="24"/>
              </w:rPr>
              <w:t xml:space="preserve"> </w:t>
            </w:r>
            <w:r w:rsidR="001D1DF2" w:rsidRPr="001552C0">
              <w:rPr>
                <w:rFonts w:eastAsia="Times New Roman" w:cstheme="minorHAnsi"/>
                <w:iCs/>
                <w:noProof/>
                <w:szCs w:val="24"/>
              </w:rPr>
              <w:t xml:space="preserve">vor fi continuate </w:t>
            </w:r>
            <w:r w:rsidR="00247901" w:rsidRPr="001552C0">
              <w:rPr>
                <w:rFonts w:eastAsia="Times New Roman" w:cstheme="minorHAnsi"/>
                <w:iCs/>
                <w:noProof/>
                <w:szCs w:val="24"/>
              </w:rPr>
              <w:t>ș</w:t>
            </w:r>
            <w:r w:rsidR="001D1DF2" w:rsidRPr="001552C0">
              <w:rPr>
                <w:rFonts w:eastAsia="Times New Roman" w:cstheme="minorHAnsi"/>
                <w:iCs/>
                <w:noProof/>
                <w:szCs w:val="24"/>
              </w:rPr>
              <w:t xml:space="preserve">i diversificate astfel </w:t>
            </w:r>
            <w:r w:rsidR="00247901" w:rsidRPr="001552C0">
              <w:rPr>
                <w:rFonts w:eastAsia="Times New Roman" w:cstheme="minorHAnsi"/>
                <w:iCs/>
                <w:noProof/>
                <w:szCs w:val="24"/>
              </w:rPr>
              <w:t>î</w:t>
            </w:r>
            <w:r w:rsidR="001D1DF2" w:rsidRPr="001552C0">
              <w:rPr>
                <w:rFonts w:eastAsia="Times New Roman" w:cstheme="minorHAnsi"/>
                <w:iCs/>
                <w:noProof/>
                <w:szCs w:val="24"/>
              </w:rPr>
              <w:t>nc</w:t>
            </w:r>
            <w:r w:rsidR="00247901" w:rsidRPr="001552C0">
              <w:rPr>
                <w:rFonts w:eastAsia="Times New Roman" w:cstheme="minorHAnsi"/>
                <w:iCs/>
                <w:noProof/>
                <w:szCs w:val="24"/>
              </w:rPr>
              <w:t>â</w:t>
            </w:r>
            <w:r w:rsidR="001D1DF2" w:rsidRPr="001552C0">
              <w:rPr>
                <w:rFonts w:eastAsia="Times New Roman" w:cstheme="minorHAnsi"/>
                <w:iCs/>
                <w:noProof/>
                <w:szCs w:val="24"/>
              </w:rPr>
              <w:t>t Rom</w:t>
            </w:r>
            <w:r w:rsidR="00247901" w:rsidRPr="001552C0">
              <w:rPr>
                <w:rFonts w:eastAsia="Times New Roman" w:cstheme="minorHAnsi"/>
                <w:iCs/>
                <w:noProof/>
                <w:szCs w:val="24"/>
              </w:rPr>
              <w:t>â</w:t>
            </w:r>
            <w:r w:rsidR="001D1DF2" w:rsidRPr="001552C0">
              <w:rPr>
                <w:rFonts w:eastAsia="Times New Roman" w:cstheme="minorHAnsi"/>
                <w:iCs/>
                <w:noProof/>
                <w:szCs w:val="24"/>
              </w:rPr>
              <w:t xml:space="preserve">nia să </w:t>
            </w:r>
            <w:r w:rsidR="00EB47D7" w:rsidRPr="001552C0">
              <w:rPr>
                <w:rFonts w:eastAsia="Times New Roman" w:cstheme="minorHAnsi"/>
                <w:iCs/>
                <w:noProof/>
                <w:szCs w:val="24"/>
              </w:rPr>
              <w:t xml:space="preserve">respecte </w:t>
            </w:r>
            <w:r w:rsidR="001D1DF2" w:rsidRPr="001552C0">
              <w:rPr>
                <w:rFonts w:eastAsia="Times New Roman" w:cstheme="minorHAnsi"/>
                <w:iCs/>
                <w:noProof/>
                <w:szCs w:val="24"/>
              </w:rPr>
              <w:t>cerințele de asigurare și control al calității datelor și de raportare a RO către CE</w:t>
            </w:r>
            <w:r w:rsidR="009C3DC9" w:rsidRPr="001552C0">
              <w:rPr>
                <w:rFonts w:eastAsia="Times New Roman" w:cstheme="minorHAnsi"/>
                <w:iCs/>
                <w:noProof/>
                <w:szCs w:val="24"/>
              </w:rPr>
              <w:t xml:space="preserve"> </w:t>
            </w:r>
            <w:r w:rsidR="00247901" w:rsidRPr="001552C0">
              <w:rPr>
                <w:rFonts w:eastAsia="Times New Roman" w:cstheme="minorHAnsi"/>
                <w:iCs/>
                <w:noProof/>
                <w:szCs w:val="24"/>
              </w:rPr>
              <w:t>ș</w:t>
            </w:r>
            <w:r w:rsidR="009C3DC9" w:rsidRPr="001552C0">
              <w:rPr>
                <w:rFonts w:eastAsia="Times New Roman" w:cstheme="minorHAnsi"/>
                <w:iCs/>
                <w:noProof/>
                <w:szCs w:val="24"/>
              </w:rPr>
              <w:t>i s</w:t>
            </w:r>
            <w:r w:rsidR="00247901" w:rsidRPr="001552C0">
              <w:rPr>
                <w:rFonts w:eastAsia="Times New Roman" w:cstheme="minorHAnsi"/>
                <w:iCs/>
                <w:noProof/>
                <w:szCs w:val="24"/>
              </w:rPr>
              <w:t>ă</w:t>
            </w:r>
            <w:r w:rsidR="009C3DC9" w:rsidRPr="001552C0">
              <w:rPr>
                <w:rFonts w:eastAsia="Times New Roman" w:cstheme="minorHAnsi"/>
                <w:iCs/>
                <w:noProof/>
                <w:szCs w:val="24"/>
              </w:rPr>
              <w:t xml:space="preserve"> asigure premisele pentru protejarea s</w:t>
            </w:r>
            <w:r w:rsidR="00247901" w:rsidRPr="001552C0">
              <w:rPr>
                <w:rFonts w:eastAsia="Times New Roman" w:cstheme="minorHAnsi"/>
                <w:iCs/>
                <w:noProof/>
                <w:szCs w:val="24"/>
              </w:rPr>
              <w:t>ă</w:t>
            </w:r>
            <w:r w:rsidR="009C3DC9" w:rsidRPr="001552C0">
              <w:rPr>
                <w:rFonts w:eastAsia="Times New Roman" w:cstheme="minorHAnsi"/>
                <w:iCs/>
                <w:noProof/>
                <w:szCs w:val="24"/>
              </w:rPr>
              <w:t>n</w:t>
            </w:r>
            <w:r w:rsidR="00247901" w:rsidRPr="001552C0">
              <w:rPr>
                <w:rFonts w:eastAsia="Times New Roman" w:cstheme="minorHAnsi"/>
                <w:iCs/>
                <w:noProof/>
                <w:szCs w:val="24"/>
              </w:rPr>
              <w:t>ă</w:t>
            </w:r>
            <w:r w:rsidR="009C3DC9" w:rsidRPr="001552C0">
              <w:rPr>
                <w:rFonts w:eastAsia="Times New Roman" w:cstheme="minorHAnsi"/>
                <w:iCs/>
                <w:noProof/>
                <w:szCs w:val="24"/>
              </w:rPr>
              <w:t>t</w:t>
            </w:r>
            <w:r w:rsidR="00247901" w:rsidRPr="001552C0">
              <w:rPr>
                <w:rFonts w:eastAsia="Times New Roman" w:cstheme="minorHAnsi"/>
                <w:iCs/>
                <w:noProof/>
                <w:szCs w:val="24"/>
              </w:rPr>
              <w:t>ăț</w:t>
            </w:r>
            <w:r w:rsidR="009C3DC9" w:rsidRPr="001552C0">
              <w:rPr>
                <w:rFonts w:eastAsia="Times New Roman" w:cstheme="minorHAnsi"/>
                <w:iCs/>
                <w:noProof/>
                <w:szCs w:val="24"/>
              </w:rPr>
              <w:t xml:space="preserve">ii umane </w:t>
            </w:r>
            <w:r w:rsidR="00247901" w:rsidRPr="001552C0">
              <w:rPr>
                <w:rFonts w:eastAsia="Times New Roman" w:cstheme="minorHAnsi"/>
                <w:iCs/>
                <w:noProof/>
                <w:szCs w:val="24"/>
              </w:rPr>
              <w:t>ș</w:t>
            </w:r>
            <w:r w:rsidR="009C3DC9" w:rsidRPr="001552C0">
              <w:rPr>
                <w:rFonts w:eastAsia="Times New Roman" w:cstheme="minorHAnsi"/>
                <w:iCs/>
                <w:noProof/>
                <w:szCs w:val="24"/>
              </w:rPr>
              <w:t xml:space="preserve">i a mediului ca </w:t>
            </w:r>
            <w:r w:rsidR="00247901" w:rsidRPr="001552C0">
              <w:rPr>
                <w:rFonts w:eastAsia="Times New Roman" w:cstheme="minorHAnsi"/>
                <w:iCs/>
                <w:noProof/>
                <w:szCs w:val="24"/>
              </w:rPr>
              <w:t>î</w:t>
            </w:r>
            <w:r w:rsidR="009C3DC9" w:rsidRPr="001552C0">
              <w:rPr>
                <w:rFonts w:eastAsia="Times New Roman" w:cstheme="minorHAnsi"/>
                <w:iCs/>
                <w:noProof/>
                <w:szCs w:val="24"/>
              </w:rPr>
              <w:t xml:space="preserve">ntreg, </w:t>
            </w:r>
            <w:r w:rsidR="00EB47D7" w:rsidRPr="001552C0">
              <w:rPr>
                <w:rFonts w:eastAsia="Times New Roman" w:cstheme="minorHAnsi"/>
                <w:iCs/>
                <w:noProof/>
                <w:szCs w:val="24"/>
              </w:rPr>
              <w:t>conform</w:t>
            </w:r>
            <w:r w:rsidR="00EB47D7" w:rsidRPr="001552C0">
              <w:rPr>
                <w:rFonts w:eastAsia="Times New Roman" w:cstheme="minorHAnsi"/>
                <w:bCs/>
                <w:iCs/>
                <w:noProof/>
              </w:rPr>
              <w:t xml:space="preserve"> standardelor</w:t>
            </w:r>
            <w:r w:rsidR="009C3DC9" w:rsidRPr="001552C0">
              <w:rPr>
                <w:rFonts w:eastAsia="Times New Roman" w:cstheme="minorHAnsi"/>
                <w:bCs/>
                <w:iCs/>
                <w:noProof/>
              </w:rPr>
              <w:t xml:space="preserve"> Organizației Mondiale a Sănătății.</w:t>
            </w:r>
          </w:p>
          <w:p w14:paraId="7720E333" w14:textId="32E9D3CF" w:rsidR="00717839" w:rsidRPr="001552C0" w:rsidRDefault="00791727" w:rsidP="002427EA">
            <w:pPr>
              <w:jc w:val="both"/>
              <w:rPr>
                <w:rFonts w:eastAsia="Times New Roman" w:cstheme="minorHAnsi"/>
                <w:bCs/>
                <w:iCs/>
                <w:noProof/>
              </w:rPr>
            </w:pPr>
            <w:r w:rsidRPr="001552C0">
              <w:rPr>
                <w:rFonts w:eastAsia="Times New Roman" w:cstheme="minorHAnsi"/>
                <w:bCs/>
                <w:iCs/>
                <w:noProof/>
              </w:rPr>
              <w:t xml:space="preserve">Totodată, s-a avut în vedere Raportul de Țară din 2020 care menționează că poluarea aerului continuă să fie o problemă în România și identifică măsuri de sprijin menite să abordeze principalele surse de poluare a aerului, să conducă la îmbunătățirea calității aerului și la modernizarea monitorizării. </w:t>
            </w:r>
            <w:r w:rsidR="006A2970" w:rsidRPr="001552C0">
              <w:rPr>
                <w:rFonts w:eastAsia="Times New Roman" w:cstheme="minorHAnsi"/>
                <w:bCs/>
                <w:iCs/>
                <w:noProof/>
              </w:rPr>
              <w:t>D</w:t>
            </w:r>
            <w:r w:rsidR="00717839" w:rsidRPr="001552C0">
              <w:rPr>
                <w:rFonts w:eastAsia="Times New Roman" w:cstheme="minorHAnsi"/>
                <w:bCs/>
                <w:iCs/>
                <w:noProof/>
              </w:rPr>
              <w:t xml:space="preserve">e asemenea, </w:t>
            </w:r>
            <w:r w:rsidR="006A2970" w:rsidRPr="001552C0">
              <w:rPr>
                <w:rFonts w:eastAsia="Times New Roman" w:cstheme="minorHAnsi"/>
                <w:bCs/>
                <w:iCs/>
                <w:noProof/>
              </w:rPr>
              <w:t>R</w:t>
            </w:r>
            <w:r w:rsidR="00717839" w:rsidRPr="001552C0">
              <w:rPr>
                <w:rFonts w:eastAsia="Times New Roman" w:cstheme="minorHAnsi"/>
                <w:bCs/>
                <w:iCs/>
                <w:noProof/>
              </w:rPr>
              <w:t>aportul evidențiază că modernizarea și îmbunătățirea rețelei de monitorizare a calității aerului și sprijinirea raportării în timp util a datelor privind calitatea aerului sunt de o importanță capitală.</w:t>
            </w:r>
          </w:p>
          <w:p w14:paraId="70FEF309" w14:textId="5CCE736C" w:rsidR="00791727" w:rsidRPr="001552C0" w:rsidRDefault="00791727" w:rsidP="002427EA">
            <w:pPr>
              <w:jc w:val="both"/>
              <w:rPr>
                <w:rFonts w:eastAsia="Times New Roman" w:cstheme="minorHAnsi"/>
                <w:bCs/>
                <w:iCs/>
                <w:noProof/>
              </w:rPr>
            </w:pPr>
            <w:r w:rsidRPr="001552C0">
              <w:rPr>
                <w:rFonts w:eastAsia="Times New Roman" w:cstheme="minorHAnsi"/>
                <w:bCs/>
                <w:iCs/>
                <w:noProof/>
              </w:rPr>
              <w:t xml:space="preserve">Astfel, prin PODD sunt vizate investițiile de modernizare a monitorizării calității aerului și cele privind eficiența energetică în </w:t>
            </w:r>
            <w:r w:rsidR="00753634">
              <w:rPr>
                <w:rFonts w:eastAsia="Times New Roman" w:cstheme="minorHAnsi"/>
                <w:bCs/>
                <w:iCs/>
                <w:noProof/>
              </w:rPr>
              <w:t xml:space="preserve"> sisteme de </w:t>
            </w:r>
            <w:r w:rsidR="00E80410" w:rsidRPr="001552C0">
              <w:rPr>
                <w:rFonts w:eastAsia="Times New Roman" w:cstheme="minorHAnsi"/>
                <w:bCs/>
                <w:iCs/>
                <w:noProof/>
              </w:rPr>
              <w:t>încălzire centralizată</w:t>
            </w:r>
            <w:r w:rsidR="00753634">
              <w:rPr>
                <w:rFonts w:eastAsia="Times New Roman" w:cstheme="minorHAnsi"/>
                <w:bCs/>
                <w:iCs/>
                <w:noProof/>
              </w:rPr>
              <w:t xml:space="preserve"> (SACET)</w:t>
            </w:r>
            <w:r w:rsidRPr="001552C0">
              <w:rPr>
                <w:rFonts w:eastAsia="Times New Roman" w:cstheme="minorHAnsi"/>
                <w:bCs/>
                <w:iCs/>
                <w:noProof/>
              </w:rPr>
              <w:t>, restul măsurilor care conduc la îmbunătățirea calității aerului (</w:t>
            </w:r>
            <w:r w:rsidR="000B2815">
              <w:rPr>
                <w:rFonts w:eastAsia="Times New Roman" w:cstheme="minorHAnsi"/>
                <w:bCs/>
                <w:iCs/>
                <w:noProof/>
              </w:rPr>
              <w:t xml:space="preserve">ex. </w:t>
            </w:r>
            <w:r w:rsidRPr="001552C0">
              <w:rPr>
                <w:rFonts w:eastAsia="Times New Roman" w:cstheme="minorHAnsi"/>
                <w:bCs/>
                <w:iCs/>
                <w:noProof/>
              </w:rPr>
              <w:t>eficiența energetică în clădiri</w:t>
            </w:r>
            <w:r w:rsidR="00753634">
              <w:rPr>
                <w:rFonts w:eastAsia="Times New Roman" w:cstheme="minorHAnsi"/>
                <w:bCs/>
                <w:iCs/>
                <w:noProof/>
              </w:rPr>
              <w:t xml:space="preserve"> publice și rezidențiale</w:t>
            </w:r>
            <w:r w:rsidRPr="001552C0">
              <w:rPr>
                <w:rFonts w:eastAsia="Times New Roman" w:cstheme="minorHAnsi"/>
                <w:bCs/>
                <w:iCs/>
                <w:noProof/>
              </w:rPr>
              <w:t xml:space="preserve"> , </w:t>
            </w:r>
            <w:r w:rsidR="00D81ECB">
              <w:rPr>
                <w:rFonts w:eastAsia="Times New Roman" w:cstheme="minorHAnsi"/>
                <w:bCs/>
                <w:iCs/>
                <w:noProof/>
              </w:rPr>
              <w:t>mobilitate urbană</w:t>
            </w:r>
            <w:r w:rsidR="00753634">
              <w:rPr>
                <w:rFonts w:eastAsia="Times New Roman" w:cstheme="minorHAnsi"/>
                <w:bCs/>
                <w:iCs/>
                <w:noProof/>
              </w:rPr>
              <w:t xml:space="preserve"> etc.</w:t>
            </w:r>
            <w:r w:rsidRPr="001552C0">
              <w:rPr>
                <w:rFonts w:eastAsia="Times New Roman" w:cstheme="minorHAnsi"/>
                <w:bCs/>
                <w:iCs/>
                <w:noProof/>
              </w:rPr>
              <w:t>) vor fi realizate prin programele regionale</w:t>
            </w:r>
            <w:r w:rsidR="00B444E4">
              <w:rPr>
                <w:rFonts w:eastAsia="Times New Roman" w:cstheme="minorHAnsi"/>
                <w:bCs/>
                <w:iCs/>
                <w:noProof/>
              </w:rPr>
              <w:t xml:space="preserve"> și tranziție justă</w:t>
            </w:r>
            <w:r w:rsidRPr="001552C0">
              <w:rPr>
                <w:rFonts w:eastAsia="Times New Roman" w:cstheme="minorHAnsi"/>
                <w:bCs/>
                <w:iCs/>
                <w:noProof/>
              </w:rPr>
              <w:t>.</w:t>
            </w:r>
          </w:p>
          <w:p w14:paraId="3AB9CCA8" w14:textId="23DD279E" w:rsidR="001C6855" w:rsidRPr="001552C0" w:rsidRDefault="00532960" w:rsidP="00734448">
            <w:pPr>
              <w:spacing w:before="120" w:after="120" w:line="240" w:lineRule="auto"/>
              <w:jc w:val="both"/>
              <w:rPr>
                <w:rFonts w:eastAsia="Times New Roman" w:cstheme="minorHAnsi"/>
                <w:b/>
                <w:bCs/>
                <w:i/>
                <w:iCs/>
                <w:noProof/>
              </w:rPr>
            </w:pPr>
            <w:r w:rsidRPr="001552C0">
              <w:rPr>
                <w:rFonts w:eastAsia="Times New Roman" w:cstheme="minorHAnsi"/>
                <w:b/>
                <w:bCs/>
                <w:i/>
                <w:iCs/>
                <w:noProof/>
              </w:rPr>
              <w:t>Slaba cunoaștere a situației privind</w:t>
            </w:r>
            <w:r w:rsidR="001C6855" w:rsidRPr="001552C0">
              <w:rPr>
                <w:rFonts w:eastAsia="Times New Roman" w:cstheme="minorHAnsi"/>
                <w:b/>
                <w:bCs/>
                <w:i/>
                <w:iCs/>
                <w:noProof/>
              </w:rPr>
              <w:t xml:space="preserve"> situri</w:t>
            </w:r>
            <w:r w:rsidRPr="001552C0">
              <w:rPr>
                <w:rFonts w:eastAsia="Times New Roman" w:cstheme="minorHAnsi"/>
                <w:b/>
                <w:bCs/>
                <w:i/>
                <w:iCs/>
                <w:noProof/>
              </w:rPr>
              <w:t>le</w:t>
            </w:r>
            <w:r w:rsidR="001C6855" w:rsidRPr="001552C0">
              <w:rPr>
                <w:rFonts w:eastAsia="Times New Roman" w:cstheme="minorHAnsi"/>
                <w:b/>
                <w:bCs/>
                <w:i/>
                <w:iCs/>
                <w:noProof/>
              </w:rPr>
              <w:t xml:space="preserve"> contaminate şi risc crescut asupra sănătăţii umane şi a mediului</w:t>
            </w:r>
          </w:p>
          <w:p w14:paraId="0C1B61E9" w14:textId="06A8669B" w:rsidR="00337A92" w:rsidRPr="001552C0" w:rsidRDefault="001E4C26" w:rsidP="00337A92">
            <w:pPr>
              <w:jc w:val="both"/>
              <w:rPr>
                <w:rFonts w:eastAsia="Times New Roman" w:cstheme="minorHAnsi"/>
                <w:iCs/>
                <w:noProof/>
                <w:szCs w:val="24"/>
              </w:rPr>
            </w:pPr>
            <w:r w:rsidRPr="001552C0">
              <w:rPr>
                <w:rFonts w:eastAsia="Times New Roman" w:cstheme="minorHAnsi"/>
                <w:iCs/>
                <w:noProof/>
                <w:szCs w:val="24"/>
              </w:rPr>
              <w:t xml:space="preserve">În anul 2015 România a adoptat </w:t>
            </w:r>
            <w:r w:rsidR="00337A92" w:rsidRPr="001552C0">
              <w:rPr>
                <w:rFonts w:eastAsia="Times New Roman" w:cstheme="minorHAnsi"/>
                <w:iCs/>
                <w:noProof/>
                <w:szCs w:val="24"/>
              </w:rPr>
              <w:t>Strategi</w:t>
            </w:r>
            <w:r w:rsidRPr="001552C0">
              <w:rPr>
                <w:rFonts w:eastAsia="Times New Roman" w:cstheme="minorHAnsi"/>
                <w:iCs/>
                <w:noProof/>
                <w:szCs w:val="24"/>
              </w:rPr>
              <w:t>a Naționala</w:t>
            </w:r>
            <w:r w:rsidR="00337A92" w:rsidRPr="001552C0">
              <w:rPr>
                <w:rFonts w:eastAsia="Times New Roman" w:cstheme="minorHAnsi"/>
                <w:iCs/>
                <w:noProof/>
                <w:szCs w:val="24"/>
              </w:rPr>
              <w:t xml:space="preserve"> și</w:t>
            </w:r>
            <w:r w:rsidRPr="001552C0">
              <w:rPr>
                <w:rFonts w:eastAsia="Times New Roman" w:cstheme="minorHAnsi"/>
                <w:iCs/>
                <w:noProof/>
                <w:szCs w:val="24"/>
              </w:rPr>
              <w:t xml:space="preserve"> Planul</w:t>
            </w:r>
            <w:r w:rsidR="00337A92" w:rsidRPr="001552C0">
              <w:rPr>
                <w:rFonts w:eastAsia="Times New Roman" w:cstheme="minorHAnsi"/>
                <w:iCs/>
                <w:noProof/>
                <w:szCs w:val="24"/>
              </w:rPr>
              <w:t xml:space="preserve"> Național pentru Gestionarea Siturilor Contaminat</w:t>
            </w:r>
            <w:r w:rsidRPr="001552C0">
              <w:rPr>
                <w:rFonts w:eastAsia="Times New Roman" w:cstheme="minorHAnsi"/>
                <w:iCs/>
                <w:noProof/>
                <w:szCs w:val="24"/>
              </w:rPr>
              <w:t xml:space="preserve">e din România (HG nr. 683/2015). </w:t>
            </w:r>
            <w:r w:rsidR="00337A92" w:rsidRPr="001552C0">
              <w:rPr>
                <w:rFonts w:eastAsia="Times New Roman" w:cstheme="minorHAnsi"/>
                <w:iCs/>
                <w:noProof/>
                <w:szCs w:val="24"/>
              </w:rPr>
              <w:t xml:space="preserve"> </w:t>
            </w:r>
            <w:r w:rsidRPr="001552C0">
              <w:rPr>
                <w:rFonts w:eastAsia="Times New Roman" w:cstheme="minorHAnsi"/>
                <w:iCs/>
                <w:noProof/>
                <w:szCs w:val="24"/>
              </w:rPr>
              <w:t xml:space="preserve">Strategia identifica un număr de </w:t>
            </w:r>
            <w:r w:rsidR="00337A92" w:rsidRPr="001552C0">
              <w:rPr>
                <w:rFonts w:eastAsia="Times New Roman" w:cstheme="minorHAnsi"/>
                <w:iCs/>
                <w:noProof/>
                <w:szCs w:val="24"/>
              </w:rPr>
              <w:t>1393 situri contaminate</w:t>
            </w:r>
            <w:r w:rsidRPr="001552C0">
              <w:t xml:space="preserve"> </w:t>
            </w:r>
            <w:r w:rsidRPr="001552C0">
              <w:rPr>
                <w:rFonts w:eastAsia="Times New Roman" w:cstheme="minorHAnsi"/>
                <w:iCs/>
                <w:noProof/>
                <w:szCs w:val="24"/>
              </w:rPr>
              <w:t>şi potenţial contaminate</w:t>
            </w:r>
            <w:r w:rsidR="00337A92" w:rsidRPr="001552C0">
              <w:rPr>
                <w:rFonts w:eastAsia="Times New Roman" w:cstheme="minorHAnsi"/>
                <w:iCs/>
                <w:noProof/>
                <w:szCs w:val="24"/>
              </w:rPr>
              <w:t xml:space="preserve">, dintre care 210 situri contaminate istoric şi 1183 situri potenţial contaminate, ca urmare a desfăşurării activităţilor economice. </w:t>
            </w:r>
            <w:r w:rsidRPr="001552C0">
              <w:rPr>
                <w:rFonts w:eastAsia="Times New Roman" w:cstheme="minorHAnsi"/>
                <w:iCs/>
                <w:noProof/>
                <w:szCs w:val="24"/>
              </w:rPr>
              <w:t>Numărul mare al siturilor potenţial contaminate şi contaminate se datorează includerii siturilor din industria minieră şi metalurgică, a siturilor din industria petrolieră şi a depozitelor de deşeuri menajere neconforme.</w:t>
            </w:r>
          </w:p>
          <w:p w14:paraId="3A875DAE" w14:textId="7C236197" w:rsidR="0034797C" w:rsidRPr="001552C0" w:rsidRDefault="0034797C" w:rsidP="00337A92">
            <w:pPr>
              <w:jc w:val="both"/>
              <w:rPr>
                <w:rFonts w:eastAsia="Times New Roman" w:cstheme="minorHAnsi"/>
                <w:iCs/>
                <w:noProof/>
                <w:szCs w:val="24"/>
              </w:rPr>
            </w:pPr>
            <w:r w:rsidRPr="001552C0">
              <w:rPr>
                <w:rFonts w:eastAsia="Times New Roman" w:cstheme="minorHAnsi"/>
                <w:iCs/>
                <w:noProof/>
                <w:szCs w:val="24"/>
              </w:rPr>
              <w:t>Totodată, conform Raportului de Țară din 2019, România a rămas în urmă cu privire la câteva componente esenţiale care afectează nivelul de trai, printre care şi</w:t>
            </w:r>
            <w:r w:rsidR="0035433E" w:rsidRPr="001552C0">
              <w:rPr>
                <w:rFonts w:eastAsia="Times New Roman" w:cstheme="minorHAnsi"/>
                <w:iCs/>
                <w:noProof/>
                <w:szCs w:val="24"/>
              </w:rPr>
              <w:t xml:space="preserve"> remedierea</w:t>
            </w:r>
            <w:r w:rsidRPr="001552C0">
              <w:rPr>
                <w:rFonts w:eastAsia="Times New Roman" w:cstheme="minorHAnsi"/>
                <w:iCs/>
                <w:noProof/>
                <w:szCs w:val="24"/>
              </w:rPr>
              <w:t xml:space="preserve"> siturilor.</w:t>
            </w:r>
          </w:p>
          <w:p w14:paraId="2BF667EA" w14:textId="7463E3D3" w:rsidR="006C6D51" w:rsidRPr="001552C0" w:rsidRDefault="00337A92" w:rsidP="00337A92">
            <w:pPr>
              <w:jc w:val="both"/>
              <w:rPr>
                <w:rFonts w:eastAsia="Times New Roman" w:cstheme="minorHAnsi"/>
                <w:iCs/>
                <w:noProof/>
                <w:szCs w:val="24"/>
              </w:rPr>
            </w:pPr>
            <w:r w:rsidRPr="001552C0">
              <w:rPr>
                <w:rFonts w:eastAsia="Times New Roman" w:cstheme="minorHAnsi"/>
                <w:iCs/>
                <w:noProof/>
                <w:szCs w:val="24"/>
              </w:rPr>
              <w:t xml:space="preserve">Astfel, </w:t>
            </w:r>
            <w:r w:rsidR="006C6D51" w:rsidRPr="001552C0">
              <w:rPr>
                <w:rFonts w:eastAsia="Times New Roman" w:cstheme="minorHAnsi"/>
                <w:iCs/>
                <w:noProof/>
                <w:szCs w:val="24"/>
              </w:rPr>
              <w:t xml:space="preserve">pentru a minimiza riscurile potențiale asupra sănătății umane, a calității soluril, </w:t>
            </w:r>
            <w:r w:rsidR="000B6B9B" w:rsidRPr="001552C0">
              <w:rPr>
                <w:rFonts w:eastAsia="Times New Roman" w:cstheme="minorHAnsi"/>
                <w:iCs/>
                <w:noProof/>
                <w:szCs w:val="24"/>
              </w:rPr>
              <w:t xml:space="preserve">subsolului, </w:t>
            </w:r>
            <w:r w:rsidR="006C6D51" w:rsidRPr="001552C0">
              <w:rPr>
                <w:rFonts w:eastAsia="Times New Roman" w:cstheme="minorHAnsi"/>
                <w:iCs/>
                <w:noProof/>
                <w:szCs w:val="24"/>
              </w:rPr>
              <w:t>apelor subterane și apelor de suprafață, ecosistemelor și altele asemenea, sunt necesare investi</w:t>
            </w:r>
            <w:r w:rsidR="003064BC" w:rsidRPr="001552C0">
              <w:rPr>
                <w:rFonts w:eastAsia="Times New Roman" w:cstheme="minorHAnsi"/>
                <w:iCs/>
                <w:noProof/>
                <w:szCs w:val="24"/>
              </w:rPr>
              <w:t>ț</w:t>
            </w:r>
            <w:r w:rsidR="006C6D51" w:rsidRPr="001552C0">
              <w:rPr>
                <w:rFonts w:eastAsia="Times New Roman" w:cstheme="minorHAnsi"/>
                <w:iCs/>
                <w:noProof/>
                <w:szCs w:val="24"/>
              </w:rPr>
              <w:t>ii care s</w:t>
            </w:r>
            <w:r w:rsidR="003064BC" w:rsidRPr="001552C0">
              <w:rPr>
                <w:rFonts w:eastAsia="Times New Roman" w:cstheme="minorHAnsi"/>
                <w:iCs/>
                <w:noProof/>
                <w:szCs w:val="24"/>
              </w:rPr>
              <w:t>ă</w:t>
            </w:r>
            <w:r w:rsidR="006C6D51" w:rsidRPr="001552C0">
              <w:rPr>
                <w:rFonts w:eastAsia="Times New Roman" w:cstheme="minorHAnsi"/>
                <w:iCs/>
                <w:noProof/>
                <w:szCs w:val="24"/>
              </w:rPr>
              <w:t xml:space="preserve"> aib</w:t>
            </w:r>
            <w:r w:rsidR="003064BC" w:rsidRPr="001552C0">
              <w:rPr>
                <w:rFonts w:eastAsia="Times New Roman" w:cstheme="minorHAnsi"/>
                <w:iCs/>
                <w:noProof/>
                <w:szCs w:val="24"/>
              </w:rPr>
              <w:t>ă</w:t>
            </w:r>
            <w:r w:rsidR="006C6D51" w:rsidRPr="001552C0">
              <w:rPr>
                <w:rFonts w:eastAsia="Times New Roman" w:cstheme="minorHAnsi"/>
                <w:iCs/>
                <w:noProof/>
                <w:szCs w:val="24"/>
              </w:rPr>
              <w:t xml:space="preserve"> ca rezultat reducerea numărului acestor situri şi a riscului generat de acestea asupra sănătăţii umane şi a mediului. </w:t>
            </w:r>
          </w:p>
          <w:p w14:paraId="1187E4A4" w14:textId="5D64AE77" w:rsidR="00337A92" w:rsidRPr="001552C0" w:rsidRDefault="006C6D51" w:rsidP="00337A92">
            <w:pPr>
              <w:jc w:val="both"/>
              <w:rPr>
                <w:rFonts w:eastAsia="Times New Roman" w:cstheme="minorHAnsi"/>
                <w:iCs/>
                <w:noProof/>
                <w:szCs w:val="24"/>
              </w:rPr>
            </w:pPr>
            <w:r w:rsidRPr="001552C0">
              <w:rPr>
                <w:rFonts w:eastAsia="Times New Roman" w:cstheme="minorHAnsi"/>
                <w:iCs/>
                <w:noProof/>
                <w:szCs w:val="24"/>
              </w:rPr>
              <w:t>Investi</w:t>
            </w:r>
            <w:r w:rsidR="003064BC" w:rsidRPr="001552C0">
              <w:rPr>
                <w:rFonts w:eastAsia="Times New Roman" w:cstheme="minorHAnsi"/>
                <w:iCs/>
                <w:noProof/>
                <w:szCs w:val="24"/>
              </w:rPr>
              <w:t>ț</w:t>
            </w:r>
            <w:r w:rsidRPr="001552C0">
              <w:rPr>
                <w:rFonts w:eastAsia="Times New Roman" w:cstheme="minorHAnsi"/>
                <w:iCs/>
                <w:noProof/>
                <w:szCs w:val="24"/>
              </w:rPr>
              <w:t xml:space="preserve">iile PODD vor </w:t>
            </w:r>
            <w:r w:rsidR="00322D77" w:rsidRPr="001552C0">
              <w:rPr>
                <w:rFonts w:eastAsia="Times New Roman" w:cstheme="minorHAnsi"/>
                <w:iCs/>
                <w:noProof/>
                <w:szCs w:val="24"/>
              </w:rPr>
              <w:t>promova</w:t>
            </w:r>
            <w:r w:rsidRPr="001552C0">
              <w:rPr>
                <w:rFonts w:eastAsia="Times New Roman" w:cstheme="minorHAnsi"/>
                <w:iCs/>
                <w:noProof/>
                <w:szCs w:val="24"/>
              </w:rPr>
              <w:t xml:space="preserve">, </w:t>
            </w:r>
            <w:r w:rsidR="003064BC" w:rsidRPr="001552C0">
              <w:rPr>
                <w:rFonts w:eastAsia="Times New Roman" w:cstheme="minorHAnsi"/>
                <w:iCs/>
                <w:noProof/>
                <w:szCs w:val="24"/>
              </w:rPr>
              <w:t>î</w:t>
            </w:r>
            <w:r w:rsidRPr="001552C0">
              <w:rPr>
                <w:rFonts w:eastAsia="Times New Roman" w:cstheme="minorHAnsi"/>
                <w:iCs/>
                <w:noProof/>
                <w:szCs w:val="24"/>
              </w:rPr>
              <w:t>n principal, m</w:t>
            </w:r>
            <w:r w:rsidR="003064BC" w:rsidRPr="001552C0">
              <w:rPr>
                <w:rFonts w:eastAsia="Times New Roman" w:cstheme="minorHAnsi"/>
                <w:iCs/>
                <w:noProof/>
                <w:szCs w:val="24"/>
              </w:rPr>
              <w:t>ă</w:t>
            </w:r>
            <w:r w:rsidRPr="001552C0">
              <w:rPr>
                <w:rFonts w:eastAsia="Times New Roman" w:cstheme="minorHAnsi"/>
                <w:iCs/>
                <w:noProof/>
                <w:szCs w:val="24"/>
              </w:rPr>
              <w:t xml:space="preserve">suri de </w:t>
            </w:r>
            <w:r w:rsidR="00160218" w:rsidRPr="001552C0">
              <w:rPr>
                <w:rFonts w:eastAsia="Times New Roman" w:cstheme="minorHAnsi"/>
                <w:iCs/>
                <w:noProof/>
                <w:szCs w:val="24"/>
              </w:rPr>
              <w:t>investigare preliminară și detaliată, evaluarea riscului asupra mediului și, ulterior,</w:t>
            </w:r>
            <w:r w:rsidR="003064BC" w:rsidRPr="001552C0">
              <w:rPr>
                <w:rFonts w:eastAsia="Times New Roman" w:cstheme="minorHAnsi"/>
                <w:iCs/>
                <w:noProof/>
                <w:szCs w:val="24"/>
              </w:rPr>
              <w:t xml:space="preserve"> </w:t>
            </w:r>
            <w:r w:rsidR="000B6B9B" w:rsidRPr="001552C0">
              <w:rPr>
                <w:rFonts w:eastAsia="Times New Roman" w:cstheme="minorHAnsi"/>
                <w:iCs/>
                <w:noProof/>
                <w:szCs w:val="24"/>
              </w:rPr>
              <w:t>remediere</w:t>
            </w:r>
            <w:r w:rsidRPr="001552C0">
              <w:rPr>
                <w:rFonts w:eastAsia="Times New Roman" w:cstheme="minorHAnsi"/>
                <w:iCs/>
                <w:noProof/>
                <w:szCs w:val="24"/>
              </w:rPr>
              <w:t xml:space="preserve">a siturilor contaminate, inclusiv refacerea ecosistemelor naturale </w:t>
            </w:r>
            <w:r w:rsidR="003064BC" w:rsidRPr="001552C0">
              <w:rPr>
                <w:rFonts w:eastAsia="Times New Roman" w:cstheme="minorHAnsi"/>
                <w:iCs/>
                <w:noProof/>
                <w:szCs w:val="24"/>
              </w:rPr>
              <w:t>ș</w:t>
            </w:r>
            <w:r w:rsidRPr="001552C0">
              <w:rPr>
                <w:rFonts w:eastAsia="Times New Roman" w:cstheme="minorHAnsi"/>
                <w:iCs/>
                <w:noProof/>
                <w:szCs w:val="24"/>
              </w:rPr>
              <w:t>i asigura</w:t>
            </w:r>
            <w:r w:rsidR="00322D77" w:rsidRPr="001552C0">
              <w:rPr>
                <w:rFonts w:eastAsia="Times New Roman" w:cstheme="minorHAnsi"/>
                <w:iCs/>
                <w:noProof/>
                <w:szCs w:val="24"/>
              </w:rPr>
              <w:t>rea calit</w:t>
            </w:r>
            <w:r w:rsidR="003064BC" w:rsidRPr="001552C0">
              <w:rPr>
                <w:rFonts w:eastAsia="Times New Roman" w:cstheme="minorHAnsi"/>
                <w:iCs/>
                <w:noProof/>
                <w:szCs w:val="24"/>
              </w:rPr>
              <w:t>ăț</w:t>
            </w:r>
            <w:r w:rsidRPr="001552C0">
              <w:rPr>
                <w:rFonts w:eastAsia="Times New Roman" w:cstheme="minorHAnsi"/>
                <w:iCs/>
                <w:noProof/>
                <w:szCs w:val="24"/>
              </w:rPr>
              <w:t>ii fatorilor de mediu, în vederea protejării sănătăţii umane.</w:t>
            </w:r>
          </w:p>
          <w:p w14:paraId="0ED04C00" w14:textId="73872C8D" w:rsidR="00E70FFC" w:rsidRPr="001552C0" w:rsidRDefault="00337A92" w:rsidP="006C6D51">
            <w:pPr>
              <w:jc w:val="both"/>
              <w:rPr>
                <w:rFonts w:eastAsia="Times New Roman" w:cstheme="minorHAnsi"/>
                <w:b/>
                <w:bCs/>
                <w:i/>
                <w:iCs/>
                <w:noProof/>
              </w:rPr>
            </w:pPr>
            <w:r w:rsidRPr="001552C0">
              <w:rPr>
                <w:rFonts w:eastAsia="Times New Roman" w:cstheme="minorHAnsi"/>
                <w:iCs/>
                <w:noProof/>
                <w:szCs w:val="24"/>
              </w:rPr>
              <w:t xml:space="preserve"> </w:t>
            </w:r>
            <w:r w:rsidR="00E70FFC" w:rsidRPr="001552C0">
              <w:rPr>
                <w:rFonts w:eastAsia="Times New Roman" w:cstheme="minorHAnsi"/>
                <w:b/>
                <w:bCs/>
                <w:i/>
                <w:iCs/>
                <w:noProof/>
              </w:rPr>
              <w:t>Gradul insuficient de adaptare la efectele schimbărilor climatice şi</w:t>
            </w:r>
            <w:r w:rsidR="00985EC5" w:rsidRPr="001552C0">
              <w:rPr>
                <w:rFonts w:eastAsia="Times New Roman" w:cstheme="minorHAnsi"/>
                <w:b/>
                <w:bCs/>
                <w:i/>
                <w:iCs/>
                <w:noProof/>
              </w:rPr>
              <w:t xml:space="preserve"> managementul</w:t>
            </w:r>
            <w:r w:rsidR="00E70FFC" w:rsidRPr="001552C0">
              <w:rPr>
                <w:rFonts w:eastAsia="Times New Roman" w:cstheme="minorHAnsi"/>
                <w:b/>
                <w:bCs/>
                <w:i/>
                <w:iCs/>
                <w:noProof/>
              </w:rPr>
              <w:t xml:space="preserve"> riscurilor</w:t>
            </w:r>
          </w:p>
          <w:p w14:paraId="41391038" w14:textId="5C1F2091" w:rsidR="00853635" w:rsidRPr="001552C0" w:rsidRDefault="00853635" w:rsidP="00512C94">
            <w:pPr>
              <w:jc w:val="both"/>
              <w:rPr>
                <w:rFonts w:eastAsia="Times New Roman" w:cstheme="minorHAnsi"/>
                <w:iCs/>
                <w:noProof/>
                <w:szCs w:val="24"/>
              </w:rPr>
            </w:pPr>
            <w:r w:rsidRPr="001552C0">
              <w:rPr>
                <w:rFonts w:eastAsia="Times New Roman" w:cstheme="minorHAnsi"/>
                <w:iCs/>
                <w:noProof/>
                <w:szCs w:val="24"/>
              </w:rPr>
              <w:lastRenderedPageBreak/>
              <w:t xml:space="preserve">Raportul de Țară din 2020 evidențiază că frecvența mai mare a fenomenelor meteorologice extreme a provocat deja daune materiale în ultima perioadă. În ultimele două decenii, România a fost afectată </w:t>
            </w:r>
            <w:r w:rsidR="00FD11A3">
              <w:rPr>
                <w:rFonts w:eastAsia="Times New Roman" w:cstheme="minorHAnsi"/>
                <w:iCs/>
                <w:noProof/>
                <w:szCs w:val="24"/>
              </w:rPr>
              <w:t xml:space="preserve"> </w:t>
            </w:r>
            <w:r w:rsidRPr="001552C0">
              <w:rPr>
                <w:rFonts w:eastAsia="Times New Roman" w:cstheme="minorHAnsi"/>
                <w:iCs/>
                <w:noProof/>
                <w:szCs w:val="24"/>
              </w:rPr>
              <w:t>de inundații ale bazinelor hidrografice și ale zonei costiere, precum și de secete severe care ar putea fi urmarea schimbărilor climatice. România se numără printre țările UE care sunt cel mai expuse inundațiilor de amploare, iar aproximativ 13 % din suprafața țării reprezintă zone inundabile. Totodată,  Raportul evidențiază că în perioada 2002-2012, România s-a numărat printre țările din UE cu cel mai mare număr de decese cauzate de inundații și cu cele mai multe locuințe deteriorate, costurile directe totale fiind estimate la 3,6 miliarde EUR. Investițiile pentru gestionarea inundațiilor viitoare identificate în planurile de management al riscului de inundații se ridică la aproximativ 3,7 miliarde EUR. În absența unor politici privind schimbările climatice, clima se va schimba în mod considerabil în următorii 50-100 de ani, ceea ce va duce la o pierdere de aproximativ 8-10 % din PIB</w:t>
            </w:r>
            <w:r w:rsidR="00313EB3" w:rsidRPr="001552C0">
              <w:rPr>
                <w:rFonts w:eastAsia="Times New Roman" w:cstheme="minorHAnsi"/>
                <w:iCs/>
                <w:noProof/>
                <w:szCs w:val="24"/>
              </w:rPr>
              <w:t>-</w:t>
            </w:r>
            <w:r w:rsidRPr="001552C0">
              <w:rPr>
                <w:rFonts w:eastAsia="Times New Roman" w:cstheme="minorHAnsi"/>
                <w:iCs/>
                <w:noProof/>
                <w:szCs w:val="24"/>
              </w:rPr>
              <w:t>ul pe cap de locuitor în România până în 2100.</w:t>
            </w:r>
          </w:p>
          <w:p w14:paraId="25998DD4" w14:textId="5F5695FA" w:rsidR="000907D5" w:rsidRPr="001552C0" w:rsidRDefault="000907D5" w:rsidP="00512C94">
            <w:pPr>
              <w:jc w:val="both"/>
              <w:rPr>
                <w:rFonts w:eastAsia="Times New Roman" w:cstheme="minorHAnsi"/>
                <w:iCs/>
                <w:noProof/>
                <w:szCs w:val="24"/>
              </w:rPr>
            </w:pPr>
            <w:r w:rsidRPr="001552C0">
              <w:rPr>
                <w:rFonts w:eastAsia="Times New Roman" w:cstheme="minorHAnsi"/>
                <w:iCs/>
                <w:noProof/>
                <w:szCs w:val="24"/>
              </w:rPr>
              <w:t xml:space="preserve">Conform Raportului de ţară realizat de Direcția Generală Mediu din cadrul Comisiei Europene “Evaluarea din 2019 a punerii în aplicare a politicilor de mediu ale UE - Raport de țară - România”, aprilie 2019, România înregistrează întârzieri în ceea ce privește măsurile de adaptare la schimbările climatice, prevenirea inundațiilor și a altor pericole naturale. </w:t>
            </w:r>
            <w:r w:rsidR="000D7232" w:rsidRPr="001552C0">
              <w:rPr>
                <w:rFonts w:eastAsia="Times New Roman" w:cstheme="minorHAnsi"/>
                <w:iCs/>
                <w:noProof/>
                <w:szCs w:val="24"/>
              </w:rPr>
              <w:t xml:space="preserve">In raport au fost </w:t>
            </w:r>
            <w:r w:rsidRPr="001552C0">
              <w:rPr>
                <w:rFonts w:eastAsia="Times New Roman" w:cstheme="minorHAnsi"/>
                <w:iCs/>
                <w:noProof/>
                <w:szCs w:val="24"/>
              </w:rPr>
              <w:t>identificat</w:t>
            </w:r>
            <w:r w:rsidR="000D7232" w:rsidRPr="001552C0">
              <w:rPr>
                <w:rFonts w:eastAsia="Times New Roman" w:cstheme="minorHAnsi"/>
                <w:iCs/>
                <w:noProof/>
                <w:szCs w:val="24"/>
              </w:rPr>
              <w:t>e</w:t>
            </w:r>
            <w:r w:rsidRPr="001552C0">
              <w:rPr>
                <w:rFonts w:eastAsia="Times New Roman" w:cstheme="minorHAnsi"/>
                <w:iCs/>
                <w:noProof/>
                <w:szCs w:val="24"/>
              </w:rPr>
              <w:t xml:space="preserve"> nevoile de investiții prioritare pentru a promova adaptarea la schimbările climatice, prevenirea riscurilor și reziliența în fața dezastrelor și, în special, pentru a pune în aplicare strategii de prevenire a riscurilor și a aborda riscurile legate de schimbările climatice și riscurile naturale (inundații, secetă, incendii forestiere, alunecări de teren, cutremure), conform priorităților stabilite la nivel național și în cadrul coordonării și cooperării transfrontaliere și transnaționale.</w:t>
            </w:r>
          </w:p>
          <w:p w14:paraId="2C8F8D50" w14:textId="5110B53E" w:rsidR="00C76839" w:rsidRPr="001552C0" w:rsidRDefault="000907D5" w:rsidP="00512C94">
            <w:pPr>
              <w:jc w:val="both"/>
              <w:rPr>
                <w:rFonts w:eastAsia="Times New Roman" w:cstheme="minorHAnsi"/>
                <w:iCs/>
                <w:noProof/>
                <w:szCs w:val="24"/>
              </w:rPr>
            </w:pPr>
            <w:r w:rsidRPr="001552C0">
              <w:rPr>
                <w:rFonts w:eastAsia="Times New Roman" w:cstheme="minorHAnsi"/>
                <w:iCs/>
                <w:noProof/>
                <w:szCs w:val="24"/>
              </w:rPr>
              <w:t xml:space="preserve">Conform Evaluării riscului de dezastre la nivel național, </w:t>
            </w:r>
            <w:r w:rsidR="00C76839" w:rsidRPr="001552C0">
              <w:rPr>
                <w:rFonts w:eastAsia="Times New Roman" w:cstheme="minorHAnsi"/>
                <w:iCs/>
                <w:noProof/>
                <w:szCs w:val="24"/>
              </w:rPr>
              <w:t xml:space="preserve">conform datelor istorice, </w:t>
            </w:r>
            <w:r w:rsidRPr="001552C0">
              <w:rPr>
                <w:rFonts w:eastAsia="Times New Roman" w:cstheme="minorHAnsi"/>
                <w:iCs/>
                <w:noProof/>
                <w:szCs w:val="24"/>
              </w:rPr>
              <w:t xml:space="preserve">inundaţiile </w:t>
            </w:r>
            <w:r w:rsidR="00C76839" w:rsidRPr="001552C0">
              <w:rPr>
                <w:rFonts w:eastAsia="Times New Roman" w:cstheme="minorHAnsi"/>
                <w:iCs/>
                <w:noProof/>
                <w:szCs w:val="24"/>
              </w:rPr>
              <w:t>și seceta se află printre riscurile cu cea mai mare frecvență pe teritoriul României.</w:t>
            </w:r>
          </w:p>
          <w:p w14:paraId="14EBDFC3" w14:textId="77777777" w:rsidR="000E7168" w:rsidRPr="001552C0" w:rsidRDefault="000907D5" w:rsidP="00EC3FE9">
            <w:pPr>
              <w:jc w:val="both"/>
              <w:rPr>
                <w:rFonts w:eastAsia="Times New Roman" w:cstheme="minorHAnsi"/>
                <w:iCs/>
                <w:noProof/>
                <w:szCs w:val="24"/>
              </w:rPr>
            </w:pPr>
            <w:r w:rsidRPr="001552C0">
              <w:rPr>
                <w:rFonts w:eastAsia="Times New Roman" w:cstheme="minorHAnsi"/>
                <w:iCs/>
                <w:noProof/>
                <w:szCs w:val="24"/>
              </w:rPr>
              <w:t>În ceea ce privește managementul riscurilor, este în continuare nevoie de investiții în vederea asigurării unei societăți reziliente la riscuri și dezastre și adaptată la realitatea operațională. Astfel sunt necesare investiții</w:t>
            </w:r>
            <w:r w:rsidR="00EC3FE9" w:rsidRPr="001552C0">
              <w:rPr>
                <w:rFonts w:eastAsia="Times New Roman" w:cstheme="minorHAnsi"/>
                <w:iCs/>
                <w:noProof/>
                <w:szCs w:val="24"/>
              </w:rPr>
              <w:t xml:space="preserve"> privind prevenirea riscurilor, dar si de investi</w:t>
            </w:r>
            <w:r w:rsidR="00E54FDB" w:rsidRPr="001552C0">
              <w:rPr>
                <w:rFonts w:eastAsia="Times New Roman" w:cstheme="minorHAnsi"/>
                <w:iCs/>
                <w:noProof/>
                <w:szCs w:val="24"/>
              </w:rPr>
              <w:t>ț</w:t>
            </w:r>
            <w:r w:rsidR="00EC3FE9" w:rsidRPr="001552C0">
              <w:rPr>
                <w:rFonts w:eastAsia="Times New Roman" w:cstheme="minorHAnsi"/>
                <w:iCs/>
                <w:noProof/>
                <w:szCs w:val="24"/>
              </w:rPr>
              <w:t>ii</w:t>
            </w:r>
            <w:r w:rsidRPr="001552C0">
              <w:rPr>
                <w:rFonts w:eastAsia="Times New Roman" w:cstheme="minorHAnsi"/>
                <w:iCs/>
                <w:noProof/>
                <w:szCs w:val="24"/>
              </w:rPr>
              <w:t xml:space="preserve"> ținând seama de nevoia comunității de a se adapta și recupera după un dezastru prin menținerea și reabilitarea structurilor și funcțiilor sale esențiale. </w:t>
            </w:r>
          </w:p>
          <w:p w14:paraId="6B81AC8D" w14:textId="3ABDEA04" w:rsidR="002A3E89" w:rsidRPr="001552C0" w:rsidRDefault="00F125DF" w:rsidP="00F125DF">
            <w:pPr>
              <w:jc w:val="both"/>
              <w:rPr>
                <w:rFonts w:eastAsia="Times New Roman" w:cstheme="minorHAnsi"/>
                <w:iCs/>
                <w:noProof/>
                <w:szCs w:val="24"/>
              </w:rPr>
            </w:pPr>
            <w:r w:rsidRPr="001552C0">
              <w:rPr>
                <w:rFonts w:eastAsia="Times New Roman" w:cstheme="minorHAnsi"/>
                <w:b/>
                <w:i/>
                <w:iCs/>
                <w:noProof/>
                <w:szCs w:val="24"/>
              </w:rPr>
              <w:t>Abordarea utilizării Investiției Teritoriale Integrate (ITI)</w:t>
            </w:r>
            <w:r w:rsidRPr="001552C0">
              <w:rPr>
                <w:rFonts w:eastAsia="Times New Roman" w:cstheme="minorHAnsi"/>
                <w:iCs/>
                <w:noProof/>
                <w:szCs w:val="24"/>
              </w:rPr>
              <w:t xml:space="preserve">  -  acest instrument va fi utilizat pentru Rezervația Biosferei Delta Dunării</w:t>
            </w:r>
            <w:r w:rsidR="006731CD" w:rsidRPr="001552C0">
              <w:rPr>
                <w:rFonts w:eastAsia="Times New Roman" w:cstheme="minorHAnsi"/>
                <w:iCs/>
                <w:noProof/>
                <w:szCs w:val="24"/>
              </w:rPr>
              <w:t xml:space="preserve">, </w:t>
            </w:r>
            <w:r w:rsidR="002A3E89" w:rsidRPr="001552C0">
              <w:rPr>
                <w:rFonts w:eastAsia="Times New Roman" w:cstheme="minorHAnsi"/>
                <w:iCs/>
                <w:noProof/>
                <w:szCs w:val="24"/>
              </w:rPr>
              <w:t>pentru Valea Jiului</w:t>
            </w:r>
            <w:r w:rsidR="006731CD" w:rsidRPr="001552C0">
              <w:rPr>
                <w:rFonts w:eastAsia="Times New Roman" w:cstheme="minorHAnsi"/>
                <w:iCs/>
                <w:noProof/>
                <w:szCs w:val="24"/>
              </w:rPr>
              <w:t xml:space="preserve"> și pentru alte teritorii care vor aplica acest instrument</w:t>
            </w:r>
            <w:r w:rsidR="002A3E89" w:rsidRPr="001552C0">
              <w:rPr>
                <w:rFonts w:eastAsia="Times New Roman" w:cstheme="minorHAnsi"/>
                <w:iCs/>
                <w:noProof/>
                <w:szCs w:val="24"/>
              </w:rPr>
              <w:t>.</w:t>
            </w:r>
          </w:p>
          <w:p w14:paraId="53AD6913" w14:textId="0C6F823E" w:rsidR="000F7DB7" w:rsidRPr="001552C0" w:rsidRDefault="002A3E89" w:rsidP="00F125DF">
            <w:pPr>
              <w:jc w:val="both"/>
              <w:rPr>
                <w:rFonts w:eastAsia="Times New Roman" w:cstheme="minorHAnsi"/>
                <w:iCs/>
                <w:noProof/>
              </w:rPr>
            </w:pPr>
            <w:r w:rsidRPr="001552C0">
              <w:rPr>
                <w:rFonts w:eastAsia="Times New Roman" w:cstheme="minorHAnsi"/>
                <w:iCs/>
                <w:noProof/>
                <w:szCs w:val="24"/>
              </w:rPr>
              <w:t>În ceea ce privește Delta Dunării,</w:t>
            </w:r>
            <w:r w:rsidR="00F125DF" w:rsidRPr="001552C0">
              <w:rPr>
                <w:rFonts w:eastAsia="Times New Roman" w:cstheme="minorHAnsi"/>
                <w:iCs/>
                <w:noProof/>
                <w:szCs w:val="24"/>
              </w:rPr>
              <w:t xml:space="preserve"> având în vedere că este o zonă cu specific geografic unic, de importanță ecolog</w:t>
            </w:r>
            <w:r w:rsidRPr="001552C0">
              <w:rPr>
                <w:rFonts w:eastAsia="Times New Roman" w:cstheme="minorHAnsi"/>
                <w:iCs/>
                <w:noProof/>
                <w:szCs w:val="24"/>
              </w:rPr>
              <w:t>ică națională și internațională, p</w:t>
            </w:r>
            <w:r w:rsidR="00F125DF" w:rsidRPr="001552C0">
              <w:rPr>
                <w:rFonts w:eastAsia="Times New Roman" w:cstheme="minorHAnsi"/>
                <w:iCs/>
                <w:noProof/>
                <w:szCs w:val="24"/>
              </w:rPr>
              <w:t>rioritățile</w:t>
            </w:r>
            <w:r w:rsidRPr="001552C0">
              <w:rPr>
                <w:rFonts w:eastAsia="Times New Roman" w:cstheme="minorHAnsi"/>
                <w:iCs/>
                <w:noProof/>
                <w:szCs w:val="24"/>
              </w:rPr>
              <w:t xml:space="preserve"> din</w:t>
            </w:r>
            <w:r w:rsidR="00F125DF" w:rsidRPr="001552C0">
              <w:rPr>
                <w:rFonts w:eastAsia="Times New Roman" w:cstheme="minorHAnsi"/>
                <w:iCs/>
                <w:noProof/>
                <w:szCs w:val="24"/>
              </w:rPr>
              <w:t xml:space="preserve"> PODD care vor contribui la </w:t>
            </w:r>
            <w:r w:rsidR="00F125DF" w:rsidRPr="001552C0">
              <w:rPr>
                <w:rFonts w:eastAsia="Times New Roman" w:cstheme="minorHAnsi"/>
                <w:iCs/>
                <w:noProof/>
              </w:rPr>
              <w:t>implementarea Strategiei Dezvoltării Durabile a</w:t>
            </w:r>
            <w:r w:rsidR="000F7DB7" w:rsidRPr="001552C0">
              <w:rPr>
                <w:rFonts w:eastAsia="Times New Roman" w:cstheme="minorHAnsi"/>
                <w:iCs/>
                <w:noProof/>
              </w:rPr>
              <w:t xml:space="preserve"> Deltei Dunării </w:t>
            </w:r>
            <w:r w:rsidRPr="001552C0">
              <w:rPr>
                <w:rFonts w:eastAsia="Times New Roman" w:cstheme="minorHAnsi"/>
                <w:iCs/>
                <w:noProof/>
              </w:rPr>
              <w:t>vor avea în vedere</w:t>
            </w:r>
            <w:r w:rsidR="000F7DB7" w:rsidRPr="001552C0">
              <w:rPr>
                <w:rFonts w:eastAsia="Times New Roman" w:cstheme="minorHAnsi"/>
                <w:iCs/>
                <w:noProof/>
              </w:rPr>
              <w:t xml:space="preserve">: </w:t>
            </w:r>
          </w:p>
          <w:p w14:paraId="6C9819AB" w14:textId="53B921A1" w:rsidR="002134DF" w:rsidRPr="001552C0" w:rsidRDefault="0019637E" w:rsidP="00C4290C">
            <w:pPr>
              <w:pStyle w:val="ListParagraph"/>
              <w:numPr>
                <w:ilvl w:val="0"/>
                <w:numId w:val="74"/>
              </w:numPr>
              <w:spacing w:before="0" w:after="0" w:line="276" w:lineRule="auto"/>
              <w:ind w:left="714" w:hanging="357"/>
              <w:jc w:val="both"/>
              <w:rPr>
                <w:rFonts w:asciiTheme="minorHAnsi" w:eastAsia="Times New Roman" w:hAnsiTheme="minorHAnsi" w:cstheme="minorHAnsi"/>
                <w:iCs/>
                <w:noProof/>
                <w:sz w:val="22"/>
                <w:lang w:val="ro-RO"/>
              </w:rPr>
            </w:pPr>
            <w:r w:rsidRPr="001552C0">
              <w:rPr>
                <w:rFonts w:asciiTheme="minorHAnsi" w:eastAsia="Times New Roman" w:hAnsiTheme="minorHAnsi" w:cstheme="minorHAnsi"/>
                <w:iCs/>
                <w:noProof/>
                <w:sz w:val="22"/>
                <w:lang w:val="ro-RO"/>
              </w:rPr>
              <w:t>p</w:t>
            </w:r>
            <w:r w:rsidR="000F7DB7" w:rsidRPr="001552C0">
              <w:rPr>
                <w:rFonts w:asciiTheme="minorHAnsi" w:eastAsia="Times New Roman" w:hAnsiTheme="minorHAnsi" w:cstheme="minorHAnsi"/>
                <w:iCs/>
                <w:noProof/>
                <w:sz w:val="22"/>
                <w:lang w:val="ro-RO"/>
              </w:rPr>
              <w:t xml:space="preserve">romovarea eficienţei energetice în </w:t>
            </w:r>
            <w:r w:rsidR="002134DF" w:rsidRPr="001552C0">
              <w:rPr>
                <w:rFonts w:asciiTheme="minorHAnsi" w:eastAsia="Times New Roman" w:hAnsiTheme="minorHAnsi" w:cstheme="minorHAnsi"/>
                <w:iCs/>
                <w:noProof/>
                <w:sz w:val="22"/>
                <w:lang w:val="ro-RO"/>
              </w:rPr>
              <w:t xml:space="preserve">întreprinderi în </w:t>
            </w:r>
            <w:r w:rsidR="000F7DB7" w:rsidRPr="001552C0">
              <w:rPr>
                <w:rFonts w:asciiTheme="minorHAnsi" w:eastAsia="Times New Roman" w:hAnsiTheme="minorHAnsi" w:cstheme="minorHAnsi"/>
                <w:iCs/>
                <w:noProof/>
                <w:sz w:val="22"/>
                <w:lang w:val="ro-RO"/>
              </w:rPr>
              <w:t>vederea</w:t>
            </w:r>
            <w:r w:rsidR="002134DF" w:rsidRPr="001552C0">
              <w:rPr>
                <w:rFonts w:asciiTheme="minorHAnsi" w:eastAsia="Times New Roman" w:hAnsiTheme="minorHAnsi" w:cstheme="minorHAnsi"/>
                <w:iCs/>
                <w:noProof/>
                <w:sz w:val="22"/>
                <w:lang w:val="ro-RO"/>
              </w:rPr>
              <w:t xml:space="preserve"> s</w:t>
            </w:r>
            <w:r w:rsidR="002A3E89" w:rsidRPr="001552C0">
              <w:rPr>
                <w:rFonts w:asciiTheme="minorHAnsi" w:eastAsia="Times New Roman" w:hAnsiTheme="minorHAnsi" w:cstheme="minorHAnsi"/>
                <w:iCs/>
                <w:noProof/>
                <w:sz w:val="22"/>
                <w:lang w:val="ro-RO"/>
              </w:rPr>
              <w:t>usținer</w:t>
            </w:r>
            <w:r w:rsidR="002134DF" w:rsidRPr="001552C0">
              <w:rPr>
                <w:rFonts w:asciiTheme="minorHAnsi" w:eastAsia="Times New Roman" w:hAnsiTheme="minorHAnsi" w:cstheme="minorHAnsi"/>
                <w:iCs/>
                <w:noProof/>
                <w:sz w:val="22"/>
                <w:lang w:val="ro-RO"/>
              </w:rPr>
              <w:t>ii</w:t>
            </w:r>
            <w:r w:rsidR="002A3E89" w:rsidRPr="001552C0">
              <w:rPr>
                <w:rFonts w:asciiTheme="minorHAnsi" w:eastAsia="Times New Roman" w:hAnsiTheme="minorHAnsi" w:cstheme="minorHAnsi"/>
                <w:iCs/>
                <w:noProof/>
                <w:sz w:val="22"/>
                <w:lang w:val="ro-RO"/>
              </w:rPr>
              <w:t xml:space="preserve"> </w:t>
            </w:r>
            <w:r w:rsidR="000F7DB7" w:rsidRPr="001552C0">
              <w:rPr>
                <w:rFonts w:asciiTheme="minorHAnsi" w:eastAsia="Times New Roman" w:hAnsiTheme="minorHAnsi" w:cstheme="minorHAnsi"/>
                <w:iCs/>
                <w:noProof/>
                <w:sz w:val="22"/>
                <w:lang w:val="ro-RO"/>
              </w:rPr>
              <w:t>unei economii cu emisii scăzute de carbon</w:t>
            </w:r>
            <w:r w:rsidR="00A600EC" w:rsidRPr="001552C0">
              <w:rPr>
                <w:rFonts w:asciiTheme="minorHAnsi" w:eastAsia="Times New Roman" w:hAnsiTheme="minorHAnsi" w:cstheme="minorHAnsi"/>
                <w:iCs/>
                <w:noProof/>
                <w:sz w:val="22"/>
                <w:lang w:val="ro-RO"/>
              </w:rPr>
              <w:t>;</w:t>
            </w:r>
          </w:p>
          <w:p w14:paraId="370282A3" w14:textId="455DFA59" w:rsidR="002134DF" w:rsidRPr="001552C0" w:rsidRDefault="000F7DB7" w:rsidP="00C4290C">
            <w:pPr>
              <w:pStyle w:val="ListParagraph"/>
              <w:numPr>
                <w:ilvl w:val="0"/>
                <w:numId w:val="74"/>
              </w:numPr>
              <w:spacing w:before="0" w:after="0" w:line="276" w:lineRule="auto"/>
              <w:ind w:left="714" w:hanging="357"/>
              <w:jc w:val="both"/>
              <w:rPr>
                <w:rFonts w:asciiTheme="minorHAnsi" w:eastAsia="Times New Roman" w:hAnsiTheme="minorHAnsi" w:cstheme="minorHAnsi"/>
                <w:iCs/>
                <w:noProof/>
                <w:sz w:val="22"/>
                <w:lang w:val="ro-RO"/>
              </w:rPr>
            </w:pPr>
            <w:r w:rsidRPr="001552C0">
              <w:rPr>
                <w:rFonts w:asciiTheme="minorHAnsi" w:eastAsia="Times New Roman" w:hAnsiTheme="minorHAnsi" w:cstheme="minorHAnsi"/>
                <w:iCs/>
                <w:noProof/>
                <w:sz w:val="22"/>
                <w:lang w:val="ro-RO"/>
              </w:rPr>
              <w:t>infrastructura de apă și apă uzată</w:t>
            </w:r>
            <w:r w:rsidR="00A600EC" w:rsidRPr="001552C0">
              <w:rPr>
                <w:rFonts w:asciiTheme="minorHAnsi" w:eastAsia="Times New Roman" w:hAnsiTheme="minorHAnsi" w:cstheme="minorHAnsi"/>
                <w:iCs/>
                <w:noProof/>
                <w:sz w:val="22"/>
                <w:lang w:val="ro-RO"/>
              </w:rPr>
              <w:t xml:space="preserve"> în cadrul acțiunilor integrate de dezvoltare a sistemelor de apă și apă uzată regionale</w:t>
            </w:r>
            <w:r w:rsidRPr="001552C0">
              <w:rPr>
                <w:rFonts w:asciiTheme="minorHAnsi" w:eastAsia="Times New Roman" w:hAnsiTheme="minorHAnsi" w:cstheme="minorHAnsi"/>
                <w:iCs/>
                <w:noProof/>
                <w:sz w:val="22"/>
                <w:lang w:val="ro-RO"/>
              </w:rPr>
              <w:t>;</w:t>
            </w:r>
          </w:p>
          <w:p w14:paraId="322DD6DD" w14:textId="4019BBD2" w:rsidR="002134DF" w:rsidRPr="001552C0" w:rsidRDefault="000F7DB7" w:rsidP="00C4290C">
            <w:pPr>
              <w:pStyle w:val="ListParagraph"/>
              <w:numPr>
                <w:ilvl w:val="0"/>
                <w:numId w:val="74"/>
              </w:numPr>
              <w:spacing w:before="0" w:after="0" w:line="276" w:lineRule="auto"/>
              <w:ind w:left="714" w:hanging="357"/>
              <w:jc w:val="both"/>
              <w:rPr>
                <w:rFonts w:asciiTheme="minorHAnsi" w:eastAsia="Times New Roman" w:hAnsiTheme="minorHAnsi" w:cstheme="minorHAnsi"/>
                <w:iCs/>
                <w:noProof/>
                <w:sz w:val="22"/>
                <w:lang w:val="ro-RO"/>
              </w:rPr>
            </w:pPr>
            <w:r w:rsidRPr="001552C0">
              <w:rPr>
                <w:rFonts w:asciiTheme="minorHAnsi" w:eastAsia="Times New Roman" w:hAnsiTheme="minorHAnsi" w:cstheme="minorHAnsi"/>
                <w:iCs/>
                <w:noProof/>
                <w:sz w:val="22"/>
                <w:lang w:val="ro-RO"/>
              </w:rPr>
              <w:t>economia circulară</w:t>
            </w:r>
            <w:r w:rsidR="0019637E" w:rsidRPr="001552C0">
              <w:rPr>
                <w:rFonts w:asciiTheme="minorHAnsi" w:eastAsia="Times New Roman" w:hAnsiTheme="minorHAnsi" w:cstheme="minorHAnsi"/>
                <w:iCs/>
                <w:noProof/>
                <w:sz w:val="22"/>
                <w:lang w:val="ro-RO"/>
              </w:rPr>
              <w:t xml:space="preserve"> pentru îmbunatățirea modului de gestionare a deseurilor municipale in vedere asigurarii tranzitiei spre economia circulara, în conformitate cu nevoile identificate în PJGD</w:t>
            </w:r>
            <w:r w:rsidR="00FF1FAC" w:rsidRPr="001552C0">
              <w:rPr>
                <w:rFonts w:asciiTheme="minorHAnsi" w:eastAsia="Times New Roman" w:hAnsiTheme="minorHAnsi" w:cstheme="minorHAnsi"/>
                <w:iCs/>
                <w:noProof/>
                <w:sz w:val="22"/>
                <w:lang w:val="ro-RO"/>
              </w:rPr>
              <w:t xml:space="preserve"> la nivelul județului Tulcea și Constanța</w:t>
            </w:r>
            <w:r w:rsidRPr="001552C0">
              <w:rPr>
                <w:rFonts w:asciiTheme="minorHAnsi" w:eastAsia="Times New Roman" w:hAnsiTheme="minorHAnsi" w:cstheme="minorHAnsi"/>
                <w:iCs/>
                <w:noProof/>
                <w:sz w:val="22"/>
                <w:lang w:val="ro-RO"/>
              </w:rPr>
              <w:t xml:space="preserve">; </w:t>
            </w:r>
          </w:p>
          <w:p w14:paraId="7FCCF1E4" w14:textId="22C75F6A" w:rsidR="002134DF" w:rsidRPr="001552C0" w:rsidRDefault="00C72698" w:rsidP="00C4290C">
            <w:pPr>
              <w:pStyle w:val="ListParagraph"/>
              <w:numPr>
                <w:ilvl w:val="0"/>
                <w:numId w:val="74"/>
              </w:numPr>
              <w:spacing w:before="0" w:after="0" w:line="276" w:lineRule="auto"/>
              <w:ind w:left="714" w:hanging="357"/>
              <w:jc w:val="both"/>
              <w:rPr>
                <w:rFonts w:asciiTheme="minorHAnsi" w:eastAsia="Times New Roman" w:hAnsiTheme="minorHAnsi"/>
                <w:i/>
                <w:noProof/>
                <w:sz w:val="22"/>
                <w:lang w:val="ro-RO"/>
              </w:rPr>
            </w:pPr>
            <w:r w:rsidRPr="001552C0">
              <w:rPr>
                <w:rFonts w:asciiTheme="minorHAnsi" w:eastAsia="Times New Roman" w:hAnsiTheme="minorHAnsi" w:cstheme="minorHAnsi"/>
                <w:iCs/>
                <w:noProof/>
                <w:sz w:val="22"/>
                <w:lang w:val="ro-RO"/>
              </w:rPr>
              <w:lastRenderedPageBreak/>
              <w:t>conservare</w:t>
            </w:r>
            <w:r w:rsidR="000F7DB7" w:rsidRPr="001552C0">
              <w:rPr>
                <w:rFonts w:asciiTheme="minorHAnsi" w:eastAsia="Times New Roman" w:hAnsiTheme="minorHAnsi" w:cstheme="minorHAnsi"/>
                <w:iCs/>
                <w:noProof/>
                <w:sz w:val="22"/>
                <w:lang w:val="ro-RO"/>
              </w:rPr>
              <w:t xml:space="preserve">a biodiversităţii și </w:t>
            </w:r>
            <w:r w:rsidR="00A2158F" w:rsidRPr="001552C0">
              <w:rPr>
                <w:rFonts w:asciiTheme="minorHAnsi" w:eastAsia="Times New Roman" w:hAnsiTheme="minorHAnsi" w:cstheme="minorHAnsi"/>
                <w:iCs/>
                <w:noProof/>
                <w:sz w:val="22"/>
                <w:lang w:val="ro-RO"/>
              </w:rPr>
              <w:t>remedierea</w:t>
            </w:r>
            <w:r w:rsidR="006731CD" w:rsidRPr="001552C0">
              <w:rPr>
                <w:rFonts w:asciiTheme="minorHAnsi" w:eastAsia="Times New Roman" w:hAnsiTheme="minorHAnsi" w:cstheme="minorHAnsi"/>
                <w:iCs/>
                <w:noProof/>
                <w:sz w:val="22"/>
                <w:lang w:val="ro-RO"/>
              </w:rPr>
              <w:t xml:space="preserve"> </w:t>
            </w:r>
            <w:r w:rsidR="000F7DB7" w:rsidRPr="001552C0">
              <w:rPr>
                <w:rFonts w:asciiTheme="minorHAnsi" w:eastAsia="Times New Roman" w:hAnsiTheme="minorHAnsi" w:cstheme="minorHAnsi"/>
                <w:iCs/>
                <w:noProof/>
                <w:sz w:val="22"/>
                <w:lang w:val="ro-RO"/>
              </w:rPr>
              <w:t xml:space="preserve">siturilor - </w:t>
            </w:r>
            <w:r w:rsidR="00F125DF" w:rsidRPr="001552C0">
              <w:rPr>
                <w:rFonts w:asciiTheme="minorHAnsi" w:eastAsia="Times New Roman" w:hAnsiTheme="minorHAnsi" w:cstheme="minorHAnsi"/>
                <w:iCs/>
                <w:noProof/>
                <w:sz w:val="22"/>
                <w:lang w:val="ro-RO"/>
              </w:rPr>
              <w:t xml:space="preserve"> în</w:t>
            </w:r>
            <w:r w:rsidR="000F7DB7" w:rsidRPr="001552C0">
              <w:rPr>
                <w:rFonts w:asciiTheme="minorHAnsi" w:eastAsia="Times New Roman" w:hAnsiTheme="minorHAnsi" w:cstheme="minorHAnsi"/>
                <w:iCs/>
                <w:noProof/>
                <w:sz w:val="22"/>
                <w:lang w:val="ro-RO"/>
              </w:rPr>
              <w:t xml:space="preserve"> cadrul acestei priorități </w:t>
            </w:r>
            <w:r w:rsidR="00F125DF" w:rsidRPr="001552C0">
              <w:rPr>
                <w:rFonts w:asciiTheme="minorHAnsi" w:eastAsia="Times New Roman" w:hAnsiTheme="minorHAnsi" w:cstheme="minorHAnsi"/>
                <w:iCs/>
                <w:noProof/>
                <w:sz w:val="22"/>
                <w:lang w:val="ro-RO"/>
              </w:rPr>
              <w:t>vor fi promovate proiecte constând în implementarea măsurilor de</w:t>
            </w:r>
            <w:r w:rsidR="000F7DB7" w:rsidRPr="001552C0">
              <w:rPr>
                <w:rFonts w:asciiTheme="minorHAnsi" w:eastAsia="Times New Roman" w:hAnsiTheme="minorHAnsi" w:cstheme="minorHAnsi"/>
                <w:iCs/>
                <w:noProof/>
                <w:sz w:val="22"/>
                <w:lang w:val="ro-RO"/>
              </w:rPr>
              <w:t xml:space="preserve"> </w:t>
            </w:r>
            <w:r w:rsidR="00F125DF" w:rsidRPr="001552C0">
              <w:rPr>
                <w:rFonts w:asciiTheme="minorHAnsi" w:eastAsia="Times New Roman" w:hAnsiTheme="minorHAnsi" w:cstheme="minorHAnsi"/>
                <w:iCs/>
                <w:noProof/>
                <w:sz w:val="22"/>
                <w:lang w:val="ro-RO"/>
              </w:rPr>
              <w:t>conservare a biodiversității conform Planului de Management al RBDD și a altor</w:t>
            </w:r>
            <w:r w:rsidR="000F7DB7" w:rsidRPr="001552C0">
              <w:rPr>
                <w:rFonts w:asciiTheme="minorHAnsi" w:eastAsia="Times New Roman" w:hAnsiTheme="minorHAnsi" w:cstheme="minorHAnsi"/>
                <w:iCs/>
                <w:noProof/>
                <w:sz w:val="22"/>
                <w:lang w:val="ro-RO"/>
              </w:rPr>
              <w:t xml:space="preserve"> </w:t>
            </w:r>
            <w:r w:rsidR="00F125DF" w:rsidRPr="001552C0">
              <w:rPr>
                <w:rFonts w:asciiTheme="minorHAnsi" w:eastAsia="Times New Roman" w:hAnsiTheme="minorHAnsi" w:cstheme="minorHAnsi"/>
                <w:iCs/>
                <w:noProof/>
                <w:sz w:val="22"/>
                <w:lang w:val="ro-RO"/>
              </w:rPr>
              <w:t>arii naturale protejate, precum și reconstrucție ecologică a ecosistemelor din afara</w:t>
            </w:r>
            <w:r w:rsidR="000F7DB7" w:rsidRPr="001552C0">
              <w:rPr>
                <w:rFonts w:asciiTheme="minorHAnsi" w:eastAsia="Times New Roman" w:hAnsiTheme="minorHAnsi" w:cstheme="minorHAnsi"/>
                <w:iCs/>
                <w:noProof/>
                <w:sz w:val="22"/>
                <w:lang w:val="ro-RO"/>
              </w:rPr>
              <w:t xml:space="preserve"> </w:t>
            </w:r>
            <w:r w:rsidR="00F125DF" w:rsidRPr="001552C0">
              <w:rPr>
                <w:rFonts w:asciiTheme="minorHAnsi" w:eastAsia="Times New Roman" w:hAnsiTheme="minorHAnsi" w:cstheme="minorHAnsi"/>
                <w:iCs/>
                <w:noProof/>
                <w:sz w:val="22"/>
                <w:lang w:val="ro-RO"/>
              </w:rPr>
              <w:t>ariilor protejate;</w:t>
            </w:r>
          </w:p>
          <w:p w14:paraId="7BAA44DB" w14:textId="769418BF" w:rsidR="00F125DF" w:rsidRPr="001552C0" w:rsidRDefault="00F125DF" w:rsidP="00C72698">
            <w:pPr>
              <w:pStyle w:val="ListParagraph"/>
              <w:numPr>
                <w:ilvl w:val="0"/>
                <w:numId w:val="74"/>
              </w:numPr>
              <w:spacing w:before="0" w:after="0" w:line="276" w:lineRule="auto"/>
              <w:ind w:left="714" w:hanging="357"/>
              <w:jc w:val="both"/>
              <w:rPr>
                <w:rFonts w:eastAsia="Times New Roman"/>
                <w:i/>
                <w:noProof/>
                <w:lang w:val="ro-RO"/>
              </w:rPr>
            </w:pPr>
            <w:r w:rsidRPr="001552C0">
              <w:rPr>
                <w:rFonts w:asciiTheme="minorHAnsi" w:eastAsia="Times New Roman" w:hAnsiTheme="minorHAnsi" w:cstheme="minorHAnsi"/>
                <w:iCs/>
                <w:noProof/>
                <w:sz w:val="22"/>
                <w:lang w:val="ro-RO"/>
              </w:rPr>
              <w:t>adapt</w:t>
            </w:r>
            <w:r w:rsidR="000F7DB7" w:rsidRPr="001552C0">
              <w:rPr>
                <w:rFonts w:asciiTheme="minorHAnsi" w:eastAsia="Times New Roman" w:hAnsiTheme="minorHAnsi" w:cstheme="minorHAnsi"/>
                <w:iCs/>
                <w:noProof/>
                <w:sz w:val="22"/>
                <w:lang w:val="ro-RO"/>
              </w:rPr>
              <w:t>a</w:t>
            </w:r>
            <w:r w:rsidRPr="001552C0">
              <w:rPr>
                <w:rFonts w:asciiTheme="minorHAnsi" w:eastAsia="Times New Roman" w:hAnsiTheme="minorHAnsi" w:cstheme="minorHAnsi"/>
                <w:iCs/>
                <w:noProof/>
                <w:sz w:val="22"/>
                <w:lang w:val="ro-RO"/>
              </w:rPr>
              <w:t>r</w:t>
            </w:r>
            <w:r w:rsidR="00C72698" w:rsidRPr="001552C0">
              <w:rPr>
                <w:rFonts w:asciiTheme="minorHAnsi" w:eastAsia="Times New Roman" w:hAnsiTheme="minorHAnsi" w:cstheme="minorHAnsi"/>
                <w:iCs/>
                <w:noProof/>
                <w:sz w:val="22"/>
                <w:lang w:val="ro-RO"/>
              </w:rPr>
              <w:t>ea</w:t>
            </w:r>
            <w:r w:rsidRPr="001552C0">
              <w:rPr>
                <w:rFonts w:asciiTheme="minorHAnsi" w:eastAsia="Times New Roman" w:hAnsiTheme="minorHAnsi" w:cstheme="minorHAnsi"/>
                <w:iCs/>
                <w:noProof/>
                <w:sz w:val="22"/>
                <w:lang w:val="ro-RO"/>
              </w:rPr>
              <w:t xml:space="preserve"> la schimbările climati</w:t>
            </w:r>
            <w:r w:rsidR="00985EC5" w:rsidRPr="001552C0">
              <w:rPr>
                <w:rFonts w:asciiTheme="minorHAnsi" w:eastAsia="Times New Roman" w:hAnsiTheme="minorHAnsi" w:cstheme="minorHAnsi"/>
                <w:iCs/>
                <w:noProof/>
                <w:sz w:val="22"/>
                <w:lang w:val="ro-RO"/>
              </w:rPr>
              <w:t>ce și managementul</w:t>
            </w:r>
            <w:r w:rsidR="000F7DB7" w:rsidRPr="001552C0">
              <w:rPr>
                <w:rFonts w:asciiTheme="minorHAnsi" w:eastAsia="Times New Roman" w:hAnsiTheme="minorHAnsi" w:cstheme="minorHAnsi"/>
                <w:iCs/>
                <w:noProof/>
                <w:sz w:val="22"/>
                <w:lang w:val="ro-RO"/>
              </w:rPr>
              <w:t xml:space="preserve"> riscurilor – în cadrul priorității 4 din PODD </w:t>
            </w:r>
            <w:r w:rsidRPr="001552C0">
              <w:rPr>
                <w:rFonts w:asciiTheme="minorHAnsi" w:eastAsia="Times New Roman" w:hAnsiTheme="minorHAnsi" w:cstheme="minorHAnsi"/>
                <w:iCs/>
                <w:noProof/>
                <w:sz w:val="22"/>
                <w:lang w:val="ro-RO"/>
              </w:rPr>
              <w:t>vor fi promovate măsuri non-structurale și</w:t>
            </w:r>
            <w:r w:rsidR="000F7DB7" w:rsidRPr="001552C0">
              <w:rPr>
                <w:rFonts w:asciiTheme="minorHAnsi" w:eastAsia="Times New Roman" w:hAnsiTheme="minorHAnsi" w:cstheme="minorHAnsi"/>
                <w:iCs/>
                <w:noProof/>
                <w:sz w:val="22"/>
                <w:lang w:val="ro-RO"/>
              </w:rPr>
              <w:t xml:space="preserve"> </w:t>
            </w:r>
            <w:r w:rsidRPr="001552C0">
              <w:rPr>
                <w:rFonts w:asciiTheme="minorHAnsi" w:eastAsia="Times New Roman" w:hAnsiTheme="minorHAnsi" w:cstheme="minorHAnsi"/>
                <w:iCs/>
                <w:noProof/>
                <w:sz w:val="22"/>
                <w:lang w:val="ro-RO"/>
              </w:rPr>
              <w:t>structurale pentru prevenirea riscului la inundații, cu accent pe utilizarea</w:t>
            </w:r>
            <w:r w:rsidR="000F7DB7" w:rsidRPr="001552C0">
              <w:rPr>
                <w:rFonts w:asciiTheme="minorHAnsi" w:eastAsia="Times New Roman" w:hAnsiTheme="minorHAnsi" w:cstheme="minorHAnsi"/>
                <w:iCs/>
                <w:noProof/>
                <w:sz w:val="22"/>
                <w:lang w:val="ro-RO"/>
              </w:rPr>
              <w:t xml:space="preserve"> </w:t>
            </w:r>
            <w:r w:rsidRPr="001552C0">
              <w:rPr>
                <w:rFonts w:asciiTheme="minorHAnsi" w:eastAsia="Times New Roman" w:hAnsiTheme="minorHAnsi" w:cstheme="minorHAnsi"/>
                <w:iCs/>
                <w:noProof/>
                <w:sz w:val="22"/>
                <w:lang w:val="ro-RO"/>
              </w:rPr>
              <w:t>serviciilor oferite de ecosisteme și cu respectarea legislației de mediu; aceste</w:t>
            </w:r>
            <w:r w:rsidR="000F7DB7" w:rsidRPr="001552C0">
              <w:rPr>
                <w:rFonts w:asciiTheme="minorHAnsi" w:eastAsia="Times New Roman" w:hAnsiTheme="minorHAnsi" w:cstheme="minorHAnsi"/>
                <w:iCs/>
                <w:noProof/>
                <w:sz w:val="22"/>
                <w:lang w:val="ro-RO"/>
              </w:rPr>
              <w:t xml:space="preserve"> </w:t>
            </w:r>
            <w:r w:rsidRPr="001552C0">
              <w:rPr>
                <w:rFonts w:asciiTheme="minorHAnsi" w:eastAsia="Times New Roman" w:hAnsiTheme="minorHAnsi" w:cstheme="minorHAnsi"/>
                <w:iCs/>
                <w:noProof/>
                <w:sz w:val="22"/>
                <w:lang w:val="ro-RO"/>
              </w:rPr>
              <w:t>măsuri trebuie să derive din planul de mana</w:t>
            </w:r>
            <w:r w:rsidR="000F7DB7" w:rsidRPr="001552C0">
              <w:rPr>
                <w:rFonts w:asciiTheme="minorHAnsi" w:eastAsia="Times New Roman" w:hAnsiTheme="minorHAnsi" w:cstheme="minorHAnsi"/>
                <w:iCs/>
                <w:noProof/>
                <w:sz w:val="22"/>
                <w:lang w:val="ro-RO"/>
              </w:rPr>
              <w:t>gement al riscului la inundați</w:t>
            </w:r>
            <w:r w:rsidR="00C72698" w:rsidRPr="001552C0">
              <w:rPr>
                <w:rFonts w:asciiTheme="minorHAnsi" w:eastAsia="Times New Roman" w:hAnsiTheme="minorHAnsi" w:cstheme="minorHAnsi"/>
                <w:iCs/>
                <w:noProof/>
                <w:sz w:val="22"/>
                <w:lang w:val="ro-RO"/>
              </w:rPr>
              <w:t xml:space="preserve">i. Totodată, </w:t>
            </w:r>
            <w:r w:rsidRPr="001552C0">
              <w:rPr>
                <w:rFonts w:asciiTheme="minorHAnsi" w:eastAsia="Times New Roman" w:hAnsiTheme="minorHAnsi" w:cstheme="minorHAnsi"/>
                <w:iCs/>
                <w:noProof/>
                <w:sz w:val="22"/>
                <w:lang w:val="ro-RO"/>
              </w:rPr>
              <w:t>vor fi avute în</w:t>
            </w:r>
            <w:r w:rsidR="000F7DB7" w:rsidRPr="001552C0">
              <w:rPr>
                <w:rFonts w:asciiTheme="minorHAnsi" w:eastAsia="Times New Roman" w:hAnsiTheme="minorHAnsi" w:cstheme="minorHAnsi"/>
                <w:iCs/>
                <w:noProof/>
                <w:sz w:val="22"/>
                <w:lang w:val="ro-RO"/>
              </w:rPr>
              <w:t xml:space="preserve"> </w:t>
            </w:r>
            <w:r w:rsidRPr="001552C0">
              <w:rPr>
                <w:rFonts w:asciiTheme="minorHAnsi" w:eastAsia="Times New Roman" w:hAnsiTheme="minorHAnsi" w:cstheme="minorHAnsi"/>
                <w:iCs/>
                <w:noProof/>
                <w:sz w:val="22"/>
                <w:lang w:val="ro-RO"/>
              </w:rPr>
              <w:t>vedere și măsuri de întărire a capacității de răspuns a structurilor cu rol în</w:t>
            </w:r>
            <w:r w:rsidR="000F7DB7" w:rsidRPr="001552C0">
              <w:rPr>
                <w:rFonts w:asciiTheme="minorHAnsi" w:eastAsia="Times New Roman" w:hAnsiTheme="minorHAnsi" w:cstheme="minorHAnsi"/>
                <w:iCs/>
                <w:noProof/>
                <w:sz w:val="22"/>
                <w:lang w:val="ro-RO"/>
              </w:rPr>
              <w:t xml:space="preserve"> </w:t>
            </w:r>
            <w:r w:rsidRPr="001552C0">
              <w:rPr>
                <w:rFonts w:asciiTheme="minorHAnsi" w:eastAsia="Times New Roman" w:hAnsiTheme="minorHAnsi" w:cstheme="minorHAnsi"/>
                <w:iCs/>
                <w:noProof/>
                <w:sz w:val="22"/>
                <w:lang w:val="ro-RO"/>
              </w:rPr>
              <w:t>managementul situațiilor de urgență, în acord cu e</w:t>
            </w:r>
            <w:r w:rsidR="000F7DB7" w:rsidRPr="001552C0">
              <w:rPr>
                <w:rFonts w:asciiTheme="minorHAnsi" w:eastAsia="Times New Roman" w:hAnsiTheme="minorHAnsi" w:cstheme="minorHAnsi"/>
                <w:iCs/>
                <w:noProof/>
                <w:sz w:val="22"/>
                <w:lang w:val="ro-RO"/>
              </w:rPr>
              <w:t>valuarea națională a riscurilor.</w:t>
            </w:r>
          </w:p>
          <w:p w14:paraId="47CB9719" w14:textId="73830CEA" w:rsidR="00C536B8" w:rsidRPr="001552C0" w:rsidRDefault="00C536B8" w:rsidP="0071682D">
            <w:pPr>
              <w:jc w:val="both"/>
              <w:rPr>
                <w:rFonts w:eastAsia="Times New Roman" w:cstheme="minorHAnsi"/>
                <w:iCs/>
                <w:noProof/>
                <w:szCs w:val="24"/>
              </w:rPr>
            </w:pPr>
            <w:r w:rsidRPr="001552C0">
              <w:rPr>
                <w:rFonts w:eastAsia="Times New Roman" w:cstheme="minorHAnsi"/>
                <w:iCs/>
                <w:noProof/>
                <w:szCs w:val="24"/>
              </w:rPr>
              <w:t xml:space="preserve">Referitor la Valea Jiului, care a fost cel mai reprezentativ bazin carbonifer de </w:t>
            </w:r>
            <w:r w:rsidR="00611D7E" w:rsidRPr="001552C0">
              <w:rPr>
                <w:rFonts w:eastAsia="Times New Roman" w:cstheme="minorHAnsi"/>
                <w:iCs/>
                <w:noProof/>
                <w:szCs w:val="24"/>
              </w:rPr>
              <w:t xml:space="preserve">pe teritoriul României și </w:t>
            </w:r>
            <w:r w:rsidRPr="001552C0">
              <w:rPr>
                <w:rFonts w:eastAsia="Times New Roman" w:cstheme="minorHAnsi"/>
                <w:iCs/>
                <w:noProof/>
                <w:szCs w:val="24"/>
              </w:rPr>
              <w:t>zonă monoindustrială axată pe minerit şi activităţi derivate din acesta</w:t>
            </w:r>
            <w:r w:rsidR="00611D7E" w:rsidRPr="001552C0">
              <w:rPr>
                <w:rFonts w:eastAsia="Times New Roman" w:cstheme="minorHAnsi"/>
                <w:iCs/>
                <w:noProof/>
                <w:szCs w:val="24"/>
              </w:rPr>
              <w:t xml:space="preserve">, se are în vedere crearea unui ITI pentru un ansamblu urban alcătuit din cele 6 localități - Aninoasa, Lupeni, Petrila, Petroșani, Uricani și Vulcan. </w:t>
            </w:r>
            <w:r w:rsidRPr="001552C0">
              <w:rPr>
                <w:rFonts w:eastAsia="Times New Roman" w:cstheme="minorHAnsi"/>
                <w:iCs/>
                <w:noProof/>
                <w:szCs w:val="24"/>
              </w:rPr>
              <w:t xml:space="preserve">Pentru implementarea ITI Valea Jiului va fi constituită o Asociație de Dezvoltare Intercomunitară - ADI ITI Valea Jiului, care va urmări atingerea obiectivelor tranziției energetice și ale dezvoltării economice în comunitățile din Valea Jiului în concordanţă cu indicatorii propuşi prin Strategia pentru Tranziţia de la cărbune în Valea Jiului. </w:t>
            </w:r>
          </w:p>
          <w:p w14:paraId="6870829B" w14:textId="77777777" w:rsidR="00C536B8" w:rsidRPr="001552C0" w:rsidRDefault="00C536B8" w:rsidP="0071682D">
            <w:pPr>
              <w:jc w:val="both"/>
              <w:rPr>
                <w:rFonts w:eastAsia="Times New Roman" w:cstheme="minorHAnsi"/>
                <w:iCs/>
                <w:noProof/>
                <w:szCs w:val="24"/>
              </w:rPr>
            </w:pPr>
            <w:r w:rsidRPr="001552C0">
              <w:rPr>
                <w:rFonts w:eastAsia="Times New Roman" w:cstheme="minorHAnsi"/>
                <w:iCs/>
                <w:noProof/>
                <w:szCs w:val="24"/>
              </w:rPr>
              <w:t>Selecţia proiectelor şi prioritizarea acestora are/va avea la bază domeniile identificate în Strategia pentru Tranziţia de la cărbune în Valea Jiului și Planul de acțiuni.</w:t>
            </w:r>
          </w:p>
          <w:p w14:paraId="72861909" w14:textId="3E0AC838" w:rsidR="008D4680" w:rsidRPr="001552C0" w:rsidRDefault="00FD1576" w:rsidP="008D4680">
            <w:pPr>
              <w:jc w:val="both"/>
              <w:rPr>
                <w:rFonts w:eastAsia="Times New Roman" w:cstheme="minorHAnsi"/>
                <w:iCs/>
                <w:noProof/>
                <w:szCs w:val="24"/>
              </w:rPr>
            </w:pPr>
            <w:r w:rsidRPr="001552C0">
              <w:rPr>
                <w:rFonts w:eastAsia="Times New Roman" w:cstheme="minorHAnsi"/>
                <w:iCs/>
                <w:noProof/>
                <w:szCs w:val="24"/>
              </w:rPr>
              <w:t xml:space="preserve">Guvernanța PODD </w:t>
            </w:r>
            <w:r w:rsidR="008D4680" w:rsidRPr="001552C0">
              <w:rPr>
                <w:rFonts w:eastAsia="Times New Roman" w:cstheme="minorHAnsi"/>
                <w:iCs/>
                <w:noProof/>
                <w:szCs w:val="24"/>
              </w:rPr>
              <w:t>–</w:t>
            </w:r>
            <w:r w:rsidRPr="001552C0">
              <w:rPr>
                <w:rFonts w:eastAsia="Times New Roman" w:cstheme="minorHAnsi"/>
                <w:iCs/>
                <w:noProof/>
                <w:szCs w:val="24"/>
              </w:rPr>
              <w:t xml:space="preserve"> </w:t>
            </w:r>
            <w:r w:rsidR="008D4680" w:rsidRPr="001552C0">
              <w:rPr>
                <w:rFonts w:eastAsia="Times New Roman" w:cstheme="minorHAnsi"/>
                <w:iCs/>
                <w:noProof/>
                <w:szCs w:val="24"/>
              </w:rPr>
              <w:t xml:space="preserve">În conformitate cu principiul și normele gestiunii partajate, statele membre au responsabilitatea principală pentru managementul și controlul asistenţei financiare nerambursabile din partea Uniunii, iar pachetul legislativ promovat în acest sens pentru implementarea fondurilor europene 2021-2027 aflate în gestiune partajată, cuprinde o serie de reglementări care impun statelor membre acțiuni de ordin administrativ şi organizatoric privind stabilirea cadrului instituțional, sarcinile și responsabilitățile diferitelor organisme din cadrul sistemului de management și control aferent acestor fonduri. </w:t>
            </w:r>
          </w:p>
          <w:p w14:paraId="1AE72058" w14:textId="020B89A3" w:rsidR="008D4680" w:rsidRPr="001552C0" w:rsidRDefault="008D4680" w:rsidP="008D4680">
            <w:pPr>
              <w:jc w:val="both"/>
              <w:rPr>
                <w:rFonts w:eastAsia="Times New Roman" w:cstheme="minorHAnsi"/>
                <w:iCs/>
                <w:noProof/>
                <w:szCs w:val="24"/>
              </w:rPr>
            </w:pPr>
            <w:r w:rsidRPr="001552C0">
              <w:rPr>
                <w:rFonts w:eastAsia="Times New Roman" w:cstheme="minorHAnsi"/>
                <w:iCs/>
                <w:noProof/>
                <w:szCs w:val="24"/>
              </w:rPr>
              <w:t xml:space="preserve">În vederea asigurării unei tranziții fără probleme de la perioada de programare financiara 2014-2020 către viitoarea perioada de programare 2021-2027, precum şi pentru a asigura o continuitate a finanțărilor din bugetul Uniunii Europene, Autoritatea de Management a Programului Operațional Infrastructură Mare 2014-2020 va fi Autoritatea de Management pentru Programul Operațional Dezvoltare Durabilă. </w:t>
            </w:r>
          </w:p>
          <w:p w14:paraId="4C051E76" w14:textId="0E81F9B1" w:rsidR="003F545D" w:rsidRPr="001552C0" w:rsidRDefault="003F545D" w:rsidP="008D4680">
            <w:pPr>
              <w:jc w:val="both"/>
              <w:rPr>
                <w:rFonts w:eastAsia="Times New Roman" w:cstheme="minorHAnsi"/>
                <w:iCs/>
                <w:noProof/>
                <w:szCs w:val="24"/>
              </w:rPr>
            </w:pPr>
            <w:r w:rsidRPr="001552C0">
              <w:rPr>
                <w:rFonts w:eastAsia="Times New Roman" w:cstheme="minorHAnsi"/>
                <w:iCs/>
                <w:noProof/>
                <w:szCs w:val="24"/>
              </w:rPr>
              <w:t>Totodată, vor fi menținute Direcțiile Regionale de Infrastructură Bacău, Galați, Pitești, Craiova, Timișoara, Cluj Napoca, Sibiu, București –Ilfov și vor avea statut de organism intermediar.</w:t>
            </w:r>
          </w:p>
          <w:p w14:paraId="13B3632E" w14:textId="0FA7C656" w:rsidR="008D4680" w:rsidRPr="001552C0" w:rsidRDefault="008D4680" w:rsidP="008D4680">
            <w:pPr>
              <w:jc w:val="both"/>
              <w:rPr>
                <w:rFonts w:eastAsia="Times New Roman" w:cstheme="minorHAnsi"/>
                <w:iCs/>
                <w:noProof/>
                <w:szCs w:val="24"/>
              </w:rPr>
            </w:pPr>
            <w:r w:rsidRPr="001552C0">
              <w:rPr>
                <w:rFonts w:eastAsia="Times New Roman" w:cstheme="minorHAnsi"/>
                <w:iCs/>
                <w:noProof/>
                <w:szCs w:val="24"/>
              </w:rPr>
              <w:t>Astfel, cadrul instituțional propus pentru perioada de programare 2021-2027, are la bază lecțiile învățate, o descentralizare a implementării şi apropierea de beneficiari, cu scopul de a crește leadership-ul în implementarea fondurilor europene și a limita dispersia de funcții în multe instituții.</w:t>
            </w:r>
          </w:p>
          <w:p w14:paraId="4C82B356" w14:textId="030A1F73" w:rsidR="00654BDB" w:rsidRPr="001552C0" w:rsidRDefault="006731CD" w:rsidP="00654BDB">
            <w:pPr>
              <w:jc w:val="both"/>
              <w:rPr>
                <w:rFonts w:eastAsia="Times New Roman" w:cstheme="minorHAnsi"/>
                <w:iCs/>
                <w:noProof/>
                <w:szCs w:val="24"/>
              </w:rPr>
            </w:pPr>
            <w:r w:rsidRPr="001552C0">
              <w:rPr>
                <w:rFonts w:eastAsia="Times New Roman" w:cstheme="minorHAnsi"/>
                <w:iCs/>
                <w:noProof/>
                <w:szCs w:val="24"/>
              </w:rPr>
              <w:t>Funcția contabilă</w:t>
            </w:r>
            <w:r w:rsidR="00654BDB" w:rsidRPr="001552C0">
              <w:rPr>
                <w:rFonts w:eastAsia="Times New Roman" w:cstheme="minorHAnsi"/>
                <w:iCs/>
                <w:noProof/>
                <w:szCs w:val="24"/>
              </w:rPr>
              <w:t xml:space="preserve"> va fi îndeplinită de Autoritatea de Certificare şi Plată (ACP), structură în cadrul Ministerului Finanţelor Publice. Aceasta va îndeplini: </w:t>
            </w:r>
          </w:p>
          <w:p w14:paraId="4D26C428" w14:textId="457501E4" w:rsidR="00654BDB" w:rsidRPr="001552C0" w:rsidRDefault="00654BDB" w:rsidP="003F545D">
            <w:pPr>
              <w:pStyle w:val="ListParagraph"/>
              <w:numPr>
                <w:ilvl w:val="0"/>
                <w:numId w:val="74"/>
              </w:numPr>
              <w:spacing w:before="0" w:after="0" w:line="276" w:lineRule="auto"/>
              <w:ind w:left="714" w:hanging="357"/>
              <w:jc w:val="both"/>
              <w:rPr>
                <w:rFonts w:asciiTheme="minorHAnsi" w:eastAsia="Times New Roman" w:hAnsiTheme="minorHAnsi" w:cstheme="minorHAnsi"/>
                <w:iCs/>
                <w:noProof/>
                <w:sz w:val="22"/>
                <w:lang w:val="ro-RO"/>
              </w:rPr>
            </w:pPr>
            <w:r w:rsidRPr="001552C0">
              <w:rPr>
                <w:rFonts w:asciiTheme="minorHAnsi" w:eastAsia="Times New Roman" w:hAnsiTheme="minorHAnsi" w:cstheme="minorHAnsi"/>
                <w:iCs/>
                <w:noProof/>
                <w:sz w:val="22"/>
                <w:lang w:val="ro-RO"/>
              </w:rPr>
              <w:t>funcţia contabilă prevăzută în regulament pentru programele;</w:t>
            </w:r>
          </w:p>
          <w:p w14:paraId="63400B2B" w14:textId="1DF23FDE" w:rsidR="00654BDB" w:rsidRPr="001552C0" w:rsidRDefault="00654BDB" w:rsidP="003F545D">
            <w:pPr>
              <w:pStyle w:val="ListParagraph"/>
              <w:numPr>
                <w:ilvl w:val="0"/>
                <w:numId w:val="74"/>
              </w:numPr>
              <w:spacing w:before="0" w:after="0" w:line="276" w:lineRule="auto"/>
              <w:ind w:left="714" w:hanging="357"/>
              <w:jc w:val="both"/>
              <w:rPr>
                <w:rFonts w:asciiTheme="minorHAnsi" w:eastAsia="Times New Roman" w:hAnsiTheme="minorHAnsi" w:cstheme="minorHAnsi"/>
                <w:iCs/>
                <w:noProof/>
                <w:sz w:val="22"/>
                <w:lang w:val="ro-RO"/>
              </w:rPr>
            </w:pPr>
            <w:r w:rsidRPr="001552C0">
              <w:rPr>
                <w:rFonts w:asciiTheme="minorHAnsi" w:eastAsia="Times New Roman" w:hAnsiTheme="minorHAnsi" w:cstheme="minorHAnsi"/>
                <w:iCs/>
                <w:noProof/>
                <w:sz w:val="22"/>
                <w:lang w:val="ro-RO"/>
              </w:rPr>
              <w:t xml:space="preserve">atribuțiile financiare orizontale ce derivă din relația cu Comisia Europeană (primirea fondurilor de la CE, asigurarea schimburilor valutare şi alimentarea conturilor AM, ţinerea </w:t>
            </w:r>
            <w:r w:rsidRPr="001552C0">
              <w:rPr>
                <w:rFonts w:asciiTheme="minorHAnsi" w:eastAsia="Times New Roman" w:hAnsiTheme="minorHAnsi" w:cstheme="minorHAnsi"/>
                <w:iCs/>
                <w:noProof/>
                <w:sz w:val="22"/>
                <w:lang w:val="ro-RO"/>
              </w:rPr>
              <w:lastRenderedPageBreak/>
              <w:t xml:space="preserve">evidenţelor contabile privind sumele primite şi efectuarea reconcilierilor bancare, elaborarea previziunilor cererilor de plată ce urmează a fi transmise CE prin intermediul SFC, în colaborare cu MFE) pentru toate programele operaționale cu excepția celor de cooperare teritorială, </w:t>
            </w:r>
          </w:p>
          <w:p w14:paraId="2AF96C41" w14:textId="2B42612D" w:rsidR="00654BDB" w:rsidRPr="001552C0" w:rsidRDefault="00654BDB" w:rsidP="003F545D">
            <w:pPr>
              <w:pStyle w:val="ListParagraph"/>
              <w:numPr>
                <w:ilvl w:val="0"/>
                <w:numId w:val="74"/>
              </w:numPr>
              <w:spacing w:before="0" w:after="0" w:line="276" w:lineRule="auto"/>
              <w:ind w:left="714" w:hanging="357"/>
              <w:jc w:val="both"/>
              <w:rPr>
                <w:rFonts w:asciiTheme="minorHAnsi" w:eastAsia="Times New Roman" w:hAnsiTheme="minorHAnsi" w:cstheme="minorHAnsi"/>
                <w:iCs/>
                <w:noProof/>
                <w:sz w:val="22"/>
                <w:lang w:val="ro-RO"/>
              </w:rPr>
            </w:pPr>
            <w:r w:rsidRPr="001552C0">
              <w:rPr>
                <w:rFonts w:asciiTheme="minorHAnsi" w:eastAsia="Times New Roman" w:hAnsiTheme="minorHAnsi" w:cstheme="minorHAnsi"/>
                <w:iCs/>
                <w:noProof/>
                <w:sz w:val="22"/>
                <w:lang w:val="ro-RO"/>
              </w:rPr>
              <w:t>alte atribuții necesare implementării fluxurilor financiare.</w:t>
            </w:r>
          </w:p>
          <w:p w14:paraId="3C724A2C" w14:textId="462CAD46" w:rsidR="008D4680" w:rsidRPr="001552C0" w:rsidRDefault="000A3E5A" w:rsidP="00A74BB0">
            <w:pPr>
              <w:jc w:val="both"/>
              <w:rPr>
                <w:rFonts w:ascii="Times New Roman" w:eastAsia="Times New Roman" w:hAnsi="Times New Roman" w:cs="Times New Roman"/>
                <w:noProof/>
              </w:rPr>
            </w:pPr>
            <w:r w:rsidRPr="001552C0">
              <w:rPr>
                <w:rFonts w:eastAsia="Times New Roman" w:cstheme="minorHAnsi"/>
                <w:iCs/>
                <w:noProof/>
                <w:szCs w:val="24"/>
              </w:rPr>
              <w:t>F</w:t>
            </w:r>
            <w:r w:rsidR="006731CD" w:rsidRPr="001552C0">
              <w:rPr>
                <w:rFonts w:eastAsia="Times New Roman" w:cstheme="minorHAnsi"/>
                <w:iCs/>
                <w:noProof/>
                <w:szCs w:val="24"/>
              </w:rPr>
              <w:t>uncția de audit</w:t>
            </w:r>
            <w:r w:rsidRPr="001552C0">
              <w:rPr>
                <w:rFonts w:eastAsia="Times New Roman" w:cstheme="minorHAnsi"/>
                <w:iCs/>
                <w:noProof/>
                <w:szCs w:val="24"/>
              </w:rPr>
              <w:t xml:space="preserve"> va fi îndeplinită, ca și în prezent, de </w:t>
            </w:r>
            <w:r w:rsidR="00654BDB" w:rsidRPr="001552C0">
              <w:rPr>
                <w:rFonts w:eastAsia="Times New Roman" w:cstheme="minorHAnsi"/>
                <w:iCs/>
                <w:noProof/>
                <w:szCs w:val="24"/>
              </w:rPr>
              <w:t>Autoritatea de Audit</w:t>
            </w:r>
            <w:r w:rsidRPr="001552C0">
              <w:rPr>
                <w:rFonts w:eastAsia="Times New Roman" w:cstheme="minorHAnsi"/>
                <w:iCs/>
                <w:noProof/>
                <w:szCs w:val="24"/>
              </w:rPr>
              <w:t xml:space="preserve"> de pe lângă Curtea de Conturi a României, organism independent din punct de vedere operațional fața de Curtea de Conturi și față de celelalte autorități responsabile cu managementul și implementarea fondurilor externe nerambursabile.</w:t>
            </w:r>
          </w:p>
        </w:tc>
      </w:tr>
    </w:tbl>
    <w:p w14:paraId="5F72020E" w14:textId="77777777" w:rsidR="00F000AD" w:rsidRPr="001552C0" w:rsidRDefault="00F000AD" w:rsidP="00F000AD">
      <w:pPr>
        <w:spacing w:before="120" w:after="120" w:line="360" w:lineRule="auto"/>
        <w:rPr>
          <w:rFonts w:ascii="Times New Roman" w:eastAsia="Times New Roman" w:hAnsi="Times New Roman" w:cs="Times New Roman"/>
          <w:i/>
          <w:noProof/>
          <w:sz w:val="24"/>
          <w:szCs w:val="24"/>
        </w:rPr>
      </w:pPr>
    </w:p>
    <w:p w14:paraId="1CEB7B05" w14:textId="77777777" w:rsidR="00B96B06" w:rsidRPr="001552C0" w:rsidRDefault="00B96B06" w:rsidP="00F000AD">
      <w:pPr>
        <w:spacing w:before="120" w:after="120" w:line="360" w:lineRule="auto"/>
        <w:rPr>
          <w:rFonts w:ascii="Times New Roman" w:eastAsia="Times New Roman" w:hAnsi="Times New Roman" w:cs="Times New Roman"/>
          <w:i/>
          <w:noProof/>
          <w:sz w:val="24"/>
          <w:szCs w:val="24"/>
        </w:rPr>
      </w:pPr>
    </w:p>
    <w:p w14:paraId="10DB2A17" w14:textId="77777777" w:rsidR="00B96B06" w:rsidRPr="001552C0" w:rsidRDefault="00B96B06" w:rsidP="00F000AD">
      <w:pPr>
        <w:spacing w:before="120" w:after="120" w:line="360" w:lineRule="auto"/>
        <w:rPr>
          <w:rFonts w:ascii="Times New Roman" w:eastAsia="Times New Roman" w:hAnsi="Times New Roman" w:cs="Times New Roman"/>
          <w:i/>
          <w:noProof/>
          <w:sz w:val="24"/>
          <w:szCs w:val="24"/>
        </w:rPr>
      </w:pPr>
    </w:p>
    <w:p w14:paraId="627ED21C" w14:textId="77777777" w:rsidR="00F000AD" w:rsidRPr="001552C0" w:rsidRDefault="00F000AD" w:rsidP="00F000AD">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For the Investment for Jobs and Growth goal: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42"/>
        <w:gridCol w:w="6982"/>
      </w:tblGrid>
      <w:tr w:rsidR="00B96B06" w:rsidRPr="001552C0" w14:paraId="1D641A19" w14:textId="77777777" w:rsidTr="00F000AD">
        <w:tc>
          <w:tcPr>
            <w:tcW w:w="5000" w:type="pct"/>
            <w:gridSpan w:val="3"/>
            <w:tcBorders>
              <w:top w:val="single" w:sz="4" w:space="0" w:color="auto"/>
              <w:left w:val="single" w:sz="4" w:space="0" w:color="auto"/>
              <w:bottom w:val="single" w:sz="4" w:space="0" w:color="auto"/>
              <w:right w:val="single" w:sz="4" w:space="0" w:color="auto"/>
            </w:tcBorders>
            <w:hideMark/>
          </w:tcPr>
          <w:p w14:paraId="364F5B08" w14:textId="77777777" w:rsidR="00F000AD" w:rsidRPr="001552C0" w:rsidRDefault="00F000AD" w:rsidP="00F000AD">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Table 1</w:t>
            </w:r>
          </w:p>
        </w:tc>
      </w:tr>
      <w:tr w:rsidR="00B96B06" w:rsidRPr="001552C0" w14:paraId="13C64C84" w14:textId="77777777" w:rsidTr="001A2279">
        <w:tc>
          <w:tcPr>
            <w:tcW w:w="668" w:type="pct"/>
            <w:tcBorders>
              <w:top w:val="single" w:sz="4" w:space="0" w:color="auto"/>
              <w:left w:val="single" w:sz="4" w:space="0" w:color="auto"/>
              <w:bottom w:val="single" w:sz="4" w:space="0" w:color="auto"/>
              <w:right w:val="single" w:sz="4" w:space="0" w:color="auto"/>
            </w:tcBorders>
            <w:hideMark/>
          </w:tcPr>
          <w:p w14:paraId="244A02E8" w14:textId="77777777" w:rsidR="00F000AD" w:rsidRPr="001552C0" w:rsidRDefault="00F000AD" w:rsidP="00F000AD">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 xml:space="preserve">Policy objective </w:t>
            </w:r>
          </w:p>
        </w:tc>
        <w:tc>
          <w:tcPr>
            <w:tcW w:w="674" w:type="pct"/>
            <w:tcBorders>
              <w:top w:val="single" w:sz="4" w:space="0" w:color="auto"/>
              <w:left w:val="single" w:sz="4" w:space="0" w:color="auto"/>
              <w:bottom w:val="single" w:sz="4" w:space="0" w:color="auto"/>
              <w:right w:val="single" w:sz="4" w:space="0" w:color="auto"/>
            </w:tcBorders>
            <w:hideMark/>
          </w:tcPr>
          <w:p w14:paraId="465E3F3E" w14:textId="77777777" w:rsidR="00F000AD" w:rsidRPr="001552C0" w:rsidRDefault="00F000AD" w:rsidP="00F000AD">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 xml:space="preserve">Specific objective </w:t>
            </w:r>
          </w:p>
        </w:tc>
        <w:tc>
          <w:tcPr>
            <w:tcW w:w="3658" w:type="pct"/>
            <w:tcBorders>
              <w:top w:val="single" w:sz="4" w:space="0" w:color="auto"/>
              <w:left w:val="single" w:sz="4" w:space="0" w:color="auto"/>
              <w:bottom w:val="single" w:sz="4" w:space="0" w:color="auto"/>
              <w:right w:val="single" w:sz="4" w:space="0" w:color="auto"/>
            </w:tcBorders>
            <w:hideMark/>
          </w:tcPr>
          <w:p w14:paraId="28AD19DF" w14:textId="77777777" w:rsidR="00F000AD" w:rsidRPr="001552C0" w:rsidRDefault="00F000AD" w:rsidP="00F000AD">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Justification (summary)</w:t>
            </w:r>
            <w:r w:rsidR="00424832" w:rsidRPr="001552C0">
              <w:rPr>
                <w:rFonts w:ascii="Times New Roman" w:eastAsia="Times New Roman" w:hAnsi="Times New Roman" w:cs="Times New Roman"/>
                <w:iCs/>
                <w:noProof/>
                <w:sz w:val="20"/>
              </w:rPr>
              <w:t xml:space="preserve">  [2 000 per specific objective or dedicated priority]</w:t>
            </w:r>
          </w:p>
        </w:tc>
      </w:tr>
      <w:tr w:rsidR="00B96B06" w:rsidRPr="001552C0" w14:paraId="0FD4A025" w14:textId="77777777" w:rsidTr="001A2279">
        <w:tc>
          <w:tcPr>
            <w:tcW w:w="668" w:type="pct"/>
            <w:tcBorders>
              <w:top w:val="single" w:sz="4" w:space="0" w:color="auto"/>
              <w:left w:val="single" w:sz="4" w:space="0" w:color="auto"/>
              <w:bottom w:val="single" w:sz="4" w:space="0" w:color="auto"/>
              <w:right w:val="single" w:sz="4" w:space="0" w:color="auto"/>
            </w:tcBorders>
          </w:tcPr>
          <w:p w14:paraId="397228E3" w14:textId="77777777" w:rsidR="00F000AD" w:rsidRPr="001552C0" w:rsidRDefault="00547DD4" w:rsidP="00F000AD">
            <w:pPr>
              <w:spacing w:before="120" w:after="120"/>
              <w:rPr>
                <w:rFonts w:eastAsia="Times New Roman" w:cs="Times New Roman"/>
                <w:b/>
                <w:iCs/>
                <w:noProof/>
              </w:rPr>
            </w:pPr>
            <w:r w:rsidRPr="001552C0">
              <w:rPr>
                <w:rFonts w:eastAsia="Times New Roman" w:cs="Times New Roman"/>
                <w:b/>
                <w:iCs/>
                <w:noProof/>
              </w:rPr>
              <w:t>'a greener, low-carbon and resilient Europe by promoting clean and fair energy transition, green and blue investment, the circular economy, climate adaptation and risk prevention and management</w:t>
            </w:r>
          </w:p>
        </w:tc>
        <w:tc>
          <w:tcPr>
            <w:tcW w:w="674" w:type="pct"/>
            <w:tcBorders>
              <w:top w:val="single" w:sz="4" w:space="0" w:color="auto"/>
              <w:left w:val="single" w:sz="4" w:space="0" w:color="auto"/>
              <w:bottom w:val="single" w:sz="4" w:space="0" w:color="auto"/>
              <w:right w:val="single" w:sz="4" w:space="0" w:color="auto"/>
            </w:tcBorders>
          </w:tcPr>
          <w:p w14:paraId="6B976A7F" w14:textId="77777777" w:rsidR="00F000AD" w:rsidRPr="001552C0" w:rsidRDefault="00547DD4" w:rsidP="00F000AD">
            <w:pPr>
              <w:spacing w:before="120" w:after="120"/>
              <w:rPr>
                <w:rFonts w:eastAsia="Times New Roman" w:cs="Times New Roman"/>
                <w:i/>
                <w:iCs/>
                <w:noProof/>
              </w:rPr>
            </w:pPr>
            <w:r w:rsidRPr="001552C0">
              <w:rPr>
                <w:rFonts w:eastAsia="Times New Roman" w:cs="Times New Roman"/>
                <w:i/>
                <w:iCs/>
                <w:noProof/>
              </w:rPr>
              <w:t>(i) promoting energy efficiency and re</w:t>
            </w:r>
            <w:r w:rsidR="004B77E7" w:rsidRPr="001552C0">
              <w:rPr>
                <w:rFonts w:eastAsia="Times New Roman" w:cs="Times New Roman"/>
                <w:i/>
                <w:iCs/>
                <w:noProof/>
              </w:rPr>
              <w:t>ducing greenhouse gas emissions</w:t>
            </w:r>
          </w:p>
        </w:tc>
        <w:tc>
          <w:tcPr>
            <w:tcW w:w="3658" w:type="pct"/>
            <w:tcBorders>
              <w:top w:val="single" w:sz="4" w:space="0" w:color="auto"/>
              <w:left w:val="single" w:sz="4" w:space="0" w:color="auto"/>
              <w:bottom w:val="single" w:sz="4" w:space="0" w:color="auto"/>
              <w:right w:val="single" w:sz="4" w:space="0" w:color="auto"/>
            </w:tcBorders>
          </w:tcPr>
          <w:p w14:paraId="7A40E752" w14:textId="3C0ADEAA" w:rsidR="001A2279" w:rsidRPr="001552C0" w:rsidRDefault="001A2279" w:rsidP="001A2279">
            <w:pPr>
              <w:spacing w:before="120" w:after="120"/>
              <w:jc w:val="both"/>
              <w:rPr>
                <w:rFonts w:eastAsia="Times New Roman" w:cs="Times New Roman"/>
                <w:iCs/>
                <w:noProof/>
              </w:rPr>
            </w:pPr>
            <w:r w:rsidRPr="001552C0">
              <w:rPr>
                <w:rFonts w:eastAsia="Times New Roman" w:cs="Times New Roman"/>
                <w:iCs/>
                <w:noProof/>
              </w:rPr>
              <w:t xml:space="preserve">Conform Raportului de ţară Investițiile în eficiența energetică rămân în continuare scăzute, în ciuda unor stimulente adecvate din partea statului iar pentru îndeplinirea obiectivul UE 2030 de eficiență energetică de 32,5%, trebuie atrasă o cotă mai mare de finanțarea privată. În cadrul PNIESC, România a indicat o nevoie totală de investiții de aproximativ 22 de miliarde EUR în domeniul energiei și climei pentru perioada 2021-2030 ceea ce evidențiază contribuția esențială pe care fondurile europene derulate prin PODD, o vor avea în aceste sectoare. </w:t>
            </w:r>
          </w:p>
          <w:p w14:paraId="26F7409B" w14:textId="080CFB40" w:rsidR="001A2279" w:rsidRPr="001552C0" w:rsidRDefault="001A2279" w:rsidP="001A2279">
            <w:pPr>
              <w:spacing w:before="120" w:after="120"/>
              <w:jc w:val="both"/>
              <w:rPr>
                <w:rFonts w:eastAsia="Times New Roman" w:cs="Times New Roman"/>
                <w:iCs/>
                <w:noProof/>
              </w:rPr>
            </w:pPr>
            <w:r w:rsidRPr="001552C0">
              <w:rPr>
                <w:rFonts w:eastAsia="Times New Roman" w:cs="Times New Roman"/>
                <w:iCs/>
                <w:noProof/>
              </w:rPr>
              <w:t xml:space="preserve">În scopul atingerii țintelor comune la nivelul Uniunii, România </w:t>
            </w:r>
            <w:r w:rsidR="00E54FDB" w:rsidRPr="001552C0">
              <w:rPr>
                <w:rFonts w:eastAsia="Times New Roman" w:cs="Times New Roman"/>
                <w:iCs/>
                <w:noProof/>
              </w:rPr>
              <w:t>ș</w:t>
            </w:r>
            <w:r w:rsidRPr="001552C0">
              <w:rPr>
                <w:rFonts w:eastAsia="Times New Roman" w:cs="Times New Roman"/>
                <w:iCs/>
                <w:noProof/>
              </w:rPr>
              <w:t>i-a propus prin intermediul PNIESC:</w:t>
            </w:r>
          </w:p>
          <w:p w14:paraId="7676520C" w14:textId="466F6836" w:rsidR="001A2279" w:rsidRPr="001552C0" w:rsidRDefault="001A2279" w:rsidP="007B5B2A">
            <w:pPr>
              <w:pStyle w:val="ListParagraph"/>
              <w:numPr>
                <w:ilvl w:val="0"/>
                <w:numId w:val="65"/>
              </w:numPr>
              <w:ind w:left="616" w:hanging="256"/>
              <w:jc w:val="both"/>
              <w:rPr>
                <w:rFonts w:asciiTheme="minorHAnsi" w:eastAsia="Times New Roman" w:hAnsiTheme="minorHAnsi"/>
                <w:iCs/>
                <w:noProof/>
                <w:sz w:val="22"/>
                <w:lang w:val="ro-RO"/>
              </w:rPr>
            </w:pPr>
            <w:r w:rsidRPr="001552C0">
              <w:rPr>
                <w:rFonts w:asciiTheme="minorHAnsi" w:eastAsia="Times New Roman" w:hAnsiTheme="minorHAnsi"/>
                <w:iCs/>
                <w:noProof/>
                <w:sz w:val="22"/>
                <w:lang w:val="ro-RO"/>
              </w:rPr>
              <w:t>Reducerea emisiilor de gaze cu efect de seră (GES) cu cel puțin 40% până în 2030, comparativ cu 1990;</w:t>
            </w:r>
          </w:p>
          <w:p w14:paraId="34368B19" w14:textId="595E7653" w:rsidR="001A2279" w:rsidRPr="001552C0" w:rsidRDefault="001A2279" w:rsidP="007B5B2A">
            <w:pPr>
              <w:pStyle w:val="ListParagraph"/>
              <w:numPr>
                <w:ilvl w:val="0"/>
                <w:numId w:val="65"/>
              </w:numPr>
              <w:ind w:left="616" w:hanging="256"/>
              <w:jc w:val="both"/>
              <w:rPr>
                <w:rFonts w:asciiTheme="minorHAnsi" w:eastAsia="Times New Roman" w:hAnsiTheme="minorHAnsi"/>
                <w:iCs/>
                <w:noProof/>
                <w:sz w:val="22"/>
                <w:lang w:val="ro-RO"/>
              </w:rPr>
            </w:pPr>
            <w:r w:rsidRPr="001552C0">
              <w:rPr>
                <w:rFonts w:asciiTheme="minorHAnsi" w:eastAsia="Times New Roman" w:hAnsiTheme="minorHAnsi"/>
                <w:iCs/>
                <w:noProof/>
                <w:sz w:val="22"/>
                <w:lang w:val="ro-RO"/>
              </w:rPr>
              <w:t>Creșterea ponderii de energie din surse regenerab</w:t>
            </w:r>
            <w:r w:rsidR="001913E5" w:rsidRPr="001552C0">
              <w:rPr>
                <w:rFonts w:asciiTheme="minorHAnsi" w:eastAsia="Times New Roman" w:hAnsiTheme="minorHAnsi"/>
                <w:iCs/>
                <w:noProof/>
                <w:sz w:val="22"/>
                <w:lang w:val="ro-RO"/>
              </w:rPr>
              <w:t>ile în consumul final până la 30,7</w:t>
            </w:r>
            <w:r w:rsidRPr="001552C0">
              <w:rPr>
                <w:rFonts w:asciiTheme="minorHAnsi" w:eastAsia="Times New Roman" w:hAnsiTheme="minorHAnsi"/>
                <w:iCs/>
                <w:noProof/>
                <w:sz w:val="22"/>
                <w:lang w:val="ro-RO"/>
              </w:rPr>
              <w:t>% în 2030;</w:t>
            </w:r>
          </w:p>
          <w:p w14:paraId="2B8317EC" w14:textId="432DAE8D" w:rsidR="001A2279" w:rsidRPr="001552C0" w:rsidRDefault="001A2279" w:rsidP="007B5B2A">
            <w:pPr>
              <w:pStyle w:val="ListParagraph"/>
              <w:numPr>
                <w:ilvl w:val="0"/>
                <w:numId w:val="65"/>
              </w:numPr>
              <w:ind w:left="616" w:hanging="256"/>
              <w:jc w:val="both"/>
              <w:rPr>
                <w:rFonts w:asciiTheme="minorHAnsi" w:eastAsia="Times New Roman" w:hAnsiTheme="minorHAnsi"/>
                <w:iCs/>
                <w:noProof/>
                <w:sz w:val="22"/>
                <w:lang w:val="ro-RO"/>
              </w:rPr>
            </w:pPr>
            <w:r w:rsidRPr="001552C0">
              <w:rPr>
                <w:rFonts w:asciiTheme="minorHAnsi" w:eastAsia="Times New Roman" w:hAnsiTheme="minorHAnsi"/>
                <w:iCs/>
                <w:noProof/>
                <w:sz w:val="22"/>
                <w:lang w:val="ro-RO"/>
              </w:rPr>
              <w:t>Scăderea con</w:t>
            </w:r>
            <w:r w:rsidR="001913E5" w:rsidRPr="001552C0">
              <w:rPr>
                <w:rFonts w:asciiTheme="minorHAnsi" w:eastAsia="Times New Roman" w:hAnsiTheme="minorHAnsi"/>
                <w:iCs/>
                <w:noProof/>
                <w:sz w:val="22"/>
                <w:lang w:val="ro-RO"/>
              </w:rPr>
              <w:t>sumului final de energie cu 40,4</w:t>
            </w:r>
            <w:r w:rsidRPr="001552C0">
              <w:rPr>
                <w:rFonts w:asciiTheme="minorHAnsi" w:eastAsia="Times New Roman" w:hAnsiTheme="minorHAnsi"/>
                <w:iCs/>
                <w:noProof/>
                <w:sz w:val="22"/>
                <w:lang w:val="ro-RO"/>
              </w:rPr>
              <w:t>% în 2030;</w:t>
            </w:r>
          </w:p>
          <w:p w14:paraId="5F398A68" w14:textId="7F2763D1" w:rsidR="001A2279" w:rsidRPr="001552C0" w:rsidRDefault="001A2279" w:rsidP="007B5B2A">
            <w:pPr>
              <w:pStyle w:val="ListParagraph"/>
              <w:numPr>
                <w:ilvl w:val="0"/>
                <w:numId w:val="65"/>
              </w:numPr>
              <w:ind w:left="616" w:hanging="256"/>
              <w:jc w:val="both"/>
              <w:rPr>
                <w:rFonts w:asciiTheme="minorHAnsi" w:eastAsia="Times New Roman" w:hAnsiTheme="minorHAnsi"/>
                <w:iCs/>
                <w:noProof/>
                <w:sz w:val="22"/>
                <w:lang w:val="ro-RO"/>
              </w:rPr>
            </w:pPr>
            <w:r w:rsidRPr="001552C0">
              <w:rPr>
                <w:rFonts w:asciiTheme="minorHAnsi" w:eastAsia="Times New Roman" w:hAnsiTheme="minorHAnsi"/>
                <w:iCs/>
                <w:noProof/>
                <w:sz w:val="22"/>
                <w:lang w:val="ro-RO"/>
              </w:rPr>
              <w:t>Atingerea unui grad de interconectare a sistemelor de transport a energiei electrice de 15% până în 2030.</w:t>
            </w:r>
          </w:p>
          <w:p w14:paraId="2ADD88C4" w14:textId="0D8884A3" w:rsidR="00F000AD" w:rsidRPr="001552C0" w:rsidRDefault="001A2279" w:rsidP="0013572E">
            <w:pPr>
              <w:spacing w:before="120" w:after="120"/>
              <w:jc w:val="both"/>
              <w:rPr>
                <w:rFonts w:eastAsia="Times New Roman" w:cs="Times New Roman"/>
                <w:iCs/>
                <w:noProof/>
              </w:rPr>
            </w:pPr>
            <w:r w:rsidRPr="001552C0">
              <w:rPr>
                <w:rFonts w:eastAsia="Times New Roman" w:cs="Times New Roman"/>
                <w:iCs/>
                <w:noProof/>
              </w:rPr>
              <w:t xml:space="preserve">Astfel, alegerea acestui obiectiv specific este rezultatul necesității pe de o parte de a respecta </w:t>
            </w:r>
            <w:r w:rsidR="0013572E" w:rsidRPr="001552C0">
              <w:rPr>
                <w:rFonts w:eastAsia="Times New Roman" w:cs="Times New Roman"/>
                <w:iCs/>
                <w:noProof/>
              </w:rPr>
              <w:t>ț</w:t>
            </w:r>
            <w:r w:rsidRPr="001552C0">
              <w:rPr>
                <w:rFonts w:eastAsia="Times New Roman" w:cs="Times New Roman"/>
                <w:iCs/>
                <w:noProof/>
              </w:rPr>
              <w:t>intele asumate de România și de a contribui la dezvoltarea coerentă și continuă a sectorului energetic național</w:t>
            </w:r>
            <w:r w:rsidR="0013572E" w:rsidRPr="001552C0">
              <w:rPr>
                <w:rFonts w:eastAsia="Times New Roman" w:cs="Times New Roman"/>
                <w:iCs/>
                <w:noProof/>
              </w:rPr>
              <w:t>,</w:t>
            </w:r>
            <w:r w:rsidRPr="001552C0">
              <w:rPr>
                <w:rFonts w:eastAsia="Times New Roman" w:cs="Times New Roman"/>
                <w:iCs/>
                <w:noProof/>
              </w:rPr>
              <w:t xml:space="preserve"> iar pe de </w:t>
            </w:r>
            <w:r w:rsidRPr="001552C0">
              <w:rPr>
                <w:rFonts w:eastAsia="Times New Roman" w:cs="Times New Roman"/>
                <w:iCs/>
                <w:noProof/>
              </w:rPr>
              <w:lastRenderedPageBreak/>
              <w:t>altă parte pentru a contribui sus</w:t>
            </w:r>
            <w:r w:rsidR="0013572E" w:rsidRPr="001552C0">
              <w:rPr>
                <w:rFonts w:eastAsia="Times New Roman" w:cs="Times New Roman"/>
                <w:iCs/>
                <w:noProof/>
              </w:rPr>
              <w:t>ț</w:t>
            </w:r>
            <w:r w:rsidRPr="001552C0">
              <w:rPr>
                <w:rFonts w:eastAsia="Times New Roman" w:cs="Times New Roman"/>
                <w:iCs/>
                <w:noProof/>
              </w:rPr>
              <w:t>inut at</w:t>
            </w:r>
            <w:r w:rsidR="0013572E" w:rsidRPr="001552C0">
              <w:rPr>
                <w:rFonts w:eastAsia="Times New Roman" w:cs="Times New Roman"/>
                <w:iCs/>
                <w:noProof/>
              </w:rPr>
              <w:t>â</w:t>
            </w:r>
            <w:r w:rsidRPr="001552C0">
              <w:rPr>
                <w:rFonts w:eastAsia="Times New Roman" w:cs="Times New Roman"/>
                <w:iCs/>
                <w:noProof/>
              </w:rPr>
              <w:t>t la realizarea politicilor și măsurilor aferente celor cinci dimensiuni ale Uniunii Energetice</w:t>
            </w:r>
            <w:r w:rsidR="0013572E" w:rsidRPr="001552C0">
              <w:rPr>
                <w:rFonts w:eastAsia="Times New Roman" w:cs="Times New Roman"/>
                <w:iCs/>
                <w:noProof/>
              </w:rPr>
              <w:t>,</w:t>
            </w:r>
            <w:r w:rsidRPr="001552C0">
              <w:rPr>
                <w:rFonts w:eastAsia="Times New Roman" w:cs="Times New Roman"/>
                <w:iCs/>
                <w:noProof/>
              </w:rPr>
              <w:t xml:space="preserve"> cât și la realizarea obiectivelor europene comune din pachetul “Energie curată pentru toți europenii”</w:t>
            </w:r>
            <w:r w:rsidR="0013572E" w:rsidRPr="001552C0">
              <w:rPr>
                <w:rFonts w:eastAsia="Times New Roman" w:cs="Times New Roman"/>
                <w:iCs/>
                <w:noProof/>
              </w:rPr>
              <w:t>.</w:t>
            </w:r>
          </w:p>
        </w:tc>
      </w:tr>
      <w:tr w:rsidR="00B96B06" w:rsidRPr="001552C0" w14:paraId="472788EA" w14:textId="77777777" w:rsidTr="001A2279">
        <w:tc>
          <w:tcPr>
            <w:tcW w:w="668" w:type="pct"/>
            <w:tcBorders>
              <w:top w:val="single" w:sz="4" w:space="0" w:color="auto"/>
              <w:left w:val="single" w:sz="4" w:space="0" w:color="auto"/>
              <w:bottom w:val="single" w:sz="4" w:space="0" w:color="auto"/>
              <w:right w:val="single" w:sz="4" w:space="0" w:color="auto"/>
            </w:tcBorders>
          </w:tcPr>
          <w:p w14:paraId="75714712" w14:textId="77777777" w:rsidR="00547DD4" w:rsidRPr="001552C0" w:rsidRDefault="00547DD4" w:rsidP="00F000AD">
            <w:pPr>
              <w:spacing w:before="120" w:after="120"/>
              <w:rPr>
                <w:rFonts w:eastAsia="Times New Roman" w:cs="Times New Roman"/>
                <w:b/>
                <w:iCs/>
                <w:noProof/>
              </w:rPr>
            </w:pPr>
          </w:p>
        </w:tc>
        <w:tc>
          <w:tcPr>
            <w:tcW w:w="674" w:type="pct"/>
            <w:tcBorders>
              <w:top w:val="single" w:sz="4" w:space="0" w:color="auto"/>
              <w:left w:val="single" w:sz="4" w:space="0" w:color="auto"/>
              <w:bottom w:val="single" w:sz="4" w:space="0" w:color="auto"/>
              <w:right w:val="single" w:sz="4" w:space="0" w:color="auto"/>
            </w:tcBorders>
          </w:tcPr>
          <w:p w14:paraId="15C06A90" w14:textId="77777777" w:rsidR="00547DD4" w:rsidRPr="001552C0" w:rsidRDefault="00547DD4" w:rsidP="00F000AD">
            <w:pPr>
              <w:spacing w:before="120" w:after="120"/>
              <w:rPr>
                <w:rFonts w:eastAsia="Times New Roman" w:cs="Times New Roman"/>
                <w:i/>
                <w:iCs/>
                <w:noProof/>
              </w:rPr>
            </w:pPr>
            <w:r w:rsidRPr="001552C0">
              <w:rPr>
                <w:rFonts w:eastAsia="Times New Roman" w:cs="Times New Roman"/>
                <w:i/>
                <w:iCs/>
                <w:noProof/>
              </w:rPr>
              <w:t>(iii) developing smart energy systems, grids and storage outside TEN-E</w:t>
            </w:r>
          </w:p>
        </w:tc>
        <w:tc>
          <w:tcPr>
            <w:tcW w:w="3658" w:type="pct"/>
            <w:tcBorders>
              <w:top w:val="single" w:sz="4" w:space="0" w:color="auto"/>
              <w:left w:val="single" w:sz="4" w:space="0" w:color="auto"/>
              <w:bottom w:val="single" w:sz="4" w:space="0" w:color="auto"/>
              <w:right w:val="single" w:sz="4" w:space="0" w:color="auto"/>
            </w:tcBorders>
          </w:tcPr>
          <w:p w14:paraId="05568CCE" w14:textId="77777777" w:rsidR="001A2279" w:rsidRPr="001552C0" w:rsidRDefault="001A2279" w:rsidP="001A2279">
            <w:pPr>
              <w:spacing w:before="120" w:after="120"/>
              <w:jc w:val="both"/>
              <w:rPr>
                <w:rFonts w:eastAsia="Times New Roman" w:cs="Times New Roman"/>
                <w:iCs/>
                <w:noProof/>
              </w:rPr>
            </w:pPr>
            <w:r w:rsidRPr="001552C0">
              <w:rPr>
                <w:rFonts w:eastAsia="Times New Roman" w:cs="Times New Roman"/>
                <w:iCs/>
                <w:noProof/>
              </w:rPr>
              <w:t xml:space="preserve">Pachetul „Energie curată pentru toți europenii” propune noi reguli care să aducă avantaje considerabile din perspectiva consumatorului, din perspectiva mediului și din punct de vedere economic. </w:t>
            </w:r>
          </w:p>
          <w:p w14:paraId="64647068" w14:textId="77777777" w:rsidR="001A2279" w:rsidRPr="001552C0" w:rsidRDefault="001A2279" w:rsidP="001A2279">
            <w:pPr>
              <w:spacing w:before="120" w:after="120"/>
              <w:jc w:val="both"/>
              <w:rPr>
                <w:rFonts w:eastAsia="Times New Roman" w:cs="Times New Roman"/>
                <w:iCs/>
                <w:noProof/>
              </w:rPr>
            </w:pPr>
            <w:r w:rsidRPr="001552C0">
              <w:rPr>
                <w:rFonts w:eastAsia="Times New Roman" w:cs="Times New Roman"/>
                <w:iCs/>
                <w:noProof/>
              </w:rPr>
              <w:t xml:space="preserve">Unul din documentele pachetului „Energie curată pentru toți europenii” urmărește să stabilească un design modern pentru piața energiei electrice din UE,  adaptat la noile realități ale pieței - mai flexibil, mai orientat către piață și mai bine plasat pentru a integra o pondere mai mare de surse regenerabile. </w:t>
            </w:r>
          </w:p>
          <w:p w14:paraId="11C4D4E1" w14:textId="73AA8228" w:rsidR="00547DD4" w:rsidRPr="001552C0" w:rsidRDefault="001A2279" w:rsidP="0013572E">
            <w:pPr>
              <w:spacing w:before="120" w:after="120"/>
              <w:jc w:val="both"/>
              <w:rPr>
                <w:rFonts w:eastAsia="Times New Roman" w:cs="Times New Roman"/>
                <w:iCs/>
                <w:noProof/>
              </w:rPr>
            </w:pPr>
            <w:r w:rsidRPr="001552C0">
              <w:rPr>
                <w:rFonts w:eastAsia="Times New Roman" w:cs="Times New Roman"/>
                <w:iCs/>
                <w:noProof/>
              </w:rPr>
              <w:t>Prin selectarea acestui obiectiv specific România dore</w:t>
            </w:r>
            <w:r w:rsidR="0013572E" w:rsidRPr="001552C0">
              <w:rPr>
                <w:rFonts w:eastAsia="Times New Roman" w:cs="Times New Roman"/>
                <w:iCs/>
                <w:noProof/>
              </w:rPr>
              <w:t>ș</w:t>
            </w:r>
            <w:r w:rsidRPr="001552C0">
              <w:rPr>
                <w:rFonts w:eastAsia="Times New Roman" w:cs="Times New Roman"/>
                <w:iCs/>
                <w:noProof/>
              </w:rPr>
              <w:t>te să contribuie la modernizarea pie</w:t>
            </w:r>
            <w:r w:rsidR="0013572E" w:rsidRPr="001552C0">
              <w:rPr>
                <w:rFonts w:eastAsia="Times New Roman" w:cs="Times New Roman"/>
                <w:iCs/>
                <w:noProof/>
              </w:rPr>
              <w:t>ț</w:t>
            </w:r>
            <w:r w:rsidRPr="001552C0">
              <w:rPr>
                <w:rFonts w:eastAsia="Times New Roman" w:cs="Times New Roman"/>
                <w:iCs/>
                <w:noProof/>
              </w:rPr>
              <w:t>ei nationale de energie ca parte integrantă a pietei de energie europeană.  Implementarea infrastructurii inteligente reprezintă un pas intermediar esențial pentru asigurarea flexibilității sistemului energetic, care oferă beneficii tangibile atât pentru operatorii cât și pentru utilizatorii finali,.</w:t>
            </w:r>
          </w:p>
        </w:tc>
      </w:tr>
      <w:tr w:rsidR="00B96B06" w:rsidRPr="001552C0" w14:paraId="2125CB2B" w14:textId="77777777" w:rsidTr="001A2279">
        <w:tc>
          <w:tcPr>
            <w:tcW w:w="668" w:type="pct"/>
            <w:tcBorders>
              <w:top w:val="single" w:sz="4" w:space="0" w:color="auto"/>
              <w:left w:val="single" w:sz="4" w:space="0" w:color="auto"/>
              <w:bottom w:val="single" w:sz="4" w:space="0" w:color="auto"/>
              <w:right w:val="single" w:sz="4" w:space="0" w:color="auto"/>
            </w:tcBorders>
          </w:tcPr>
          <w:p w14:paraId="52BC564B" w14:textId="77777777" w:rsidR="000C6477" w:rsidRPr="001552C0" w:rsidRDefault="000C6477" w:rsidP="00F000AD">
            <w:pPr>
              <w:spacing w:before="120" w:after="120"/>
              <w:rPr>
                <w:rFonts w:eastAsia="Times New Roman" w:cs="Times New Roman"/>
                <w:b/>
                <w:iCs/>
                <w:noProof/>
              </w:rPr>
            </w:pPr>
          </w:p>
        </w:tc>
        <w:tc>
          <w:tcPr>
            <w:tcW w:w="674" w:type="pct"/>
            <w:tcBorders>
              <w:top w:val="single" w:sz="4" w:space="0" w:color="auto"/>
              <w:left w:val="single" w:sz="4" w:space="0" w:color="auto"/>
              <w:bottom w:val="single" w:sz="4" w:space="0" w:color="auto"/>
              <w:right w:val="single" w:sz="4" w:space="0" w:color="auto"/>
            </w:tcBorders>
          </w:tcPr>
          <w:p w14:paraId="1E475A8F" w14:textId="77777777" w:rsidR="000C6477" w:rsidRPr="001552C0" w:rsidRDefault="000C6477" w:rsidP="00F000AD">
            <w:pPr>
              <w:spacing w:before="120" w:after="120"/>
              <w:rPr>
                <w:rFonts w:eastAsia="Times New Roman" w:cs="Times New Roman"/>
                <w:i/>
                <w:iCs/>
                <w:noProof/>
              </w:rPr>
            </w:pPr>
            <w:r w:rsidRPr="001552C0">
              <w:rPr>
                <w:rFonts w:eastAsia="Times New Roman" w:cs="Times New Roman"/>
                <w:i/>
                <w:iCs/>
                <w:noProof/>
              </w:rPr>
              <w:t>(iv) promoting climate change adaptation, risk prevention and disaster resilience;</w:t>
            </w:r>
          </w:p>
        </w:tc>
        <w:tc>
          <w:tcPr>
            <w:tcW w:w="3658" w:type="pct"/>
            <w:tcBorders>
              <w:top w:val="single" w:sz="4" w:space="0" w:color="auto"/>
              <w:left w:val="single" w:sz="4" w:space="0" w:color="auto"/>
              <w:bottom w:val="single" w:sz="4" w:space="0" w:color="auto"/>
              <w:right w:val="single" w:sz="4" w:space="0" w:color="auto"/>
            </w:tcBorders>
          </w:tcPr>
          <w:p w14:paraId="3A9381FF"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Schimbările climatice (creşterea temperaturii, modificări ale precipitaţiilor, evenimente extreme, disponibilitatea resurselor de apă, creşterea nivelului mării etc) au loc la nivel global şi în Europa, iar unele dintre modificările observate au stabilit recorduri în ultimii ani. Schimbările climatice au condus deja la o gamă largă de efecte asupra sistemelor de mediu şi asupra societăţii, efecte importante fiind preconizate şi în viitor, putând conduce la creşterea vulnerabilităţilor existente şi la adâncirea dezechilibrelor socio-economice. Măsuri de adaptare la efectele schimbărilor climatice sunt necesare în numeroase domenii, acestea putând contribui la scăderea pagubelor produse de dezastrele naturale şi alte efecte ale schimbărilor climatice.</w:t>
            </w:r>
          </w:p>
          <w:p w14:paraId="47EED7F9" w14:textId="510E723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 xml:space="preserve">Conform Evaluării riscului de dezastre la nivel național, inundaţiile </w:t>
            </w:r>
            <w:r w:rsidR="00FF68FF" w:rsidRPr="001552C0">
              <w:rPr>
                <w:rFonts w:eastAsia="Times New Roman" w:cs="Times New Roman"/>
                <w:iCs/>
                <w:noProof/>
              </w:rPr>
              <w:t>și</w:t>
            </w:r>
            <w:r w:rsidRPr="001552C0">
              <w:rPr>
                <w:rFonts w:eastAsia="Times New Roman" w:cs="Times New Roman"/>
                <w:iCs/>
                <w:noProof/>
              </w:rPr>
              <w:t xml:space="preserve"> seceta</w:t>
            </w:r>
            <w:r w:rsidR="00FF68FF" w:rsidRPr="001552C0">
              <w:rPr>
                <w:rFonts w:eastAsia="Times New Roman" w:cs="Times New Roman"/>
                <w:iCs/>
                <w:noProof/>
              </w:rPr>
              <w:t xml:space="preserve"> sunt printre cele mai frecvente riscuri</w:t>
            </w:r>
            <w:r w:rsidRPr="001552C0">
              <w:rPr>
                <w:rFonts w:eastAsia="Times New Roman" w:cs="Times New Roman"/>
                <w:iCs/>
                <w:noProof/>
              </w:rPr>
              <w:t>, din cele 10 tipuri de hazarduri selectate pe baze științifice pentru a fi supuse evaluării naționale, din lista riscurilor recunoscute de legislația românească, pe baze istorice, ca fiind probabile să aibă loc pe teritoriul României.</w:t>
            </w:r>
          </w:p>
          <w:p w14:paraId="30E0381C"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Evenimentele meteorologice şi hidrologice extreme devin tot mai frecvente sau mai intense, generând pagube importante.</w:t>
            </w:r>
          </w:p>
          <w:p w14:paraId="3269D539" w14:textId="0CAFDE45" w:rsidR="00875E30" w:rsidRPr="001552C0" w:rsidRDefault="00875E30" w:rsidP="001E11D3">
            <w:pPr>
              <w:spacing w:before="120" w:after="120"/>
              <w:jc w:val="both"/>
              <w:rPr>
                <w:rFonts w:eastAsia="Times New Roman" w:cs="Times New Roman"/>
                <w:iCs/>
                <w:noProof/>
              </w:rPr>
            </w:pPr>
            <w:r w:rsidRPr="001552C0">
              <w:rPr>
                <w:rFonts w:eastAsia="Times New Roman" w:cs="Times New Roman"/>
                <w:iCs/>
                <w:noProof/>
              </w:rPr>
              <w:t xml:space="preserve">Astfel, corelat cu recomandările Raportului de ţară privind evaluarea din 2019 a punerii în aplicare a politicilor de mediu, pentru perioada următoare de programare sunt necesare în continuare investiţii pentru adaptarea la schimbările climatice, </w:t>
            </w:r>
            <w:r w:rsidR="001E11D3" w:rsidRPr="001552C0">
              <w:rPr>
                <w:rFonts w:eastAsia="Times New Roman" w:cs="Times New Roman"/>
                <w:iCs/>
                <w:noProof/>
              </w:rPr>
              <w:t>managementul</w:t>
            </w:r>
            <w:r w:rsidRPr="001552C0">
              <w:rPr>
                <w:rFonts w:eastAsia="Times New Roman" w:cs="Times New Roman"/>
                <w:iCs/>
                <w:noProof/>
              </w:rPr>
              <w:t xml:space="preserve"> riscurilor și creşterea rezilienței în faţa dezastrelor, ce vizează măsuri privind: reducerea impactului inundațiilor și celorlalte fenomene naturale asociate principalelor riscuri </w:t>
            </w:r>
            <w:r w:rsidRPr="001552C0">
              <w:rPr>
                <w:rFonts w:eastAsia="Times New Roman" w:cs="Times New Roman"/>
                <w:iCs/>
                <w:noProof/>
              </w:rPr>
              <w:lastRenderedPageBreak/>
              <w:t>accentuate de schimbările climatice; reducerea impactului manifestării altor tipuri de riscuri (secetă şi furtuni); dezvoltarea infrastructurii de monitorizare şi avertizare a fenomenelor hidro-meteorologice severe; dezvoltarea sistemului de gestionare a riscurilor, inclusiv creșterea rezilienței la nivel național și adaptarea continuă la realitatea operațională, ținând seama de nevoia comunității de a se adapta și recupera după un dezastru prin menținerea și reabilitarea structurilor și funcțiilor sale esențiale; limitarea efectelor negative ale eroziunii costiere.</w:t>
            </w:r>
          </w:p>
        </w:tc>
      </w:tr>
      <w:tr w:rsidR="00B96B06" w:rsidRPr="001552C0" w14:paraId="6B4502AB" w14:textId="77777777" w:rsidTr="001A2279">
        <w:tc>
          <w:tcPr>
            <w:tcW w:w="668" w:type="pct"/>
            <w:tcBorders>
              <w:top w:val="single" w:sz="4" w:space="0" w:color="auto"/>
              <w:left w:val="single" w:sz="4" w:space="0" w:color="auto"/>
              <w:bottom w:val="single" w:sz="4" w:space="0" w:color="auto"/>
              <w:right w:val="single" w:sz="4" w:space="0" w:color="auto"/>
            </w:tcBorders>
          </w:tcPr>
          <w:p w14:paraId="41EFF3D5" w14:textId="65E62049" w:rsidR="008433E3" w:rsidRPr="001552C0" w:rsidRDefault="008433E3" w:rsidP="00F000AD">
            <w:pPr>
              <w:spacing w:before="120" w:after="120"/>
              <w:rPr>
                <w:rFonts w:eastAsia="Times New Roman" w:cs="Times New Roman"/>
                <w:b/>
                <w:iCs/>
                <w:noProof/>
              </w:rPr>
            </w:pPr>
          </w:p>
        </w:tc>
        <w:tc>
          <w:tcPr>
            <w:tcW w:w="674" w:type="pct"/>
            <w:tcBorders>
              <w:top w:val="single" w:sz="4" w:space="0" w:color="auto"/>
              <w:left w:val="single" w:sz="4" w:space="0" w:color="auto"/>
              <w:bottom w:val="single" w:sz="4" w:space="0" w:color="auto"/>
              <w:right w:val="single" w:sz="4" w:space="0" w:color="auto"/>
            </w:tcBorders>
          </w:tcPr>
          <w:p w14:paraId="2D6A0999" w14:textId="77777777" w:rsidR="008433E3" w:rsidRPr="001552C0" w:rsidRDefault="008433E3" w:rsidP="00F000AD">
            <w:pPr>
              <w:spacing w:before="120" w:after="120"/>
              <w:rPr>
                <w:rFonts w:eastAsia="Times New Roman" w:cs="Times New Roman"/>
                <w:i/>
                <w:iCs/>
                <w:noProof/>
              </w:rPr>
            </w:pPr>
            <w:r w:rsidRPr="001552C0">
              <w:rPr>
                <w:rFonts w:eastAsia="Times New Roman" w:cs="Times New Roman"/>
                <w:i/>
                <w:iCs/>
                <w:noProof/>
              </w:rPr>
              <w:t>(v) promoting sustainable water management</w:t>
            </w:r>
          </w:p>
        </w:tc>
        <w:tc>
          <w:tcPr>
            <w:tcW w:w="3658" w:type="pct"/>
            <w:tcBorders>
              <w:top w:val="single" w:sz="4" w:space="0" w:color="auto"/>
              <w:left w:val="single" w:sz="4" w:space="0" w:color="auto"/>
              <w:bottom w:val="single" w:sz="4" w:space="0" w:color="auto"/>
              <w:right w:val="single" w:sz="4" w:space="0" w:color="auto"/>
            </w:tcBorders>
          </w:tcPr>
          <w:p w14:paraId="0176B1EA" w14:textId="2DD18DA5"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 xml:space="preserve">România nu şi-a îndeplinit angajamentele asumate prin Tratatul de </w:t>
            </w:r>
            <w:r w:rsidR="00FF68FF" w:rsidRPr="001552C0">
              <w:rPr>
                <w:rFonts w:eastAsia="Times New Roman" w:cs="Times New Roman"/>
                <w:iCs/>
                <w:noProof/>
              </w:rPr>
              <w:t>A</w:t>
            </w:r>
            <w:r w:rsidRPr="001552C0">
              <w:rPr>
                <w:rFonts w:eastAsia="Times New Roman" w:cs="Times New Roman"/>
                <w:iCs/>
                <w:noProof/>
              </w:rPr>
              <w:t>derare la UE privind calitatea apei destinată consumului uman şi privind colectarea şi epurarea apelor uzate în aglomerările cu peste 2000 le,</w:t>
            </w:r>
            <w:r w:rsidR="007752BC">
              <w:rPr>
                <w:rFonts w:eastAsia="Times New Roman" w:cs="Times New Roman"/>
                <w:iCs/>
                <w:noProof/>
              </w:rPr>
              <w:t xml:space="preserve"> conform directivelor specifice,</w:t>
            </w:r>
            <w:r w:rsidRPr="001552C0">
              <w:rPr>
                <w:rFonts w:eastAsia="Times New Roman" w:cs="Times New Roman"/>
                <w:iCs/>
                <w:noProof/>
              </w:rPr>
              <w:t xml:space="preserve"> în ciuda eforturilor depuse şi sprijinului financiar important din perioadele anterioare (POSM 2007-2013 şi POIM 2014-2020). Pentru aglomerările peste 10000 le, COM a transmis autorităților române Scrisoarea de punere în întârziere în cauza 2018/2109.</w:t>
            </w:r>
          </w:p>
          <w:p w14:paraId="4193FBFB" w14:textId="48E49B8C"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 xml:space="preserve">Datele statistice indică o creştere a procentului populaţiei cu acces la facilitaţi de alimentare cu apă, canalizare şi staţii de epurare, însă o parte importantă a populaţiei încă nu este conectată la aceste sisteme. </w:t>
            </w:r>
          </w:p>
          <w:p w14:paraId="653698D6" w14:textId="1010B525"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Nevoia de investiţii pentru conectarea populaţiei la sisteme de alimentare cu apă conforme şi pentru asigurarea de sisteme de colectare şi epurare a apelor uzate din aglomerările rămase este încă foarte mare.  Acestea din urmă sunt necesare atât pentru respectarea conformării cu cerinţele Directivei 9</w:t>
            </w:r>
            <w:r w:rsidR="00A3536E">
              <w:rPr>
                <w:rFonts w:eastAsia="Times New Roman" w:cs="Times New Roman"/>
                <w:iCs/>
                <w:noProof/>
              </w:rPr>
              <w:t>8</w:t>
            </w:r>
            <w:r w:rsidRPr="001552C0">
              <w:rPr>
                <w:rFonts w:eastAsia="Times New Roman" w:cs="Times New Roman"/>
                <w:iCs/>
                <w:noProof/>
              </w:rPr>
              <w:t>/</w:t>
            </w:r>
            <w:r w:rsidR="00A3536E">
              <w:rPr>
                <w:rFonts w:eastAsia="Times New Roman" w:cs="Times New Roman"/>
                <w:iCs/>
                <w:noProof/>
              </w:rPr>
              <w:t>83</w:t>
            </w:r>
            <w:r w:rsidRPr="001552C0">
              <w:rPr>
                <w:rFonts w:eastAsia="Times New Roman" w:cs="Times New Roman"/>
                <w:iCs/>
                <w:noProof/>
              </w:rPr>
              <w:t>/CE, cât şi cu cele ale Directivei 2000/60/CE cu privire la atingerea sau menţinerea stării bune a corpurilor de apă.</w:t>
            </w:r>
          </w:p>
          <w:p w14:paraId="7A922813" w14:textId="77777777"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Astfel este necesară continuarea politicii de regionalizare în sector, demarată şi consolidată prin finanțările anterioare, avându-se în vedere implementarea proiectelor începute în perioada 2014-2020 a căror finalizare se va realiza după 2023, precum și dezvoltarea de noi proiecte care vizează extinderea sistemelor de alimentare cu apă şi conformarea cu prevederile directivelor în ceea ce priveşte colectarea şi epurarea apelor uzate urbane în aglomerările cu peste 2000 le, inclusiv soluţii adecvate pentru gestionarea nămolurilor rezultate din staţiile de epurare. Viitoarele investiţii vor respecta prevederile Master Planurilor Judeţene actualizate și ale Planurilor de Management ale Bazinelor/Spaţiilor Hidrografice.</w:t>
            </w:r>
          </w:p>
          <w:p w14:paraId="57FEF68A" w14:textId="48881C04" w:rsidR="008433E3" w:rsidRPr="001552C0" w:rsidRDefault="00875E30" w:rsidP="002E363A">
            <w:pPr>
              <w:spacing w:before="120" w:after="120"/>
              <w:jc w:val="both"/>
              <w:rPr>
                <w:rFonts w:eastAsia="Times New Roman" w:cs="Times New Roman"/>
                <w:iCs/>
                <w:noProof/>
              </w:rPr>
            </w:pPr>
            <w:r w:rsidRPr="001552C0">
              <w:rPr>
                <w:rFonts w:eastAsia="Times New Roman" w:cs="Times New Roman"/>
                <w:iCs/>
                <w:noProof/>
              </w:rPr>
              <w:t>Deşi situaţia operatorilor regionali s-a îmbunătăţit considerabil în ultimii ani din punct de vedere al capacităţii instituţionale, este necesar în continuare sprijin financiar pentru asistenţă tehnică pentru pregătirea şi gestionarea proiectelor de investiţii, precum şi pentru consolidarea capacităţii actorilor implicaţi în sector (OR, dar şi instituții care au sau trebuie să aibă un rol favorizant în punerea în aplicare a planurilor de investiții pentru conformare).</w:t>
            </w:r>
          </w:p>
        </w:tc>
      </w:tr>
      <w:tr w:rsidR="00B96B06" w:rsidRPr="001552C0" w14:paraId="58A3DE33" w14:textId="77777777" w:rsidTr="0071682D">
        <w:trPr>
          <w:trHeight w:val="5234"/>
        </w:trPr>
        <w:tc>
          <w:tcPr>
            <w:tcW w:w="668" w:type="pct"/>
            <w:tcBorders>
              <w:top w:val="single" w:sz="4" w:space="0" w:color="auto"/>
              <w:left w:val="single" w:sz="4" w:space="0" w:color="auto"/>
              <w:bottom w:val="single" w:sz="4" w:space="0" w:color="auto"/>
              <w:right w:val="single" w:sz="4" w:space="0" w:color="auto"/>
            </w:tcBorders>
          </w:tcPr>
          <w:p w14:paraId="51844199" w14:textId="77777777" w:rsidR="00547DD4" w:rsidRPr="001552C0" w:rsidRDefault="00547DD4" w:rsidP="00F000AD">
            <w:pPr>
              <w:spacing w:before="120" w:after="120"/>
              <w:rPr>
                <w:rFonts w:eastAsia="Times New Roman" w:cs="Times New Roman"/>
                <w:b/>
                <w:iCs/>
                <w:noProof/>
              </w:rPr>
            </w:pPr>
          </w:p>
        </w:tc>
        <w:tc>
          <w:tcPr>
            <w:tcW w:w="674" w:type="pct"/>
            <w:tcBorders>
              <w:top w:val="single" w:sz="4" w:space="0" w:color="auto"/>
              <w:left w:val="single" w:sz="4" w:space="0" w:color="auto"/>
              <w:bottom w:val="single" w:sz="4" w:space="0" w:color="auto"/>
              <w:right w:val="single" w:sz="4" w:space="0" w:color="auto"/>
            </w:tcBorders>
          </w:tcPr>
          <w:p w14:paraId="59D55E93" w14:textId="77777777" w:rsidR="00547DD4" w:rsidRPr="001552C0" w:rsidRDefault="00547DD4" w:rsidP="00F000AD">
            <w:pPr>
              <w:spacing w:before="120" w:after="120"/>
              <w:rPr>
                <w:rFonts w:eastAsia="Times New Roman" w:cs="Times New Roman"/>
                <w:i/>
                <w:iCs/>
                <w:noProof/>
              </w:rPr>
            </w:pPr>
            <w:r w:rsidRPr="001552C0">
              <w:rPr>
                <w:rFonts w:eastAsia="Times New Roman" w:cs="Times New Roman"/>
                <w:i/>
                <w:iCs/>
                <w:noProof/>
              </w:rPr>
              <w:t>(vi) promoting the transition to a circular economy</w:t>
            </w:r>
          </w:p>
        </w:tc>
        <w:tc>
          <w:tcPr>
            <w:tcW w:w="3658" w:type="pct"/>
            <w:tcBorders>
              <w:top w:val="single" w:sz="4" w:space="0" w:color="auto"/>
              <w:left w:val="single" w:sz="4" w:space="0" w:color="auto"/>
              <w:bottom w:val="single" w:sz="4" w:space="0" w:color="auto"/>
              <w:right w:val="single" w:sz="4" w:space="0" w:color="auto"/>
            </w:tcBorders>
          </w:tcPr>
          <w:p w14:paraId="6AC97105" w14:textId="05301CCF"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În martie 2020, la nivel european a fost adoptat „Un nou Plan de acțiune privind economia circular</w:t>
            </w:r>
            <w:r w:rsidR="00FF68FF" w:rsidRPr="001552C0">
              <w:rPr>
                <w:rFonts w:eastAsia="Times New Roman" w:cs="Times New Roman"/>
                <w:iCs/>
                <w:noProof/>
              </w:rPr>
              <w:t>ă</w:t>
            </w:r>
            <w:r w:rsidRPr="001552C0">
              <w:rPr>
                <w:rFonts w:eastAsia="Times New Roman" w:cs="Times New Roman"/>
                <w:iCs/>
                <w:noProof/>
              </w:rPr>
              <w:t xml:space="preserve"> - Pentru o Europă mai curată și mai competitivă” (COM(2020) 98), ce prezintă o serie de inițiative interconectate vizând instituirea unui cadru de politică solid și coerent privind produsele, grație căruia produsele, serviciile și modelele de afaceri sustenabile vor deveni norma, iar tiparele de consum se vor transforma, astfel încât să se evite de la început generarea de deșeuri. Se vor institui măsuri suplimentare pentru a reduce deșeurile și pentru a se asigura faptul că UE dispune de o piață internă funcțională pentru materiile prime secundare de înaltă calitate. </w:t>
            </w:r>
          </w:p>
          <w:p w14:paraId="4D01CF7E" w14:textId="4018DBB1"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Legislaţia europeană include o serie de ţinte ambiţioase referitoare la gestionarea deşeurilor, pe care România este departe de a le atinge. Aşa cum se constată în Raportul CE referitor la politicile de mediu, ela</w:t>
            </w:r>
            <w:r w:rsidR="00FF68FF" w:rsidRPr="001552C0">
              <w:rPr>
                <w:rFonts w:eastAsia="Times New Roman" w:cs="Times New Roman"/>
                <w:iCs/>
                <w:noProof/>
              </w:rPr>
              <w:t>borat în 2019, performanța României</w:t>
            </w:r>
            <w:r w:rsidRPr="001552C0">
              <w:rPr>
                <w:rFonts w:eastAsia="Times New Roman" w:cs="Times New Roman"/>
                <w:iCs/>
                <w:noProof/>
              </w:rPr>
              <w:t xml:space="preserve"> este în continuare caracterizată de rata foarte scăzută de reciclare a deșeurilor municipale (14 %, care include 7 % din reciclarea materialelor și 7 % din compostare) și prin rate foarte ridicate de depozitare a deșeurilor (cca. 70%), contrar ierarhiei deșeurilor și obiectivelor de reciclare stabilite la nivelul UE. România este printre statele membre care riscă să nu își îndeplinească obiectivul de reciclare a deșeurilor municipale până în 2020 şi există acest risc şi pentru alte ţinte stabilite în viitor.</w:t>
            </w:r>
          </w:p>
          <w:p w14:paraId="5981E638"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Deşi cantitatea de deşeuri municipale generată pe cap de locuitori este mult sub media UE, tendinţa înregistrată nu este de scădere, aşa cum se vizează la nivel european, decuplarea efectivă a generării de deșeuri de creșterea economică necesitând în continuare eforturi  de-a lungul întregului lanț valoric și în fiecare gospodărie în parte.</w:t>
            </w:r>
          </w:p>
          <w:p w14:paraId="4C99D6AF" w14:textId="77777777" w:rsidR="007D526E" w:rsidRPr="001552C0" w:rsidRDefault="007D526E" w:rsidP="002721B2">
            <w:pPr>
              <w:spacing w:before="120" w:after="120"/>
              <w:jc w:val="both"/>
              <w:rPr>
                <w:rFonts w:eastAsia="Times New Roman" w:cs="Times New Roman"/>
                <w:iCs/>
                <w:noProof/>
              </w:rPr>
            </w:pPr>
            <w:r w:rsidRPr="001552C0">
              <w:rPr>
                <w:rFonts w:eastAsia="Times New Roman" w:cs="Times New Roman"/>
                <w:iCs/>
                <w:noProof/>
              </w:rPr>
              <w:t xml:space="preserve">România a adoptat prin HG 942/20.12.2017 </w:t>
            </w:r>
            <w:r w:rsidR="00AE0470" w:rsidRPr="001552C0">
              <w:rPr>
                <w:rFonts w:eastAsia="Times New Roman" w:cs="Times New Roman"/>
                <w:iCs/>
                <w:noProof/>
              </w:rPr>
              <w:t xml:space="preserve">Planul Național de Gestionare a Deșeurilor și planurile județene și al municipiului București de gestionare a deșeurilor </w:t>
            </w:r>
            <w:r w:rsidRPr="001552C0">
              <w:rPr>
                <w:rFonts w:eastAsia="Times New Roman" w:cs="Times New Roman"/>
                <w:iCs/>
                <w:noProof/>
              </w:rPr>
              <w:t xml:space="preserve">care </w:t>
            </w:r>
            <w:r w:rsidR="00AE0470" w:rsidRPr="001552C0">
              <w:rPr>
                <w:rFonts w:eastAsia="Times New Roman" w:cs="Times New Roman"/>
                <w:iCs/>
                <w:noProof/>
              </w:rPr>
              <w:t xml:space="preserve">identifică măsurile necesare pentru conformarea cu legislația națională și europeană, inclusiv obiectivelor Pachetului pentru economia circulara. Astfel, conformarea cu legislația și asigurarea tranziției spre economia circulară se vor realiza prin implementarea tuturor acestor măsuri. </w:t>
            </w:r>
          </w:p>
          <w:p w14:paraId="699A1EFE" w14:textId="56733EB1" w:rsidR="00547DD4" w:rsidRPr="001552C0" w:rsidRDefault="007D526E" w:rsidP="00920453">
            <w:pPr>
              <w:spacing w:before="120" w:after="120"/>
              <w:jc w:val="both"/>
              <w:rPr>
                <w:rFonts w:eastAsia="Times New Roman" w:cs="Times New Roman"/>
                <w:iCs/>
                <w:noProof/>
              </w:rPr>
            </w:pPr>
            <w:r w:rsidRPr="001552C0">
              <w:rPr>
                <w:rFonts w:eastAsia="Times New Roman" w:cs="Times New Roman"/>
                <w:iCs/>
                <w:noProof/>
              </w:rPr>
              <w:t>Astfel, sunt necesare în continuare investiții în domeniul deșeurilor, vizând în primul rând prevenirea sau reducerea cantităților de deșeuri generate, reutilizarea și valorificarea deșeurilor prin reciclare sau alte operaţiuni, precum și sistarea activității și reabilitarea depozitelor neconforme.</w:t>
            </w:r>
          </w:p>
        </w:tc>
      </w:tr>
      <w:tr w:rsidR="00547DD4" w:rsidRPr="001552C0" w14:paraId="0F0B0AC0" w14:textId="77777777" w:rsidTr="001A2279">
        <w:tc>
          <w:tcPr>
            <w:tcW w:w="668" w:type="pct"/>
            <w:tcBorders>
              <w:top w:val="single" w:sz="4" w:space="0" w:color="auto"/>
              <w:left w:val="single" w:sz="4" w:space="0" w:color="auto"/>
              <w:bottom w:val="single" w:sz="4" w:space="0" w:color="auto"/>
              <w:right w:val="single" w:sz="4" w:space="0" w:color="auto"/>
            </w:tcBorders>
          </w:tcPr>
          <w:p w14:paraId="219021E5" w14:textId="77777777" w:rsidR="00547DD4" w:rsidRPr="001552C0" w:rsidRDefault="00547DD4" w:rsidP="00F000AD">
            <w:pPr>
              <w:spacing w:before="120" w:after="120"/>
              <w:rPr>
                <w:rFonts w:eastAsia="Times New Roman" w:cs="Times New Roman"/>
                <w:b/>
                <w:iCs/>
                <w:noProof/>
              </w:rPr>
            </w:pPr>
          </w:p>
        </w:tc>
        <w:tc>
          <w:tcPr>
            <w:tcW w:w="674" w:type="pct"/>
            <w:tcBorders>
              <w:top w:val="single" w:sz="4" w:space="0" w:color="auto"/>
              <w:left w:val="single" w:sz="4" w:space="0" w:color="auto"/>
              <w:bottom w:val="single" w:sz="4" w:space="0" w:color="auto"/>
              <w:right w:val="single" w:sz="4" w:space="0" w:color="auto"/>
            </w:tcBorders>
          </w:tcPr>
          <w:p w14:paraId="31712017" w14:textId="77777777" w:rsidR="00547DD4" w:rsidRPr="001552C0" w:rsidRDefault="00547DD4" w:rsidP="00F000AD">
            <w:pPr>
              <w:spacing w:before="120" w:after="120"/>
              <w:rPr>
                <w:rFonts w:eastAsia="Times New Roman" w:cs="Times New Roman"/>
                <w:i/>
                <w:iCs/>
                <w:noProof/>
              </w:rPr>
            </w:pPr>
            <w:r w:rsidRPr="001552C0">
              <w:rPr>
                <w:rFonts w:eastAsia="Times New Roman" w:cs="Times New Roman"/>
                <w:i/>
                <w:iCs/>
                <w:noProof/>
              </w:rPr>
              <w:t xml:space="preserve">(vii) enhancing nature protection and </w:t>
            </w:r>
            <w:r w:rsidRPr="001552C0">
              <w:rPr>
                <w:rFonts w:eastAsia="Times New Roman" w:cs="Times New Roman"/>
                <w:i/>
                <w:iCs/>
                <w:noProof/>
              </w:rPr>
              <w:lastRenderedPageBreak/>
              <w:t>biodiversity, green infrastructure in particular in the urban environment, and reducing pollution</w:t>
            </w:r>
          </w:p>
        </w:tc>
        <w:tc>
          <w:tcPr>
            <w:tcW w:w="3658" w:type="pct"/>
            <w:tcBorders>
              <w:top w:val="single" w:sz="4" w:space="0" w:color="auto"/>
              <w:left w:val="single" w:sz="4" w:space="0" w:color="auto"/>
              <w:bottom w:val="single" w:sz="4" w:space="0" w:color="auto"/>
              <w:right w:val="single" w:sz="4" w:space="0" w:color="auto"/>
            </w:tcBorders>
          </w:tcPr>
          <w:p w14:paraId="61D022E7"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lastRenderedPageBreak/>
              <w:t>România dispune de un capital natural important, cele mai sensibile componente ale acestuia fiind incluse în reţeaua naţională de arii protejate (inclusiv situri Natura 2000).</w:t>
            </w:r>
          </w:p>
          <w:p w14:paraId="08D7E3E5"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 xml:space="preserve">Reţeaua de arii naturale protejate reprezintă structura centrală a infrastructurii verzi la nivel naţional. Coerenţa reţelei de arii protejate, dar </w:t>
            </w:r>
            <w:r w:rsidRPr="001552C0">
              <w:rPr>
                <w:rFonts w:eastAsia="Times New Roman" w:cs="Times New Roman"/>
                <w:iCs/>
                <w:noProof/>
              </w:rPr>
              <w:lastRenderedPageBreak/>
              <w:t>şi a infrastructurii verzi în ansamblul său, se poate asigura printr-un management adecvat al conectivităţii ecologice, ce trebuie să vizeze menţinerea/dezvoltarea coridoarelor ecologice, inclusiv a spaţiilor verzi din mediul urban.</w:t>
            </w:r>
          </w:p>
          <w:p w14:paraId="5D4E71DA"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România nu şi-a îndeplinit ţintele cu privire la asigurarea managementului adecvat al ariilor naturale protejate, precum şi privind refacerea ecosistemelor degradate, în acord cu obiectivele Strategiei UE pentru biodiversitate.</w:t>
            </w:r>
          </w:p>
          <w:p w14:paraId="257291BD"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Totodată, conform concluziilor Raportului de ţară din 2019, au fost identificate nevoi de investiții prioritare pentru a consolida biodiversitatea şi, în special, pentru a sprijini măsurile de gestionare și conservare în zonele protejate, în conformitate cu legislația de mediu a UE.</w:t>
            </w:r>
          </w:p>
          <w:p w14:paraId="374DB576" w14:textId="73654EF9"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Conform datelor Agenţiei Naţionale pentru Arii Naturale Protejate (ANANP</w:t>
            </w:r>
            <w:r w:rsidR="001F5C2C" w:rsidRPr="001552C0">
              <w:rPr>
                <w:rFonts w:eastAsia="Times New Roman" w:cs="Times New Roman"/>
                <w:iCs/>
                <w:noProof/>
              </w:rPr>
              <w:t>), la finalul lui 2019 aprox. 49,50</w:t>
            </w:r>
            <w:r w:rsidRPr="001552C0">
              <w:rPr>
                <w:rFonts w:eastAsia="Times New Roman" w:cs="Times New Roman"/>
                <w:iCs/>
                <w:noProof/>
              </w:rPr>
              <w:t>% din siturile Natura 2000 aveau Planuri de Management (PM), o parte dintre acestea necesitând actualizare ca urmare a expirării valabilităţii de 5 ani. Așadar, este nevoie de asigurarea suportului financiar pentru elaborarea de noi PM și reactualizarea celor expirate, în special pentru cele care se află în zonele unde se vor dezvolta proiecte de investiții în infrastructură.</w:t>
            </w:r>
          </w:p>
          <w:p w14:paraId="3B373361"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 xml:space="preserve">De asemenea, având în vedere că aceste PM reprezintă instrumente de management, se impune necesitatea asigurării suportului financiar pentru implementarea lor. Administrarea adecvată a ariilor protejate va necesita resurse suplimentare, în principal pentru implementarea măsurilor de conservare prevăzute în PM, necesare pentru atingerea obiectivelor specifice de conservare, şi realizării monitorizărilor pe termen lung a habitatelor şi speciilor de interes comunitar. </w:t>
            </w:r>
          </w:p>
          <w:p w14:paraId="4FBADCF7" w14:textId="77777777"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De asemenea, în România rețeaua de arii protejate este afectată de lipsa unui cadru adecvat de capacitate administrativă și de deficitul de cunoștințe și date actualizate. Astfel, atât în elaborarea, cât și în implementarea PM, sunt necesare eforturi pentru colectarea de date despre habitatele şi speciile de interes comunitar, această nevoie fiind enunţată și în Raportul CE referitor la politicile de mediu, elaborat în 2019.</w:t>
            </w:r>
          </w:p>
          <w:p w14:paraId="4BAB78D4" w14:textId="4EBBC992" w:rsidR="00875E30" w:rsidRPr="001552C0" w:rsidRDefault="00875E30" w:rsidP="00875E30">
            <w:pPr>
              <w:spacing w:before="120" w:after="120"/>
              <w:jc w:val="both"/>
              <w:rPr>
                <w:rFonts w:eastAsia="Times New Roman" w:cs="Times New Roman"/>
                <w:iCs/>
                <w:noProof/>
              </w:rPr>
            </w:pPr>
            <w:r w:rsidRPr="001552C0">
              <w:rPr>
                <w:rFonts w:eastAsia="Times New Roman" w:cs="Times New Roman"/>
                <w:iCs/>
                <w:noProof/>
              </w:rPr>
              <w:t>Așadar, aspectele menționate mai sus determină asigurarea suportului financiar pentru menţinerea/îmbunătăţirea structurii şi funcţiilor habitatelor naturale în scopul menţinerii/îmbunătăţirii stării de conservare a habitatelor şi speciilor.</w:t>
            </w:r>
          </w:p>
          <w:p w14:paraId="6C8BAE58" w14:textId="77777777"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 xml:space="preserve">Calitatea aerului rămâne în continuare o problemă, România neîndeplinindu-şi angajamentele de reducere a emisiilor atmosferice, iar instrumentele actuale pentru monitorizarea calităţii aerului sunt insuficiente, atât din punct de vedere al acoperirii teritoriale cu staţii de monitorizare, cât şi din punct de vedere al parametrilor monitorizaţi. Au fost identificate deficiențe grave și structurale în datele privind calitatea </w:t>
            </w:r>
            <w:r w:rsidRPr="001552C0">
              <w:rPr>
                <w:rFonts w:eastAsia="Times New Roman" w:cs="Times New Roman"/>
                <w:iCs/>
                <w:noProof/>
              </w:rPr>
              <w:lastRenderedPageBreak/>
              <w:t>aerului măsurate de rețeaua de monitorizare din România și raportate Comisiei Europene, semnalate în cadrul Raportului CE referitor la politicile de mediu, elaborat în 2019.</w:t>
            </w:r>
          </w:p>
          <w:p w14:paraId="45AC4BA5" w14:textId="77777777"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SM au obligatia de a îmbunătăți monitorizarea si evaluarea calității aerului, precum şi de a raporta COM datele asupra calității aerului, în conformitate cu cerinţele Directivei 2008/50/CE privind calitatea aerului înconjurător și un aer mai curat pentru Europa.</w:t>
            </w:r>
          </w:p>
          <w:p w14:paraId="7DDEE582" w14:textId="77777777" w:rsidR="00875E30" w:rsidRPr="001552C0" w:rsidRDefault="00875E30" w:rsidP="0071682D">
            <w:pPr>
              <w:spacing w:before="120" w:after="120"/>
              <w:jc w:val="both"/>
              <w:rPr>
                <w:rFonts w:eastAsia="Times New Roman" w:cs="Times New Roman"/>
                <w:iCs/>
                <w:noProof/>
              </w:rPr>
            </w:pPr>
            <w:r w:rsidRPr="001552C0">
              <w:rPr>
                <w:rFonts w:eastAsia="Times New Roman" w:cs="Times New Roman"/>
                <w:iCs/>
                <w:noProof/>
              </w:rPr>
              <w:t xml:space="preserve">Totodată, conform Directivei 2016/2284 privind reducerea emisiilor naționale de anumiți poluanți atmosferici (Directiva NEC), fiecare SM are angajamente de monitorizare şi reducere a emisiilor de poluanți atmosferici (particule fine în suspensie-PM2,5, oxizi de azot-NOx, dioxid de sulf-SO2, compuși organici volatili-COVnm și amoniac-NH3) cu ținte stabilite pentru anii 2020 și 2030, precum şi obligatia de a elabora un program național de control al poluării atmosferice (PNCPA). În momentul de faţă, PNCPA se află în curs de pregătire la Ministerul Mediului, Apelor și Pădurilor. </w:t>
            </w:r>
          </w:p>
          <w:p w14:paraId="3ED4E548" w14:textId="27DDF2BE" w:rsidR="00A53963" w:rsidRPr="001552C0" w:rsidRDefault="00875E30" w:rsidP="002721B2">
            <w:pPr>
              <w:spacing w:before="120" w:after="120"/>
              <w:jc w:val="both"/>
              <w:rPr>
                <w:rFonts w:eastAsia="Times New Roman" w:cs="Times New Roman"/>
                <w:iCs/>
                <w:noProof/>
              </w:rPr>
            </w:pPr>
            <w:r w:rsidRPr="001552C0">
              <w:rPr>
                <w:rFonts w:eastAsia="Times New Roman" w:cs="Times New Roman"/>
                <w:iCs/>
                <w:noProof/>
              </w:rPr>
              <w:t>Nevoia de dezvoltare actuală implică existenţa unui sistem de evaluare şi monitorizare a calităţii aerului care să răspundă pe deplin cerinţelor directivelor europene. Astfel, se impune continuarea dotării sistemului naţional de evaluare şi monitorizare a calităţii aerului în vederea dezvoltării şi îmbunătăţirii Evaluării Naţionale a Calităţii Aerului, în acord cu prevederile Directivei 2008/50/EC şi Directivei INSPIRE. Obiectivele sunt  de a asigura o evaluarea cât mai corectă şi completă a calităţii aerului, necesară pentru identificarea şi fundamentarea măsurilor de reducere a emisiilor atmosferice, de a asigura calitatea datelor raportate de RO către CE, precum şi de a asigura o informare eficientă a publicului.</w:t>
            </w:r>
          </w:p>
          <w:p w14:paraId="3642AEC8" w14:textId="77777777" w:rsidR="00875E30" w:rsidRPr="001552C0" w:rsidRDefault="00875E30">
            <w:pPr>
              <w:spacing w:before="120" w:after="120"/>
              <w:jc w:val="both"/>
              <w:rPr>
                <w:rFonts w:eastAsia="Times New Roman" w:cs="Times New Roman"/>
                <w:iCs/>
                <w:noProof/>
              </w:rPr>
            </w:pPr>
            <w:r w:rsidRPr="001552C0">
              <w:rPr>
                <w:rFonts w:eastAsia="Times New Roman" w:cs="Times New Roman"/>
                <w:iCs/>
                <w:noProof/>
              </w:rPr>
              <w:t>În România există în continuare decalaje importante în atingerea obiectivelor UE în ceea ce privește remedierea siturilor contaminate, precum și refacerea zonelor afectate din punct de vedere ecologic, în special în zonele foarte sensibile. În ultimii ani au fost parcurşi paşi importanţi pentru identificarea corectă a siturilor contaminate şi fundamentarea intervenţiilor necesare pentru remedierea acestora.</w:t>
            </w:r>
          </w:p>
          <w:p w14:paraId="3738099F" w14:textId="6EE2982C" w:rsidR="00875E30" w:rsidRPr="001552C0" w:rsidRDefault="00875E30">
            <w:pPr>
              <w:spacing w:before="120" w:after="120"/>
              <w:jc w:val="both"/>
              <w:rPr>
                <w:rFonts w:eastAsia="Times New Roman" w:cs="Times New Roman"/>
                <w:iCs/>
                <w:noProof/>
              </w:rPr>
            </w:pPr>
            <w:r w:rsidRPr="001552C0">
              <w:rPr>
                <w:rFonts w:eastAsia="Times New Roman" w:cs="Times New Roman"/>
                <w:iCs/>
                <w:noProof/>
              </w:rPr>
              <w:t xml:space="preserve">România </w:t>
            </w:r>
            <w:r w:rsidR="00B56261" w:rsidRPr="001552C0">
              <w:rPr>
                <w:rFonts w:eastAsia="Times New Roman" w:cs="Times New Roman"/>
                <w:iCs/>
                <w:noProof/>
              </w:rPr>
              <w:t>are</w:t>
            </w:r>
            <w:r w:rsidRPr="001552C0">
              <w:rPr>
                <w:rFonts w:eastAsia="Times New Roman" w:cs="Times New Roman"/>
                <w:iCs/>
                <w:noProof/>
              </w:rPr>
              <w:t xml:space="preserve"> cadrul legislativ complet pentru a putea adresa într-o manieră coerentă procesul de remediere a siturilor contaminate. Procesul a fost demarat în anul 2015 prin adoptarea Strategiei Naționale și Planului Național pentru Gestionarea Siturilor Contaminate din România (HG nr. 683/2015). Ulterior, în anul 2019, România a adoptat Legea nr. 74 privind gestionarea siturilor potenţial con</w:t>
            </w:r>
            <w:r w:rsidR="00B56261" w:rsidRPr="001552C0">
              <w:rPr>
                <w:rFonts w:eastAsia="Times New Roman" w:cs="Times New Roman"/>
                <w:iCs/>
                <w:noProof/>
              </w:rPr>
              <w:t>taminate şi a celor contaminate, iar în anul 2020 a fot aprobată</w:t>
            </w:r>
            <w:r w:rsidRPr="001552C0">
              <w:rPr>
                <w:rFonts w:eastAsia="Times New Roman" w:cs="Times New Roman"/>
                <w:iCs/>
                <w:noProof/>
              </w:rPr>
              <w:t xml:space="preserve"> Metodologi</w:t>
            </w:r>
            <w:r w:rsidR="00B56261" w:rsidRPr="001552C0">
              <w:rPr>
                <w:rFonts w:eastAsia="Times New Roman" w:cs="Times New Roman"/>
                <w:iCs/>
                <w:noProof/>
              </w:rPr>
              <w:t>a</w:t>
            </w:r>
            <w:r w:rsidRPr="001552C0">
              <w:rPr>
                <w:rFonts w:eastAsia="Times New Roman" w:cs="Times New Roman"/>
                <w:iCs/>
                <w:noProof/>
              </w:rPr>
              <w:t xml:space="preserve"> de investigare a siturilor potențial con</w:t>
            </w:r>
            <w:r w:rsidR="00B56261" w:rsidRPr="001552C0">
              <w:rPr>
                <w:rFonts w:eastAsia="Times New Roman" w:cs="Times New Roman"/>
                <w:iCs/>
                <w:noProof/>
              </w:rPr>
              <w:t>taminate și a celor contaminate</w:t>
            </w:r>
            <w:r w:rsidRPr="001552C0">
              <w:rPr>
                <w:rFonts w:eastAsia="Times New Roman" w:cs="Times New Roman"/>
                <w:iCs/>
                <w:noProof/>
              </w:rPr>
              <w:t xml:space="preserve">. Realizarea Inventarului Naţional al siturilor potenţial contaminate şi contaminate este un pas esenţial în cadrul acestui proces. Acesta va fi realizat pe baza unor investigaţii recente, derulate într-o manieră unitară la nivel naţional, rezultatele urmând a fi </w:t>
            </w:r>
            <w:r w:rsidRPr="001552C0">
              <w:rPr>
                <w:rFonts w:eastAsia="Times New Roman" w:cs="Times New Roman"/>
                <w:iCs/>
                <w:noProof/>
              </w:rPr>
              <w:lastRenderedPageBreak/>
              <w:t>integrate într-o bază de date şi o platformă GIS, care să permită actualizarea permanentă, dar şi să faciliteze accesul părţilor interesate şi a publicului la informaţii structurate şi de calitate.</w:t>
            </w:r>
          </w:p>
          <w:p w14:paraId="5BE8DA49" w14:textId="7BD5DFDE" w:rsidR="00875E30" w:rsidRPr="001552C0" w:rsidRDefault="00875E30">
            <w:pPr>
              <w:spacing w:before="120" w:after="120"/>
              <w:jc w:val="both"/>
              <w:rPr>
                <w:rFonts w:eastAsia="Times New Roman" w:cs="Times New Roman"/>
                <w:iCs/>
                <w:noProof/>
              </w:rPr>
            </w:pPr>
            <w:r w:rsidRPr="001552C0">
              <w:rPr>
                <w:rFonts w:eastAsia="Times New Roman" w:cs="Times New Roman"/>
                <w:iCs/>
                <w:noProof/>
              </w:rPr>
              <w:t>Pentru a reduce riscurile asupra sănătății umane, a calității solurilor, apelor subterane, apelor de suprafață şi ecosistemelor, în continuare sunt necesare o serie de investiţii care să soluţioneze problemele cauzate de siturile contaminate, prin reducerea numărului acestor situri (implementarea de proiecte de remediere şi monitorizare posteremediere), și totodată care să sprijine refacerea ecosistemelor naturale şi crearea de noi spaţii municipale verzi, precum şi reabilitarea spaţiilor urbane degradate/abandonate cu posibilitatea de reincludere în circuitul social/ economic.</w:t>
            </w:r>
          </w:p>
        </w:tc>
      </w:tr>
    </w:tbl>
    <w:p w14:paraId="35A80E44" w14:textId="77777777" w:rsidR="00F000AD" w:rsidRPr="001552C0" w:rsidRDefault="00F000AD" w:rsidP="00F000AD">
      <w:pPr>
        <w:spacing w:before="120" w:after="120" w:line="360" w:lineRule="auto"/>
        <w:rPr>
          <w:rFonts w:ascii="Times New Roman" w:hAnsi="Times New Roman" w:cs="Times New Roman"/>
          <w:sz w:val="24"/>
        </w:rPr>
      </w:pPr>
    </w:p>
    <w:p w14:paraId="657EA91C" w14:textId="1CA1E8EB" w:rsidR="00F000AD" w:rsidRPr="001552C0" w:rsidRDefault="00334AAD" w:rsidP="00F000AD">
      <w:pPr>
        <w:spacing w:before="120" w:after="120" w:line="360" w:lineRule="auto"/>
        <w:rPr>
          <w:rFonts w:ascii="Times New Roman" w:hAnsi="Times New Roman" w:cs="Times New Roman"/>
          <w:b/>
          <w:bCs/>
          <w:noProof/>
          <w:sz w:val="24"/>
        </w:rPr>
      </w:pPr>
      <w:r w:rsidRPr="001552C0">
        <w:rPr>
          <w:rFonts w:ascii="Times New Roman" w:hAnsi="Times New Roman" w:cs="Times New Roman"/>
          <w:b/>
          <w:bCs/>
          <w:noProof/>
          <w:sz w:val="24"/>
        </w:rPr>
        <w:t xml:space="preserve"> </w:t>
      </w:r>
      <w:r w:rsidR="00F000AD" w:rsidRPr="001552C0">
        <w:rPr>
          <w:rFonts w:ascii="Times New Roman" w:hAnsi="Times New Roman" w:cs="Times New Roman"/>
          <w:b/>
          <w:bCs/>
          <w:noProof/>
          <w:sz w:val="24"/>
        </w:rPr>
        <w:t>2.</w:t>
      </w:r>
      <w:r w:rsidR="00F000AD" w:rsidRPr="001552C0">
        <w:rPr>
          <w:rFonts w:ascii="Times New Roman" w:hAnsi="Times New Roman" w:cs="Times New Roman"/>
          <w:b/>
          <w:bCs/>
          <w:noProof/>
          <w:sz w:val="24"/>
        </w:rPr>
        <w:tab/>
        <w:t xml:space="preserve">Priorities </w:t>
      </w:r>
    </w:p>
    <w:p w14:paraId="472A7C7A" w14:textId="77777777" w:rsidR="00F000AD" w:rsidRPr="001552C0" w:rsidRDefault="00F000AD" w:rsidP="00F000AD">
      <w:pPr>
        <w:spacing w:before="240" w:after="24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Reference: Article 17(2) and 17(3)(c) CPR</w:t>
      </w:r>
    </w:p>
    <w:tbl>
      <w:tblPr>
        <w:tblW w:w="9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2409"/>
        <w:gridCol w:w="515"/>
        <w:gridCol w:w="1552"/>
        <w:gridCol w:w="721"/>
        <w:gridCol w:w="1789"/>
        <w:gridCol w:w="2198"/>
      </w:tblGrid>
      <w:tr w:rsidR="00B96B06" w:rsidRPr="001552C0" w14:paraId="35A6B661" w14:textId="77777777" w:rsidTr="00EF29B2">
        <w:trPr>
          <w:trHeight w:val="600"/>
        </w:trPr>
        <w:tc>
          <w:tcPr>
            <w:tcW w:w="428" w:type="dxa"/>
            <w:shd w:val="clear" w:color="auto" w:fill="auto"/>
            <w:hideMark/>
          </w:tcPr>
          <w:p w14:paraId="43F61DFA"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ID</w:t>
            </w:r>
          </w:p>
        </w:tc>
        <w:tc>
          <w:tcPr>
            <w:tcW w:w="2504" w:type="dxa"/>
            <w:shd w:val="clear" w:color="auto" w:fill="auto"/>
            <w:hideMark/>
          </w:tcPr>
          <w:p w14:paraId="53E8C880"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Title [300]</w:t>
            </w:r>
          </w:p>
        </w:tc>
        <w:tc>
          <w:tcPr>
            <w:tcW w:w="528" w:type="dxa"/>
            <w:shd w:val="clear" w:color="auto" w:fill="auto"/>
            <w:hideMark/>
          </w:tcPr>
          <w:p w14:paraId="2460B7AF"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TA</w:t>
            </w:r>
          </w:p>
        </w:tc>
        <w:tc>
          <w:tcPr>
            <w:tcW w:w="1610" w:type="dxa"/>
            <w:shd w:val="clear" w:color="auto" w:fill="auto"/>
          </w:tcPr>
          <w:p w14:paraId="2D737E9B"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Basis for calculation</w:t>
            </w:r>
          </w:p>
        </w:tc>
        <w:tc>
          <w:tcPr>
            <w:tcW w:w="743" w:type="dxa"/>
            <w:shd w:val="clear" w:color="auto" w:fill="auto"/>
            <w:hideMark/>
          </w:tcPr>
          <w:p w14:paraId="42CCC578"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Fund</w:t>
            </w:r>
          </w:p>
        </w:tc>
        <w:tc>
          <w:tcPr>
            <w:tcW w:w="1857" w:type="dxa"/>
            <w:shd w:val="clear" w:color="auto" w:fill="auto"/>
            <w:hideMark/>
          </w:tcPr>
          <w:p w14:paraId="44C0592C"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Category of region supported</w:t>
            </w:r>
          </w:p>
        </w:tc>
        <w:tc>
          <w:tcPr>
            <w:tcW w:w="1877" w:type="dxa"/>
          </w:tcPr>
          <w:p w14:paraId="2229B8E4" w14:textId="77777777" w:rsidR="00F000AD" w:rsidRPr="001552C0" w:rsidRDefault="00F000AD" w:rsidP="00F000AD">
            <w:pPr>
              <w:spacing w:after="0"/>
              <w:jc w:val="center"/>
              <w:rPr>
                <w:rFonts w:ascii="Times New Roman" w:hAnsi="Times New Roman" w:cs="Times New Roman"/>
                <w:noProof/>
                <w:sz w:val="20"/>
                <w:szCs w:val="20"/>
              </w:rPr>
            </w:pPr>
            <w:r w:rsidRPr="001552C0">
              <w:rPr>
                <w:rFonts w:ascii="Times New Roman" w:hAnsi="Times New Roman" w:cs="Times New Roman"/>
                <w:noProof/>
                <w:sz w:val="20"/>
                <w:szCs w:val="20"/>
              </w:rPr>
              <w:t>Specific Objective selected</w:t>
            </w:r>
          </w:p>
        </w:tc>
      </w:tr>
      <w:tr w:rsidR="00B96B06" w:rsidRPr="001552C0" w14:paraId="1A820051" w14:textId="77777777" w:rsidTr="00EF29B2">
        <w:trPr>
          <w:trHeight w:val="326"/>
        </w:trPr>
        <w:tc>
          <w:tcPr>
            <w:tcW w:w="428" w:type="dxa"/>
            <w:vMerge w:val="restart"/>
            <w:shd w:val="clear" w:color="auto" w:fill="auto"/>
            <w:noWrap/>
            <w:hideMark/>
          </w:tcPr>
          <w:p w14:paraId="57AF7FE1" w14:textId="77777777" w:rsidR="00BD5E74" w:rsidRPr="001552C0" w:rsidRDefault="00BD5E74" w:rsidP="002320ED">
            <w:pPr>
              <w:spacing w:line="240" w:lineRule="auto"/>
              <w:jc w:val="both"/>
              <w:rPr>
                <w:rFonts w:cstheme="minorHAnsi"/>
                <w:iCs/>
                <w:sz w:val="24"/>
                <w:szCs w:val="24"/>
              </w:rPr>
            </w:pPr>
            <w:r w:rsidRPr="001552C0">
              <w:rPr>
                <w:rFonts w:cstheme="minorHAnsi"/>
                <w:iCs/>
                <w:sz w:val="24"/>
                <w:szCs w:val="24"/>
              </w:rPr>
              <w:t>1</w:t>
            </w:r>
          </w:p>
        </w:tc>
        <w:tc>
          <w:tcPr>
            <w:tcW w:w="2504" w:type="dxa"/>
            <w:vMerge w:val="restart"/>
            <w:shd w:val="clear" w:color="auto" w:fill="auto"/>
            <w:noWrap/>
            <w:hideMark/>
          </w:tcPr>
          <w:p w14:paraId="02C9B003" w14:textId="7D1F7A52" w:rsidR="00BD5E74" w:rsidRPr="001552C0" w:rsidRDefault="00BD5E74" w:rsidP="002320ED">
            <w:pPr>
              <w:spacing w:line="240" w:lineRule="auto"/>
              <w:jc w:val="both"/>
              <w:rPr>
                <w:rFonts w:cstheme="minorHAnsi"/>
                <w:iCs/>
                <w:sz w:val="24"/>
                <w:szCs w:val="24"/>
              </w:rPr>
            </w:pPr>
            <w:r w:rsidRPr="001552C0">
              <w:rPr>
                <w:rFonts w:cstheme="minorHAnsi"/>
                <w:iCs/>
                <w:sz w:val="24"/>
                <w:szCs w:val="24"/>
              </w:rPr>
              <w:t>Priorit</w:t>
            </w:r>
            <w:r w:rsidR="002320ED" w:rsidRPr="001552C0">
              <w:rPr>
                <w:rFonts w:cstheme="minorHAnsi"/>
                <w:iCs/>
                <w:sz w:val="24"/>
                <w:szCs w:val="24"/>
              </w:rPr>
              <w:t>atea</w:t>
            </w:r>
            <w:r w:rsidRPr="001552C0">
              <w:rPr>
                <w:rFonts w:cstheme="minorHAnsi"/>
                <w:iCs/>
                <w:sz w:val="24"/>
                <w:szCs w:val="24"/>
              </w:rPr>
              <w:t xml:space="preserve"> 1</w:t>
            </w:r>
            <w:r w:rsidR="002320ED" w:rsidRPr="001552C0">
              <w:rPr>
                <w:rFonts w:cstheme="minorHAnsi"/>
                <w:iCs/>
                <w:sz w:val="24"/>
                <w:szCs w:val="24"/>
              </w:rPr>
              <w:t xml:space="preserve"> - Promovarea eficienței energetice, a sistemelor și rețelelor inteligente de energie și a soluțiilor de stocare</w:t>
            </w:r>
            <w:r w:rsidR="007D7EF7">
              <w:rPr>
                <w:rFonts w:cstheme="minorHAnsi"/>
                <w:iCs/>
                <w:sz w:val="24"/>
                <w:szCs w:val="24"/>
              </w:rPr>
              <w:t xml:space="preserve"> și reducerea emisiilor de gaze cu efect de seră.</w:t>
            </w:r>
          </w:p>
          <w:p w14:paraId="0E720B54" w14:textId="77777777" w:rsidR="00BD5E74" w:rsidRPr="001552C0" w:rsidRDefault="00BD5E74" w:rsidP="002320ED">
            <w:pPr>
              <w:spacing w:line="240" w:lineRule="auto"/>
              <w:jc w:val="both"/>
              <w:rPr>
                <w:rFonts w:cstheme="minorHAnsi"/>
                <w:iCs/>
                <w:sz w:val="24"/>
                <w:szCs w:val="24"/>
              </w:rPr>
            </w:pPr>
          </w:p>
        </w:tc>
        <w:tc>
          <w:tcPr>
            <w:tcW w:w="528" w:type="dxa"/>
            <w:vMerge w:val="restart"/>
            <w:shd w:val="clear" w:color="auto" w:fill="auto"/>
            <w:noWrap/>
            <w:hideMark/>
          </w:tcPr>
          <w:p w14:paraId="48295DC0" w14:textId="77777777" w:rsidR="00BD5E74" w:rsidRPr="001552C0" w:rsidRDefault="00BD5E74" w:rsidP="002320ED">
            <w:pPr>
              <w:spacing w:line="240" w:lineRule="auto"/>
              <w:jc w:val="both"/>
              <w:rPr>
                <w:rFonts w:cstheme="minorHAnsi"/>
                <w:iCs/>
                <w:sz w:val="24"/>
                <w:szCs w:val="24"/>
              </w:rPr>
            </w:pPr>
            <w:r w:rsidRPr="001552C0">
              <w:rPr>
                <w:rFonts w:cstheme="minorHAnsi"/>
                <w:iCs/>
                <w:sz w:val="24"/>
                <w:szCs w:val="24"/>
              </w:rPr>
              <w:t>No</w:t>
            </w:r>
          </w:p>
        </w:tc>
        <w:tc>
          <w:tcPr>
            <w:tcW w:w="1610" w:type="dxa"/>
            <w:vMerge w:val="restart"/>
            <w:shd w:val="clear" w:color="auto" w:fill="auto"/>
            <w:noWrap/>
          </w:tcPr>
          <w:p w14:paraId="75FE5D1F" w14:textId="77777777" w:rsidR="00BD5E74" w:rsidRPr="001552C0" w:rsidRDefault="00BD5E74" w:rsidP="002320ED">
            <w:pPr>
              <w:spacing w:line="240" w:lineRule="auto"/>
              <w:jc w:val="both"/>
              <w:rPr>
                <w:rFonts w:cstheme="minorHAnsi"/>
                <w:iCs/>
                <w:sz w:val="24"/>
                <w:szCs w:val="24"/>
              </w:rPr>
            </w:pPr>
          </w:p>
        </w:tc>
        <w:tc>
          <w:tcPr>
            <w:tcW w:w="743" w:type="dxa"/>
            <w:shd w:val="clear" w:color="auto" w:fill="auto"/>
            <w:noWrap/>
            <w:hideMark/>
          </w:tcPr>
          <w:p w14:paraId="3A476E51" w14:textId="77777777" w:rsidR="00BD5E74" w:rsidRPr="001552C0" w:rsidRDefault="00BD5E74" w:rsidP="002320ED">
            <w:pPr>
              <w:spacing w:line="240" w:lineRule="auto"/>
              <w:jc w:val="both"/>
              <w:rPr>
                <w:rFonts w:cstheme="minorHAnsi"/>
                <w:iCs/>
                <w:sz w:val="24"/>
                <w:szCs w:val="24"/>
              </w:rPr>
            </w:pPr>
            <w:r w:rsidRPr="001552C0">
              <w:rPr>
                <w:rFonts w:cstheme="minorHAnsi"/>
                <w:iCs/>
                <w:sz w:val="24"/>
                <w:szCs w:val="24"/>
              </w:rPr>
              <w:t>ERDF</w:t>
            </w:r>
          </w:p>
        </w:tc>
        <w:tc>
          <w:tcPr>
            <w:tcW w:w="1857" w:type="dxa"/>
            <w:shd w:val="clear" w:color="auto" w:fill="auto"/>
            <w:noWrap/>
            <w:hideMark/>
          </w:tcPr>
          <w:p w14:paraId="615FDD3C" w14:textId="5A64E2FB" w:rsidR="00BD5E74" w:rsidRPr="001552C0" w:rsidRDefault="00BD5E74" w:rsidP="002320ED">
            <w:pPr>
              <w:spacing w:line="240" w:lineRule="auto"/>
              <w:jc w:val="both"/>
              <w:rPr>
                <w:rFonts w:cstheme="minorHAnsi"/>
                <w:iCs/>
                <w:sz w:val="24"/>
                <w:szCs w:val="24"/>
              </w:rPr>
            </w:pPr>
            <w:r w:rsidRPr="001552C0">
              <w:rPr>
                <w:rFonts w:cstheme="minorHAnsi"/>
                <w:iCs/>
                <w:sz w:val="24"/>
                <w:szCs w:val="24"/>
              </w:rPr>
              <w:t>Less developed</w:t>
            </w:r>
          </w:p>
        </w:tc>
        <w:tc>
          <w:tcPr>
            <w:tcW w:w="1877" w:type="dxa"/>
            <w:vMerge w:val="restart"/>
          </w:tcPr>
          <w:p w14:paraId="4FA22569" w14:textId="1E7AFD16" w:rsidR="00BD5E74" w:rsidRPr="001552C0" w:rsidRDefault="00214744" w:rsidP="004B2A6E">
            <w:pPr>
              <w:spacing w:line="240" w:lineRule="auto"/>
              <w:jc w:val="both"/>
              <w:rPr>
                <w:rFonts w:cstheme="minorHAnsi"/>
                <w:iCs/>
                <w:sz w:val="24"/>
                <w:szCs w:val="24"/>
              </w:rPr>
            </w:pPr>
            <w:r w:rsidRPr="001552C0">
              <w:rPr>
                <w:rFonts w:cstheme="minorHAnsi"/>
                <w:iCs/>
                <w:sz w:val="24"/>
                <w:szCs w:val="24"/>
              </w:rPr>
              <w:t>OS</w:t>
            </w:r>
            <w:r w:rsidR="00466D26" w:rsidRPr="001552C0">
              <w:rPr>
                <w:rFonts w:cstheme="minorHAnsi"/>
                <w:iCs/>
                <w:sz w:val="24"/>
                <w:szCs w:val="24"/>
              </w:rPr>
              <w:t xml:space="preserve">  (i) Promovarea eficienței energetice și reducerea emisiilor de gaze cu efect de seră</w:t>
            </w:r>
          </w:p>
        </w:tc>
      </w:tr>
      <w:tr w:rsidR="00B96B06" w:rsidRPr="001552C0" w14:paraId="528541A1" w14:textId="77777777" w:rsidTr="00EF29B2">
        <w:trPr>
          <w:trHeight w:val="300"/>
        </w:trPr>
        <w:tc>
          <w:tcPr>
            <w:tcW w:w="428" w:type="dxa"/>
            <w:vMerge/>
          </w:tcPr>
          <w:p w14:paraId="542614D0" w14:textId="77777777" w:rsidR="00BD5E74" w:rsidRPr="001552C0" w:rsidRDefault="00BD5E74" w:rsidP="002320ED">
            <w:pPr>
              <w:spacing w:line="240" w:lineRule="auto"/>
              <w:jc w:val="both"/>
              <w:rPr>
                <w:rFonts w:cstheme="minorHAnsi"/>
                <w:iCs/>
                <w:sz w:val="24"/>
                <w:szCs w:val="24"/>
              </w:rPr>
            </w:pPr>
          </w:p>
        </w:tc>
        <w:tc>
          <w:tcPr>
            <w:tcW w:w="2504" w:type="dxa"/>
            <w:vMerge/>
          </w:tcPr>
          <w:p w14:paraId="53F948A7" w14:textId="77777777" w:rsidR="00BD5E74" w:rsidRPr="001552C0" w:rsidRDefault="00BD5E74" w:rsidP="002320ED">
            <w:pPr>
              <w:spacing w:line="240" w:lineRule="auto"/>
              <w:jc w:val="both"/>
              <w:rPr>
                <w:rFonts w:cstheme="minorHAnsi"/>
                <w:iCs/>
                <w:sz w:val="24"/>
                <w:szCs w:val="24"/>
              </w:rPr>
            </w:pPr>
          </w:p>
        </w:tc>
        <w:tc>
          <w:tcPr>
            <w:tcW w:w="528" w:type="dxa"/>
            <w:vMerge/>
          </w:tcPr>
          <w:p w14:paraId="1D650763" w14:textId="77777777" w:rsidR="00BD5E74" w:rsidRPr="001552C0" w:rsidRDefault="00BD5E74" w:rsidP="002320ED">
            <w:pPr>
              <w:spacing w:line="240" w:lineRule="auto"/>
              <w:jc w:val="both"/>
              <w:rPr>
                <w:rFonts w:cstheme="minorHAnsi"/>
                <w:iCs/>
                <w:sz w:val="24"/>
                <w:szCs w:val="24"/>
              </w:rPr>
            </w:pPr>
          </w:p>
        </w:tc>
        <w:tc>
          <w:tcPr>
            <w:tcW w:w="1610" w:type="dxa"/>
            <w:vMerge/>
            <w:shd w:val="clear" w:color="auto" w:fill="auto"/>
            <w:noWrap/>
          </w:tcPr>
          <w:p w14:paraId="47D916D7" w14:textId="77777777" w:rsidR="00BD5E74" w:rsidRPr="001552C0" w:rsidRDefault="00BD5E74" w:rsidP="002320ED">
            <w:pPr>
              <w:spacing w:line="240" w:lineRule="auto"/>
              <w:jc w:val="both"/>
              <w:rPr>
                <w:rFonts w:cstheme="minorHAnsi"/>
                <w:iCs/>
                <w:sz w:val="24"/>
                <w:szCs w:val="24"/>
              </w:rPr>
            </w:pPr>
          </w:p>
        </w:tc>
        <w:tc>
          <w:tcPr>
            <w:tcW w:w="743" w:type="dxa"/>
            <w:shd w:val="clear" w:color="auto" w:fill="auto"/>
            <w:noWrap/>
          </w:tcPr>
          <w:p w14:paraId="6E4E0095" w14:textId="5D33A483" w:rsidR="00BD5E74" w:rsidRPr="001552C0" w:rsidRDefault="00BD5E74" w:rsidP="002320ED">
            <w:pPr>
              <w:spacing w:line="240" w:lineRule="auto"/>
              <w:jc w:val="both"/>
              <w:rPr>
                <w:rFonts w:cstheme="minorHAnsi"/>
                <w:iCs/>
                <w:sz w:val="24"/>
                <w:szCs w:val="24"/>
              </w:rPr>
            </w:pPr>
            <w:r w:rsidRPr="001552C0">
              <w:rPr>
                <w:rFonts w:cstheme="minorHAnsi"/>
                <w:iCs/>
                <w:sz w:val="24"/>
                <w:szCs w:val="24"/>
              </w:rPr>
              <w:t>CF</w:t>
            </w:r>
          </w:p>
        </w:tc>
        <w:tc>
          <w:tcPr>
            <w:tcW w:w="1857" w:type="dxa"/>
            <w:shd w:val="clear" w:color="auto" w:fill="auto"/>
            <w:noWrap/>
          </w:tcPr>
          <w:p w14:paraId="41794319" w14:textId="15621829" w:rsidR="00BD5E74" w:rsidRPr="001552C0" w:rsidRDefault="00BD5E74" w:rsidP="002320ED">
            <w:pPr>
              <w:spacing w:line="240" w:lineRule="auto"/>
              <w:jc w:val="both"/>
              <w:rPr>
                <w:rFonts w:cstheme="minorHAnsi"/>
                <w:iCs/>
                <w:sz w:val="24"/>
                <w:szCs w:val="24"/>
              </w:rPr>
            </w:pPr>
            <w:r w:rsidRPr="001552C0">
              <w:rPr>
                <w:rFonts w:cstheme="minorHAnsi"/>
                <w:iCs/>
                <w:sz w:val="24"/>
                <w:szCs w:val="24"/>
              </w:rPr>
              <w:t>More developed</w:t>
            </w:r>
          </w:p>
        </w:tc>
        <w:tc>
          <w:tcPr>
            <w:tcW w:w="1877" w:type="dxa"/>
            <w:vMerge/>
          </w:tcPr>
          <w:p w14:paraId="640FF05E" w14:textId="1ABAC690" w:rsidR="00BD5E74" w:rsidRPr="001552C0" w:rsidRDefault="00BD5E74" w:rsidP="004B2A6E">
            <w:pPr>
              <w:spacing w:line="240" w:lineRule="auto"/>
              <w:jc w:val="both"/>
              <w:rPr>
                <w:rFonts w:cstheme="minorHAnsi"/>
                <w:iCs/>
                <w:sz w:val="24"/>
                <w:szCs w:val="24"/>
              </w:rPr>
            </w:pPr>
          </w:p>
        </w:tc>
      </w:tr>
      <w:tr w:rsidR="00B96B06" w:rsidRPr="001552C0" w14:paraId="2F149300" w14:textId="77777777" w:rsidTr="00EF29B2">
        <w:trPr>
          <w:trHeight w:val="150"/>
        </w:trPr>
        <w:tc>
          <w:tcPr>
            <w:tcW w:w="428" w:type="dxa"/>
            <w:vMerge/>
          </w:tcPr>
          <w:p w14:paraId="58F570F2" w14:textId="77777777" w:rsidR="00BD5E74" w:rsidRPr="001552C0" w:rsidRDefault="00BD5E74" w:rsidP="002320ED">
            <w:pPr>
              <w:spacing w:line="240" w:lineRule="auto"/>
              <w:jc w:val="both"/>
              <w:rPr>
                <w:rFonts w:cstheme="minorHAnsi"/>
                <w:iCs/>
                <w:sz w:val="24"/>
                <w:szCs w:val="24"/>
              </w:rPr>
            </w:pPr>
          </w:p>
        </w:tc>
        <w:tc>
          <w:tcPr>
            <w:tcW w:w="2504" w:type="dxa"/>
            <w:vMerge/>
          </w:tcPr>
          <w:p w14:paraId="5AFADEB0" w14:textId="77777777" w:rsidR="00BD5E74" w:rsidRPr="001552C0" w:rsidRDefault="00BD5E74" w:rsidP="002320ED">
            <w:pPr>
              <w:spacing w:line="240" w:lineRule="auto"/>
              <w:jc w:val="both"/>
              <w:rPr>
                <w:rFonts w:cstheme="minorHAnsi"/>
                <w:iCs/>
                <w:sz w:val="24"/>
                <w:szCs w:val="24"/>
              </w:rPr>
            </w:pPr>
          </w:p>
        </w:tc>
        <w:tc>
          <w:tcPr>
            <w:tcW w:w="528" w:type="dxa"/>
            <w:vMerge/>
          </w:tcPr>
          <w:p w14:paraId="653DD98E" w14:textId="77777777" w:rsidR="00BD5E74" w:rsidRPr="001552C0" w:rsidRDefault="00BD5E74" w:rsidP="002320ED">
            <w:pPr>
              <w:spacing w:line="240" w:lineRule="auto"/>
              <w:jc w:val="both"/>
              <w:rPr>
                <w:rFonts w:cstheme="minorHAnsi"/>
                <w:iCs/>
                <w:sz w:val="24"/>
                <w:szCs w:val="24"/>
              </w:rPr>
            </w:pPr>
          </w:p>
        </w:tc>
        <w:tc>
          <w:tcPr>
            <w:tcW w:w="1610" w:type="dxa"/>
            <w:vMerge/>
            <w:shd w:val="clear" w:color="auto" w:fill="auto"/>
            <w:noWrap/>
          </w:tcPr>
          <w:p w14:paraId="10D011B4" w14:textId="77777777" w:rsidR="00BD5E74" w:rsidRPr="001552C0" w:rsidRDefault="00BD5E74" w:rsidP="002320ED">
            <w:pPr>
              <w:spacing w:line="240" w:lineRule="auto"/>
              <w:jc w:val="both"/>
              <w:rPr>
                <w:rFonts w:cstheme="minorHAnsi"/>
                <w:iCs/>
                <w:sz w:val="24"/>
                <w:szCs w:val="24"/>
              </w:rPr>
            </w:pPr>
          </w:p>
        </w:tc>
        <w:tc>
          <w:tcPr>
            <w:tcW w:w="743" w:type="dxa"/>
            <w:shd w:val="clear" w:color="auto" w:fill="auto"/>
            <w:noWrap/>
          </w:tcPr>
          <w:p w14:paraId="2A75EA8F" w14:textId="7E9799A1" w:rsidR="00BD5E74" w:rsidRPr="001552C0" w:rsidRDefault="00BD5E74" w:rsidP="002320ED">
            <w:pPr>
              <w:spacing w:line="240" w:lineRule="auto"/>
              <w:jc w:val="both"/>
              <w:rPr>
                <w:rFonts w:cstheme="minorHAnsi"/>
                <w:iCs/>
                <w:sz w:val="24"/>
                <w:szCs w:val="24"/>
              </w:rPr>
            </w:pPr>
            <w:r w:rsidRPr="001552C0">
              <w:rPr>
                <w:rFonts w:cstheme="minorHAnsi"/>
                <w:iCs/>
                <w:sz w:val="24"/>
                <w:szCs w:val="24"/>
              </w:rPr>
              <w:t>ERDF</w:t>
            </w:r>
          </w:p>
        </w:tc>
        <w:tc>
          <w:tcPr>
            <w:tcW w:w="1857" w:type="dxa"/>
            <w:shd w:val="clear" w:color="auto" w:fill="auto"/>
          </w:tcPr>
          <w:p w14:paraId="08B43749" w14:textId="18EDAE80" w:rsidR="00BD5E74" w:rsidRPr="001552C0" w:rsidRDefault="00BD5E74" w:rsidP="002320ED">
            <w:pPr>
              <w:spacing w:line="240" w:lineRule="auto"/>
              <w:jc w:val="both"/>
              <w:rPr>
                <w:rFonts w:cstheme="minorHAnsi"/>
                <w:iCs/>
                <w:sz w:val="24"/>
                <w:szCs w:val="24"/>
              </w:rPr>
            </w:pPr>
            <w:r w:rsidRPr="001552C0">
              <w:rPr>
                <w:rFonts w:cstheme="minorHAnsi"/>
                <w:iCs/>
                <w:sz w:val="24"/>
                <w:szCs w:val="24"/>
              </w:rPr>
              <w:t>Less developed</w:t>
            </w:r>
          </w:p>
        </w:tc>
        <w:tc>
          <w:tcPr>
            <w:tcW w:w="1877" w:type="dxa"/>
            <w:vMerge w:val="restart"/>
            <w:shd w:val="clear" w:color="auto" w:fill="auto"/>
          </w:tcPr>
          <w:p w14:paraId="0B1B3D8A" w14:textId="45D63713" w:rsidR="00BD5E74" w:rsidRPr="001552C0" w:rsidRDefault="00214744" w:rsidP="004B2A6E">
            <w:pPr>
              <w:spacing w:line="240" w:lineRule="auto"/>
              <w:jc w:val="both"/>
              <w:rPr>
                <w:rFonts w:cstheme="minorHAnsi"/>
                <w:iCs/>
                <w:sz w:val="24"/>
                <w:szCs w:val="24"/>
              </w:rPr>
            </w:pPr>
            <w:r w:rsidRPr="001552C0">
              <w:rPr>
                <w:rFonts w:cstheme="minorHAnsi"/>
                <w:iCs/>
                <w:sz w:val="24"/>
                <w:szCs w:val="24"/>
              </w:rPr>
              <w:t>OS</w:t>
            </w:r>
            <w:r w:rsidR="00466D26" w:rsidRPr="001552C0">
              <w:rPr>
                <w:rFonts w:cstheme="minorHAnsi"/>
                <w:iCs/>
                <w:sz w:val="24"/>
                <w:szCs w:val="24"/>
              </w:rPr>
              <w:t xml:space="preserve"> (iii) Dezvoltarea de sisteme inteligente de energie, rețele și stocare în afara TEN-E</w:t>
            </w:r>
          </w:p>
        </w:tc>
      </w:tr>
      <w:tr w:rsidR="00B96B06" w:rsidRPr="001552C0" w14:paraId="7EB419AF" w14:textId="77777777" w:rsidTr="00E1462F">
        <w:trPr>
          <w:trHeight w:val="1014"/>
        </w:trPr>
        <w:tc>
          <w:tcPr>
            <w:tcW w:w="428" w:type="dxa"/>
            <w:vMerge/>
          </w:tcPr>
          <w:p w14:paraId="0EEA5C51" w14:textId="77777777" w:rsidR="00BD5E74" w:rsidRPr="001552C0" w:rsidRDefault="00BD5E74" w:rsidP="002320ED">
            <w:pPr>
              <w:spacing w:line="240" w:lineRule="auto"/>
              <w:jc w:val="both"/>
              <w:rPr>
                <w:rFonts w:cstheme="minorHAnsi"/>
                <w:iCs/>
                <w:sz w:val="24"/>
                <w:szCs w:val="24"/>
              </w:rPr>
            </w:pPr>
          </w:p>
        </w:tc>
        <w:tc>
          <w:tcPr>
            <w:tcW w:w="2504" w:type="dxa"/>
            <w:vMerge/>
          </w:tcPr>
          <w:p w14:paraId="4FE43F87" w14:textId="77777777" w:rsidR="00BD5E74" w:rsidRPr="001552C0" w:rsidRDefault="00BD5E74" w:rsidP="002320ED">
            <w:pPr>
              <w:spacing w:line="240" w:lineRule="auto"/>
              <w:jc w:val="both"/>
              <w:rPr>
                <w:rFonts w:cstheme="minorHAnsi"/>
                <w:iCs/>
                <w:sz w:val="24"/>
                <w:szCs w:val="24"/>
              </w:rPr>
            </w:pPr>
          </w:p>
        </w:tc>
        <w:tc>
          <w:tcPr>
            <w:tcW w:w="528" w:type="dxa"/>
            <w:vMerge/>
          </w:tcPr>
          <w:p w14:paraId="02660F6A" w14:textId="77777777" w:rsidR="00BD5E74" w:rsidRPr="001552C0" w:rsidRDefault="00BD5E74" w:rsidP="002320ED">
            <w:pPr>
              <w:spacing w:line="240" w:lineRule="auto"/>
              <w:jc w:val="both"/>
              <w:rPr>
                <w:rFonts w:cstheme="minorHAnsi"/>
                <w:iCs/>
                <w:sz w:val="24"/>
                <w:szCs w:val="24"/>
              </w:rPr>
            </w:pPr>
          </w:p>
        </w:tc>
        <w:tc>
          <w:tcPr>
            <w:tcW w:w="1610" w:type="dxa"/>
            <w:vMerge/>
            <w:shd w:val="clear" w:color="auto" w:fill="auto"/>
            <w:noWrap/>
          </w:tcPr>
          <w:p w14:paraId="206A022B" w14:textId="77777777" w:rsidR="00BD5E74" w:rsidRPr="001552C0" w:rsidRDefault="00BD5E74" w:rsidP="002320ED">
            <w:pPr>
              <w:spacing w:line="240" w:lineRule="auto"/>
              <w:jc w:val="both"/>
              <w:rPr>
                <w:rFonts w:cstheme="minorHAnsi"/>
                <w:iCs/>
                <w:sz w:val="24"/>
                <w:szCs w:val="24"/>
              </w:rPr>
            </w:pPr>
          </w:p>
        </w:tc>
        <w:tc>
          <w:tcPr>
            <w:tcW w:w="743" w:type="dxa"/>
            <w:shd w:val="clear" w:color="auto" w:fill="auto"/>
            <w:noWrap/>
          </w:tcPr>
          <w:p w14:paraId="167B1A04" w14:textId="714C2576" w:rsidR="00BD5E74" w:rsidRPr="001552C0" w:rsidRDefault="00BD5E74" w:rsidP="002320ED">
            <w:pPr>
              <w:spacing w:line="240" w:lineRule="auto"/>
              <w:jc w:val="both"/>
              <w:rPr>
                <w:rFonts w:cstheme="minorHAnsi"/>
                <w:iCs/>
                <w:sz w:val="24"/>
                <w:szCs w:val="24"/>
              </w:rPr>
            </w:pPr>
            <w:r w:rsidRPr="001552C0">
              <w:rPr>
                <w:rFonts w:cstheme="minorHAnsi"/>
                <w:iCs/>
                <w:sz w:val="24"/>
                <w:szCs w:val="24"/>
              </w:rPr>
              <w:t>CF</w:t>
            </w:r>
          </w:p>
        </w:tc>
        <w:tc>
          <w:tcPr>
            <w:tcW w:w="1857" w:type="dxa"/>
            <w:shd w:val="clear" w:color="auto" w:fill="auto"/>
          </w:tcPr>
          <w:p w14:paraId="0BA1C53A" w14:textId="11460C37" w:rsidR="00BD5E74" w:rsidRPr="001552C0" w:rsidRDefault="00BD5E74" w:rsidP="002320ED">
            <w:pPr>
              <w:spacing w:line="240" w:lineRule="auto"/>
              <w:jc w:val="both"/>
              <w:rPr>
                <w:rFonts w:cstheme="minorHAnsi"/>
                <w:iCs/>
                <w:sz w:val="24"/>
                <w:szCs w:val="24"/>
              </w:rPr>
            </w:pPr>
            <w:r w:rsidRPr="001552C0">
              <w:rPr>
                <w:rFonts w:cstheme="minorHAnsi"/>
                <w:iCs/>
                <w:sz w:val="24"/>
                <w:szCs w:val="24"/>
              </w:rPr>
              <w:t>More developed</w:t>
            </w:r>
          </w:p>
        </w:tc>
        <w:tc>
          <w:tcPr>
            <w:tcW w:w="1877" w:type="dxa"/>
            <w:vMerge/>
            <w:shd w:val="clear" w:color="auto" w:fill="auto"/>
          </w:tcPr>
          <w:p w14:paraId="1DE1E8FE" w14:textId="7B340A46" w:rsidR="00BD5E74" w:rsidRPr="001552C0" w:rsidRDefault="00BD5E74" w:rsidP="004B2A6E">
            <w:pPr>
              <w:spacing w:line="240" w:lineRule="auto"/>
              <w:jc w:val="both"/>
              <w:rPr>
                <w:rFonts w:cstheme="minorHAnsi"/>
                <w:iCs/>
                <w:sz w:val="24"/>
                <w:szCs w:val="24"/>
              </w:rPr>
            </w:pPr>
          </w:p>
        </w:tc>
      </w:tr>
      <w:tr w:rsidR="00B96B06" w:rsidRPr="001552C0" w14:paraId="07A53B12" w14:textId="77777777" w:rsidTr="00EF29B2">
        <w:trPr>
          <w:trHeight w:val="743"/>
        </w:trPr>
        <w:tc>
          <w:tcPr>
            <w:tcW w:w="428" w:type="dxa"/>
            <w:vMerge w:val="restart"/>
            <w:shd w:val="clear" w:color="auto" w:fill="auto"/>
            <w:noWrap/>
            <w:hideMark/>
          </w:tcPr>
          <w:p w14:paraId="03B59325" w14:textId="77777777" w:rsidR="00EF29B2" w:rsidRPr="001552C0" w:rsidRDefault="00EF29B2" w:rsidP="002320ED">
            <w:pPr>
              <w:spacing w:line="240" w:lineRule="auto"/>
              <w:jc w:val="both"/>
              <w:rPr>
                <w:rFonts w:cstheme="minorHAnsi"/>
                <w:iCs/>
                <w:sz w:val="24"/>
                <w:szCs w:val="24"/>
              </w:rPr>
            </w:pPr>
            <w:r w:rsidRPr="001552C0">
              <w:rPr>
                <w:rFonts w:cstheme="minorHAnsi"/>
                <w:iCs/>
                <w:sz w:val="24"/>
                <w:szCs w:val="24"/>
              </w:rPr>
              <w:t>2</w:t>
            </w:r>
          </w:p>
        </w:tc>
        <w:tc>
          <w:tcPr>
            <w:tcW w:w="2504" w:type="dxa"/>
            <w:vMerge w:val="restart"/>
            <w:shd w:val="clear" w:color="auto" w:fill="auto"/>
            <w:noWrap/>
            <w:hideMark/>
          </w:tcPr>
          <w:p w14:paraId="67DAAB29" w14:textId="735D9211" w:rsidR="00EF29B2" w:rsidRPr="001552C0" w:rsidRDefault="00EF29B2" w:rsidP="002320ED">
            <w:pPr>
              <w:spacing w:line="240" w:lineRule="auto"/>
              <w:jc w:val="both"/>
              <w:rPr>
                <w:rFonts w:cstheme="minorHAnsi"/>
                <w:iCs/>
                <w:sz w:val="24"/>
                <w:szCs w:val="24"/>
              </w:rPr>
            </w:pPr>
            <w:r w:rsidRPr="001552C0">
              <w:rPr>
                <w:rFonts w:cstheme="minorHAnsi"/>
                <w:iCs/>
                <w:sz w:val="24"/>
                <w:szCs w:val="24"/>
              </w:rPr>
              <w:t>Prioritatea 2 -  Dezvoltarea infrastructurii de apă și apă uzată și tranziția la o  economie circulară</w:t>
            </w:r>
          </w:p>
        </w:tc>
        <w:tc>
          <w:tcPr>
            <w:tcW w:w="528" w:type="dxa"/>
            <w:vMerge w:val="restart"/>
            <w:shd w:val="clear" w:color="auto" w:fill="auto"/>
            <w:noWrap/>
            <w:hideMark/>
          </w:tcPr>
          <w:p w14:paraId="4AE530FD" w14:textId="77777777" w:rsidR="00EF29B2" w:rsidRPr="001552C0" w:rsidRDefault="00EF29B2" w:rsidP="002320ED">
            <w:pPr>
              <w:spacing w:line="240" w:lineRule="auto"/>
              <w:jc w:val="both"/>
              <w:rPr>
                <w:rFonts w:cstheme="minorHAnsi"/>
                <w:iCs/>
                <w:sz w:val="24"/>
                <w:szCs w:val="24"/>
              </w:rPr>
            </w:pPr>
            <w:r w:rsidRPr="001552C0">
              <w:rPr>
                <w:rFonts w:cstheme="minorHAnsi"/>
                <w:iCs/>
                <w:sz w:val="24"/>
                <w:szCs w:val="24"/>
              </w:rPr>
              <w:t>No</w:t>
            </w:r>
          </w:p>
        </w:tc>
        <w:tc>
          <w:tcPr>
            <w:tcW w:w="1610" w:type="dxa"/>
            <w:vMerge w:val="restart"/>
            <w:shd w:val="clear" w:color="auto" w:fill="auto"/>
            <w:noWrap/>
          </w:tcPr>
          <w:p w14:paraId="559545BB" w14:textId="77777777" w:rsidR="00EF29B2" w:rsidRPr="001552C0" w:rsidRDefault="00EF29B2" w:rsidP="002320ED">
            <w:pPr>
              <w:spacing w:line="240" w:lineRule="auto"/>
              <w:jc w:val="both"/>
              <w:rPr>
                <w:rFonts w:cstheme="minorHAnsi"/>
                <w:iCs/>
                <w:sz w:val="24"/>
                <w:szCs w:val="24"/>
              </w:rPr>
            </w:pPr>
          </w:p>
        </w:tc>
        <w:tc>
          <w:tcPr>
            <w:tcW w:w="743" w:type="dxa"/>
            <w:shd w:val="clear" w:color="auto" w:fill="auto"/>
            <w:noWrap/>
          </w:tcPr>
          <w:p w14:paraId="6D723461" w14:textId="2AD739E9" w:rsidR="00EF29B2" w:rsidRPr="001552C0" w:rsidRDefault="00EF29B2" w:rsidP="002320ED">
            <w:pPr>
              <w:spacing w:line="240" w:lineRule="auto"/>
              <w:jc w:val="both"/>
              <w:rPr>
                <w:rFonts w:cstheme="minorHAnsi"/>
                <w:iCs/>
                <w:sz w:val="24"/>
                <w:szCs w:val="24"/>
              </w:rPr>
            </w:pPr>
            <w:r w:rsidRPr="001552C0">
              <w:rPr>
                <w:rFonts w:cstheme="minorHAnsi"/>
                <w:iCs/>
                <w:sz w:val="24"/>
                <w:szCs w:val="24"/>
              </w:rPr>
              <w:t>ERDF</w:t>
            </w:r>
          </w:p>
        </w:tc>
        <w:tc>
          <w:tcPr>
            <w:tcW w:w="1857" w:type="dxa"/>
            <w:shd w:val="clear" w:color="auto" w:fill="auto"/>
            <w:noWrap/>
            <w:hideMark/>
          </w:tcPr>
          <w:p w14:paraId="51506F03" w14:textId="55FD8A00" w:rsidR="00EF29B2" w:rsidRPr="001552C0" w:rsidRDefault="00EF29B2" w:rsidP="002320ED">
            <w:pPr>
              <w:spacing w:line="240" w:lineRule="auto"/>
              <w:jc w:val="both"/>
              <w:rPr>
                <w:rFonts w:cstheme="minorHAnsi"/>
                <w:iCs/>
                <w:sz w:val="24"/>
                <w:szCs w:val="24"/>
              </w:rPr>
            </w:pPr>
            <w:r w:rsidRPr="001552C0">
              <w:rPr>
                <w:rFonts w:cstheme="minorHAnsi"/>
                <w:iCs/>
                <w:sz w:val="24"/>
                <w:szCs w:val="24"/>
              </w:rPr>
              <w:t>Less developed</w:t>
            </w:r>
          </w:p>
        </w:tc>
        <w:tc>
          <w:tcPr>
            <w:tcW w:w="1877" w:type="dxa"/>
            <w:vMerge w:val="restart"/>
          </w:tcPr>
          <w:p w14:paraId="76DC974C" w14:textId="31804099" w:rsidR="00EF29B2" w:rsidRPr="001552C0" w:rsidRDefault="00EF29B2" w:rsidP="004B2A6E">
            <w:pPr>
              <w:spacing w:line="240" w:lineRule="auto"/>
              <w:jc w:val="both"/>
              <w:rPr>
                <w:rFonts w:cstheme="minorHAnsi"/>
                <w:iCs/>
                <w:sz w:val="24"/>
                <w:szCs w:val="24"/>
              </w:rPr>
            </w:pPr>
            <w:r w:rsidRPr="001552C0">
              <w:rPr>
                <w:rFonts w:cstheme="minorHAnsi"/>
                <w:iCs/>
                <w:sz w:val="24"/>
                <w:szCs w:val="24"/>
              </w:rPr>
              <w:t>OS (v) Promovarea managementului durabil al apei</w:t>
            </w:r>
          </w:p>
        </w:tc>
      </w:tr>
      <w:tr w:rsidR="00B96B06" w:rsidRPr="001552C0" w14:paraId="27CADCC7" w14:textId="77777777" w:rsidTr="00EF29B2">
        <w:trPr>
          <w:trHeight w:val="473"/>
        </w:trPr>
        <w:tc>
          <w:tcPr>
            <w:tcW w:w="428" w:type="dxa"/>
            <w:vMerge/>
          </w:tcPr>
          <w:p w14:paraId="3D787645" w14:textId="77777777" w:rsidR="00EF29B2" w:rsidRPr="001552C0" w:rsidRDefault="00EF29B2" w:rsidP="002320ED">
            <w:pPr>
              <w:spacing w:line="240" w:lineRule="auto"/>
              <w:jc w:val="both"/>
              <w:rPr>
                <w:rFonts w:cstheme="minorHAnsi"/>
                <w:iCs/>
                <w:sz w:val="24"/>
                <w:szCs w:val="24"/>
              </w:rPr>
            </w:pPr>
          </w:p>
        </w:tc>
        <w:tc>
          <w:tcPr>
            <w:tcW w:w="2504" w:type="dxa"/>
            <w:vMerge/>
          </w:tcPr>
          <w:p w14:paraId="515DFF52" w14:textId="77777777" w:rsidR="00EF29B2" w:rsidRPr="001552C0" w:rsidRDefault="00EF29B2" w:rsidP="002320ED">
            <w:pPr>
              <w:spacing w:line="240" w:lineRule="auto"/>
              <w:jc w:val="both"/>
              <w:rPr>
                <w:rFonts w:cstheme="minorHAnsi"/>
                <w:iCs/>
                <w:sz w:val="24"/>
                <w:szCs w:val="24"/>
              </w:rPr>
            </w:pPr>
          </w:p>
        </w:tc>
        <w:tc>
          <w:tcPr>
            <w:tcW w:w="528" w:type="dxa"/>
            <w:vMerge/>
          </w:tcPr>
          <w:p w14:paraId="1E18C6DB" w14:textId="77777777" w:rsidR="00EF29B2" w:rsidRPr="001552C0" w:rsidRDefault="00EF29B2" w:rsidP="002320ED">
            <w:pPr>
              <w:spacing w:line="240" w:lineRule="auto"/>
              <w:jc w:val="both"/>
              <w:rPr>
                <w:rFonts w:cstheme="minorHAnsi"/>
                <w:iCs/>
                <w:sz w:val="24"/>
                <w:szCs w:val="24"/>
              </w:rPr>
            </w:pPr>
          </w:p>
        </w:tc>
        <w:tc>
          <w:tcPr>
            <w:tcW w:w="1610" w:type="dxa"/>
            <w:vMerge/>
            <w:shd w:val="clear" w:color="auto" w:fill="auto"/>
            <w:noWrap/>
          </w:tcPr>
          <w:p w14:paraId="37917FC6" w14:textId="77777777" w:rsidR="00EF29B2" w:rsidRPr="001552C0" w:rsidRDefault="00EF29B2" w:rsidP="002320ED">
            <w:pPr>
              <w:spacing w:line="240" w:lineRule="auto"/>
              <w:jc w:val="both"/>
              <w:rPr>
                <w:rFonts w:cstheme="minorHAnsi"/>
                <w:iCs/>
                <w:sz w:val="24"/>
                <w:szCs w:val="24"/>
              </w:rPr>
            </w:pPr>
          </w:p>
        </w:tc>
        <w:tc>
          <w:tcPr>
            <w:tcW w:w="743" w:type="dxa"/>
            <w:shd w:val="clear" w:color="auto" w:fill="auto"/>
            <w:noWrap/>
          </w:tcPr>
          <w:p w14:paraId="63DF9BF4" w14:textId="73309BD5" w:rsidR="00EF29B2" w:rsidRPr="001552C0" w:rsidRDefault="00EF29B2" w:rsidP="002320ED">
            <w:pPr>
              <w:spacing w:line="240" w:lineRule="auto"/>
              <w:jc w:val="both"/>
              <w:rPr>
                <w:rFonts w:cstheme="minorHAnsi"/>
                <w:iCs/>
                <w:sz w:val="24"/>
                <w:szCs w:val="24"/>
              </w:rPr>
            </w:pPr>
            <w:r w:rsidRPr="001552C0">
              <w:rPr>
                <w:rFonts w:cstheme="minorHAnsi"/>
                <w:iCs/>
                <w:sz w:val="24"/>
                <w:szCs w:val="24"/>
              </w:rPr>
              <w:t>CF</w:t>
            </w:r>
          </w:p>
        </w:tc>
        <w:tc>
          <w:tcPr>
            <w:tcW w:w="1857" w:type="dxa"/>
            <w:shd w:val="clear" w:color="auto" w:fill="auto"/>
            <w:noWrap/>
          </w:tcPr>
          <w:p w14:paraId="146ED55B" w14:textId="5A7CA031" w:rsidR="00EF29B2" w:rsidRPr="001552C0" w:rsidRDefault="00EF29B2" w:rsidP="002320ED">
            <w:pPr>
              <w:spacing w:line="240" w:lineRule="auto"/>
              <w:jc w:val="both"/>
              <w:rPr>
                <w:rFonts w:cstheme="minorHAnsi"/>
                <w:iCs/>
                <w:sz w:val="24"/>
                <w:szCs w:val="24"/>
              </w:rPr>
            </w:pPr>
            <w:r w:rsidRPr="001552C0">
              <w:rPr>
                <w:rFonts w:cstheme="minorHAnsi"/>
                <w:iCs/>
                <w:sz w:val="24"/>
                <w:szCs w:val="24"/>
              </w:rPr>
              <w:t>More developed</w:t>
            </w:r>
          </w:p>
        </w:tc>
        <w:tc>
          <w:tcPr>
            <w:tcW w:w="1877" w:type="dxa"/>
            <w:vMerge/>
          </w:tcPr>
          <w:p w14:paraId="7AFBC53E" w14:textId="274A59DC" w:rsidR="00EF29B2" w:rsidRPr="001552C0" w:rsidRDefault="00EF29B2" w:rsidP="004B2A6E">
            <w:pPr>
              <w:spacing w:line="240" w:lineRule="auto"/>
              <w:jc w:val="both"/>
              <w:rPr>
                <w:rFonts w:cstheme="minorHAnsi"/>
                <w:iCs/>
                <w:sz w:val="24"/>
                <w:szCs w:val="24"/>
              </w:rPr>
            </w:pPr>
          </w:p>
        </w:tc>
      </w:tr>
      <w:tr w:rsidR="00B96B06" w:rsidRPr="001552C0" w14:paraId="0F740343" w14:textId="77777777" w:rsidTr="00EF29B2">
        <w:trPr>
          <w:trHeight w:val="150"/>
        </w:trPr>
        <w:tc>
          <w:tcPr>
            <w:tcW w:w="428" w:type="dxa"/>
            <w:vMerge/>
          </w:tcPr>
          <w:p w14:paraId="0C54A198" w14:textId="77777777" w:rsidR="00B72969" w:rsidRPr="001552C0" w:rsidRDefault="00B72969" w:rsidP="002320ED">
            <w:pPr>
              <w:spacing w:line="240" w:lineRule="auto"/>
              <w:jc w:val="both"/>
              <w:rPr>
                <w:rFonts w:cstheme="minorHAnsi"/>
                <w:iCs/>
                <w:sz w:val="24"/>
                <w:szCs w:val="24"/>
              </w:rPr>
            </w:pPr>
          </w:p>
        </w:tc>
        <w:tc>
          <w:tcPr>
            <w:tcW w:w="2504" w:type="dxa"/>
            <w:vMerge/>
          </w:tcPr>
          <w:p w14:paraId="25C80C60" w14:textId="77777777" w:rsidR="00B72969" w:rsidRPr="001552C0" w:rsidRDefault="00B72969" w:rsidP="002320ED">
            <w:pPr>
              <w:spacing w:line="240" w:lineRule="auto"/>
              <w:jc w:val="both"/>
              <w:rPr>
                <w:rFonts w:cstheme="minorHAnsi"/>
                <w:iCs/>
                <w:sz w:val="24"/>
                <w:szCs w:val="24"/>
              </w:rPr>
            </w:pPr>
          </w:p>
        </w:tc>
        <w:tc>
          <w:tcPr>
            <w:tcW w:w="528" w:type="dxa"/>
            <w:vMerge/>
          </w:tcPr>
          <w:p w14:paraId="068F95A5" w14:textId="77777777" w:rsidR="00B72969" w:rsidRPr="001552C0" w:rsidRDefault="00B72969" w:rsidP="002320ED">
            <w:pPr>
              <w:spacing w:line="240" w:lineRule="auto"/>
              <w:jc w:val="both"/>
              <w:rPr>
                <w:rFonts w:cstheme="minorHAnsi"/>
                <w:iCs/>
                <w:sz w:val="24"/>
                <w:szCs w:val="24"/>
              </w:rPr>
            </w:pPr>
          </w:p>
        </w:tc>
        <w:tc>
          <w:tcPr>
            <w:tcW w:w="1610" w:type="dxa"/>
            <w:vMerge/>
            <w:shd w:val="clear" w:color="auto" w:fill="auto"/>
            <w:noWrap/>
          </w:tcPr>
          <w:p w14:paraId="4D6C9B74" w14:textId="77777777" w:rsidR="00B72969" w:rsidRPr="001552C0" w:rsidRDefault="00B72969" w:rsidP="002320ED">
            <w:pPr>
              <w:spacing w:line="240" w:lineRule="auto"/>
              <w:jc w:val="both"/>
              <w:rPr>
                <w:rFonts w:cstheme="minorHAnsi"/>
                <w:iCs/>
                <w:sz w:val="24"/>
                <w:szCs w:val="24"/>
              </w:rPr>
            </w:pPr>
          </w:p>
        </w:tc>
        <w:tc>
          <w:tcPr>
            <w:tcW w:w="743" w:type="dxa"/>
            <w:vMerge w:val="restart"/>
            <w:shd w:val="clear" w:color="auto" w:fill="auto"/>
            <w:noWrap/>
          </w:tcPr>
          <w:p w14:paraId="5A949A0A" w14:textId="10145FBA" w:rsidR="00B72969" w:rsidRPr="001552C0" w:rsidRDefault="00B72969" w:rsidP="002320ED">
            <w:pPr>
              <w:spacing w:line="240" w:lineRule="auto"/>
              <w:jc w:val="both"/>
              <w:rPr>
                <w:rFonts w:cstheme="minorHAnsi"/>
                <w:iCs/>
                <w:sz w:val="24"/>
                <w:szCs w:val="24"/>
              </w:rPr>
            </w:pPr>
            <w:r w:rsidRPr="001552C0">
              <w:rPr>
                <w:rFonts w:cstheme="minorHAnsi"/>
                <w:iCs/>
                <w:sz w:val="24"/>
                <w:szCs w:val="24"/>
              </w:rPr>
              <w:t>CF</w:t>
            </w:r>
          </w:p>
        </w:tc>
        <w:tc>
          <w:tcPr>
            <w:tcW w:w="1857" w:type="dxa"/>
            <w:shd w:val="clear" w:color="auto" w:fill="auto"/>
            <w:noWrap/>
          </w:tcPr>
          <w:p w14:paraId="11E656DD" w14:textId="713690F5" w:rsidR="00B72969" w:rsidRPr="001552C0" w:rsidRDefault="00B72969" w:rsidP="002320ED">
            <w:pPr>
              <w:spacing w:line="240" w:lineRule="auto"/>
              <w:jc w:val="both"/>
              <w:rPr>
                <w:rFonts w:cstheme="minorHAnsi"/>
                <w:iCs/>
                <w:sz w:val="24"/>
                <w:szCs w:val="24"/>
              </w:rPr>
            </w:pPr>
            <w:r w:rsidRPr="001552C0">
              <w:rPr>
                <w:rFonts w:cstheme="minorHAnsi"/>
                <w:iCs/>
                <w:sz w:val="24"/>
                <w:szCs w:val="24"/>
              </w:rPr>
              <w:t>More developed</w:t>
            </w:r>
          </w:p>
        </w:tc>
        <w:tc>
          <w:tcPr>
            <w:tcW w:w="1877" w:type="dxa"/>
            <w:vMerge w:val="restart"/>
          </w:tcPr>
          <w:p w14:paraId="4C9F1EF9" w14:textId="0230B982" w:rsidR="00B72969" w:rsidRPr="001552C0" w:rsidRDefault="000C3602" w:rsidP="004B2A6E">
            <w:pPr>
              <w:spacing w:line="240" w:lineRule="auto"/>
              <w:jc w:val="both"/>
              <w:rPr>
                <w:rFonts w:cstheme="minorHAnsi"/>
                <w:iCs/>
                <w:sz w:val="24"/>
                <w:szCs w:val="24"/>
              </w:rPr>
            </w:pPr>
            <w:r w:rsidRPr="001552C0">
              <w:rPr>
                <w:rFonts w:cstheme="minorHAnsi"/>
                <w:iCs/>
                <w:sz w:val="24"/>
                <w:szCs w:val="24"/>
              </w:rPr>
              <w:t>OS  (vi) Promovarea tranziţiei către o economie circulară</w:t>
            </w:r>
          </w:p>
        </w:tc>
      </w:tr>
      <w:tr w:rsidR="00B96B06" w:rsidRPr="001552C0" w14:paraId="4C44F040" w14:textId="77777777" w:rsidTr="00E1462F">
        <w:trPr>
          <w:trHeight w:val="400"/>
        </w:trPr>
        <w:tc>
          <w:tcPr>
            <w:tcW w:w="428" w:type="dxa"/>
            <w:vMerge/>
          </w:tcPr>
          <w:p w14:paraId="24A8ED76" w14:textId="77777777" w:rsidR="00B72969" w:rsidRPr="001552C0" w:rsidRDefault="00B72969" w:rsidP="002320ED">
            <w:pPr>
              <w:spacing w:line="240" w:lineRule="auto"/>
              <w:jc w:val="both"/>
              <w:rPr>
                <w:rFonts w:cstheme="minorHAnsi"/>
                <w:iCs/>
                <w:sz w:val="24"/>
                <w:szCs w:val="24"/>
              </w:rPr>
            </w:pPr>
          </w:p>
        </w:tc>
        <w:tc>
          <w:tcPr>
            <w:tcW w:w="2504" w:type="dxa"/>
            <w:vMerge/>
          </w:tcPr>
          <w:p w14:paraId="7FAA9CD5" w14:textId="77777777" w:rsidR="00B72969" w:rsidRPr="001552C0" w:rsidRDefault="00B72969" w:rsidP="002320ED">
            <w:pPr>
              <w:spacing w:line="240" w:lineRule="auto"/>
              <w:jc w:val="both"/>
              <w:rPr>
                <w:rFonts w:cstheme="minorHAnsi"/>
                <w:iCs/>
                <w:sz w:val="24"/>
                <w:szCs w:val="24"/>
              </w:rPr>
            </w:pPr>
          </w:p>
        </w:tc>
        <w:tc>
          <w:tcPr>
            <w:tcW w:w="528" w:type="dxa"/>
            <w:vMerge/>
          </w:tcPr>
          <w:p w14:paraId="4F4F96D5" w14:textId="77777777" w:rsidR="00B72969" w:rsidRPr="001552C0" w:rsidRDefault="00B72969" w:rsidP="002320ED">
            <w:pPr>
              <w:spacing w:line="240" w:lineRule="auto"/>
              <w:jc w:val="both"/>
              <w:rPr>
                <w:rFonts w:cstheme="minorHAnsi"/>
                <w:iCs/>
                <w:sz w:val="24"/>
                <w:szCs w:val="24"/>
              </w:rPr>
            </w:pPr>
          </w:p>
        </w:tc>
        <w:tc>
          <w:tcPr>
            <w:tcW w:w="1610" w:type="dxa"/>
            <w:vMerge/>
            <w:shd w:val="clear" w:color="auto" w:fill="auto"/>
            <w:noWrap/>
          </w:tcPr>
          <w:p w14:paraId="3B5A422B" w14:textId="77777777" w:rsidR="00B72969" w:rsidRPr="001552C0" w:rsidRDefault="00B72969" w:rsidP="002320ED">
            <w:pPr>
              <w:spacing w:line="240" w:lineRule="auto"/>
              <w:jc w:val="both"/>
              <w:rPr>
                <w:rFonts w:cstheme="minorHAnsi"/>
                <w:iCs/>
                <w:sz w:val="24"/>
                <w:szCs w:val="24"/>
              </w:rPr>
            </w:pPr>
          </w:p>
        </w:tc>
        <w:tc>
          <w:tcPr>
            <w:tcW w:w="743" w:type="dxa"/>
            <w:vMerge/>
            <w:shd w:val="clear" w:color="auto" w:fill="auto"/>
            <w:noWrap/>
          </w:tcPr>
          <w:p w14:paraId="10A94ED4" w14:textId="77777777" w:rsidR="00B72969" w:rsidRPr="001552C0" w:rsidRDefault="00B72969" w:rsidP="002320ED">
            <w:pPr>
              <w:spacing w:line="240" w:lineRule="auto"/>
              <w:jc w:val="both"/>
              <w:rPr>
                <w:rFonts w:cstheme="minorHAnsi"/>
                <w:iCs/>
                <w:sz w:val="24"/>
                <w:szCs w:val="24"/>
              </w:rPr>
            </w:pPr>
          </w:p>
        </w:tc>
        <w:tc>
          <w:tcPr>
            <w:tcW w:w="1857" w:type="dxa"/>
            <w:shd w:val="clear" w:color="auto" w:fill="auto"/>
            <w:noWrap/>
          </w:tcPr>
          <w:p w14:paraId="4A41E15F" w14:textId="5563E902" w:rsidR="00B72969" w:rsidRPr="001552C0" w:rsidRDefault="00B72969" w:rsidP="002320ED">
            <w:pPr>
              <w:spacing w:line="240" w:lineRule="auto"/>
              <w:jc w:val="both"/>
              <w:rPr>
                <w:rFonts w:cstheme="minorHAnsi"/>
                <w:iCs/>
                <w:sz w:val="24"/>
                <w:szCs w:val="24"/>
              </w:rPr>
            </w:pPr>
            <w:r w:rsidRPr="001552C0">
              <w:rPr>
                <w:rFonts w:cstheme="minorHAnsi"/>
                <w:iCs/>
                <w:sz w:val="24"/>
                <w:szCs w:val="24"/>
              </w:rPr>
              <w:t>Less developed</w:t>
            </w:r>
          </w:p>
        </w:tc>
        <w:tc>
          <w:tcPr>
            <w:tcW w:w="1877" w:type="dxa"/>
            <w:vMerge/>
          </w:tcPr>
          <w:p w14:paraId="5C6FE8DB" w14:textId="77777777" w:rsidR="00B72969" w:rsidRPr="001552C0" w:rsidRDefault="00B72969" w:rsidP="004B2A6E">
            <w:pPr>
              <w:spacing w:line="240" w:lineRule="auto"/>
              <w:jc w:val="both"/>
              <w:rPr>
                <w:rFonts w:cstheme="minorHAnsi"/>
                <w:iCs/>
                <w:sz w:val="24"/>
                <w:szCs w:val="24"/>
              </w:rPr>
            </w:pPr>
          </w:p>
        </w:tc>
      </w:tr>
      <w:tr w:rsidR="00B96B06" w:rsidRPr="001552C0" w14:paraId="21BA4FFD" w14:textId="77777777" w:rsidTr="00EF29B2">
        <w:trPr>
          <w:trHeight w:val="150"/>
        </w:trPr>
        <w:tc>
          <w:tcPr>
            <w:tcW w:w="428" w:type="dxa"/>
            <w:vMerge w:val="restart"/>
            <w:shd w:val="clear" w:color="auto" w:fill="auto"/>
            <w:noWrap/>
          </w:tcPr>
          <w:p w14:paraId="0BE865EF" w14:textId="77777777" w:rsidR="00B72969" w:rsidRPr="001552C0" w:rsidRDefault="00B72969" w:rsidP="002320ED">
            <w:pPr>
              <w:spacing w:line="240" w:lineRule="auto"/>
              <w:jc w:val="both"/>
              <w:rPr>
                <w:rFonts w:cstheme="minorHAnsi"/>
                <w:iCs/>
                <w:sz w:val="24"/>
                <w:szCs w:val="24"/>
              </w:rPr>
            </w:pPr>
            <w:r w:rsidRPr="001552C0">
              <w:rPr>
                <w:rFonts w:cstheme="minorHAnsi"/>
                <w:iCs/>
                <w:sz w:val="24"/>
                <w:szCs w:val="24"/>
              </w:rPr>
              <w:t>3</w:t>
            </w:r>
          </w:p>
        </w:tc>
        <w:tc>
          <w:tcPr>
            <w:tcW w:w="2504" w:type="dxa"/>
            <w:vMerge w:val="restart"/>
            <w:shd w:val="clear" w:color="auto" w:fill="auto"/>
            <w:noWrap/>
          </w:tcPr>
          <w:p w14:paraId="6D9B42B6" w14:textId="51020AB3" w:rsidR="00B72969" w:rsidRPr="001552C0" w:rsidRDefault="002320ED" w:rsidP="000B6B9B">
            <w:pPr>
              <w:spacing w:line="240" w:lineRule="auto"/>
              <w:jc w:val="both"/>
              <w:rPr>
                <w:rFonts w:cstheme="minorHAnsi"/>
                <w:iCs/>
                <w:sz w:val="24"/>
                <w:szCs w:val="24"/>
              </w:rPr>
            </w:pPr>
            <w:r w:rsidRPr="001552C0">
              <w:rPr>
                <w:rFonts w:cstheme="minorHAnsi"/>
                <w:iCs/>
                <w:sz w:val="24"/>
                <w:szCs w:val="24"/>
              </w:rPr>
              <w:t xml:space="preserve">Prioritatea 3 - </w:t>
            </w:r>
            <w:r w:rsidRPr="001552C0">
              <w:rPr>
                <w:rFonts w:cstheme="minorHAnsi"/>
                <w:iCs/>
                <w:sz w:val="24"/>
                <w:szCs w:val="24"/>
              </w:rPr>
              <w:lastRenderedPageBreak/>
              <w:t xml:space="preserve">Protecţia mediului prin conservarea biodiversităţii, asigurarea calităţii aerului şi </w:t>
            </w:r>
            <w:r w:rsidR="000B6B9B" w:rsidRPr="001552C0">
              <w:rPr>
                <w:rFonts w:cstheme="minorHAnsi"/>
                <w:iCs/>
                <w:sz w:val="24"/>
                <w:szCs w:val="24"/>
              </w:rPr>
              <w:t xml:space="preserve">remediere </w:t>
            </w:r>
            <w:r w:rsidRPr="001552C0">
              <w:rPr>
                <w:rFonts w:cstheme="minorHAnsi"/>
                <w:iCs/>
                <w:sz w:val="24"/>
                <w:szCs w:val="24"/>
              </w:rPr>
              <w:t xml:space="preserve">a siturilor </w:t>
            </w:r>
            <w:r w:rsidR="000B6B9B" w:rsidRPr="001552C0">
              <w:rPr>
                <w:rFonts w:cstheme="minorHAnsi"/>
                <w:iCs/>
                <w:sz w:val="24"/>
                <w:szCs w:val="24"/>
              </w:rPr>
              <w:t>contaminate</w:t>
            </w:r>
          </w:p>
        </w:tc>
        <w:tc>
          <w:tcPr>
            <w:tcW w:w="528" w:type="dxa"/>
            <w:vMerge w:val="restart"/>
            <w:shd w:val="clear" w:color="auto" w:fill="auto"/>
            <w:noWrap/>
          </w:tcPr>
          <w:p w14:paraId="785B257E" w14:textId="77777777" w:rsidR="00B72969" w:rsidRPr="001552C0" w:rsidRDefault="00B72969" w:rsidP="002320ED">
            <w:pPr>
              <w:spacing w:line="240" w:lineRule="auto"/>
              <w:jc w:val="both"/>
              <w:rPr>
                <w:rFonts w:cstheme="minorHAnsi"/>
                <w:iCs/>
                <w:sz w:val="24"/>
                <w:szCs w:val="24"/>
              </w:rPr>
            </w:pPr>
            <w:r w:rsidRPr="001552C0">
              <w:rPr>
                <w:rFonts w:cstheme="minorHAnsi"/>
                <w:iCs/>
                <w:sz w:val="24"/>
                <w:szCs w:val="24"/>
              </w:rPr>
              <w:lastRenderedPageBreak/>
              <w:t>No</w:t>
            </w:r>
          </w:p>
        </w:tc>
        <w:tc>
          <w:tcPr>
            <w:tcW w:w="1610" w:type="dxa"/>
            <w:vMerge w:val="restart"/>
            <w:shd w:val="clear" w:color="auto" w:fill="auto"/>
            <w:noWrap/>
          </w:tcPr>
          <w:p w14:paraId="5BBA49D5" w14:textId="77777777" w:rsidR="00B72969" w:rsidRPr="001552C0" w:rsidRDefault="00B72969" w:rsidP="002320ED">
            <w:pPr>
              <w:spacing w:line="240" w:lineRule="auto"/>
              <w:jc w:val="both"/>
              <w:rPr>
                <w:rFonts w:cstheme="minorHAnsi"/>
                <w:iCs/>
                <w:sz w:val="24"/>
                <w:szCs w:val="24"/>
              </w:rPr>
            </w:pPr>
          </w:p>
        </w:tc>
        <w:tc>
          <w:tcPr>
            <w:tcW w:w="743" w:type="dxa"/>
            <w:vMerge w:val="restart"/>
            <w:shd w:val="clear" w:color="auto" w:fill="auto"/>
            <w:noWrap/>
          </w:tcPr>
          <w:p w14:paraId="14AF6259" w14:textId="5A7E5C0A" w:rsidR="00B72969" w:rsidRPr="001552C0" w:rsidRDefault="00B72969" w:rsidP="002320ED">
            <w:pPr>
              <w:spacing w:line="240" w:lineRule="auto"/>
              <w:jc w:val="both"/>
              <w:rPr>
                <w:rFonts w:cstheme="minorHAnsi"/>
                <w:iCs/>
                <w:sz w:val="24"/>
                <w:szCs w:val="24"/>
              </w:rPr>
            </w:pPr>
            <w:r w:rsidRPr="001552C0">
              <w:rPr>
                <w:rFonts w:cstheme="minorHAnsi"/>
                <w:iCs/>
                <w:sz w:val="24"/>
                <w:szCs w:val="24"/>
              </w:rPr>
              <w:t>ERD</w:t>
            </w:r>
            <w:r w:rsidRPr="001552C0">
              <w:rPr>
                <w:rFonts w:cstheme="minorHAnsi"/>
                <w:iCs/>
                <w:sz w:val="24"/>
                <w:szCs w:val="24"/>
              </w:rPr>
              <w:lastRenderedPageBreak/>
              <w:t>F</w:t>
            </w:r>
          </w:p>
        </w:tc>
        <w:tc>
          <w:tcPr>
            <w:tcW w:w="1857" w:type="dxa"/>
            <w:shd w:val="clear" w:color="auto" w:fill="auto"/>
            <w:noWrap/>
          </w:tcPr>
          <w:p w14:paraId="275CAE60" w14:textId="5557DC81" w:rsidR="00B72969" w:rsidRPr="001552C0" w:rsidRDefault="00B72969" w:rsidP="002320ED">
            <w:pPr>
              <w:spacing w:line="240" w:lineRule="auto"/>
              <w:jc w:val="both"/>
              <w:rPr>
                <w:rFonts w:cstheme="minorHAnsi"/>
                <w:iCs/>
                <w:sz w:val="24"/>
                <w:szCs w:val="24"/>
              </w:rPr>
            </w:pPr>
            <w:r w:rsidRPr="001552C0">
              <w:rPr>
                <w:rFonts w:cstheme="minorHAnsi"/>
                <w:iCs/>
                <w:sz w:val="24"/>
                <w:szCs w:val="24"/>
              </w:rPr>
              <w:lastRenderedPageBreak/>
              <w:t xml:space="preserve">More </w:t>
            </w:r>
            <w:r w:rsidRPr="001552C0">
              <w:rPr>
                <w:rFonts w:cstheme="minorHAnsi"/>
                <w:iCs/>
                <w:sz w:val="24"/>
                <w:szCs w:val="24"/>
              </w:rPr>
              <w:lastRenderedPageBreak/>
              <w:t>developed</w:t>
            </w:r>
          </w:p>
        </w:tc>
        <w:tc>
          <w:tcPr>
            <w:tcW w:w="1877" w:type="dxa"/>
            <w:vMerge w:val="restart"/>
          </w:tcPr>
          <w:p w14:paraId="299A5BA3" w14:textId="73C4758B" w:rsidR="00B72969" w:rsidRPr="001552C0" w:rsidRDefault="004B2A6E" w:rsidP="004B2A6E">
            <w:pPr>
              <w:spacing w:line="240" w:lineRule="auto"/>
              <w:jc w:val="both"/>
              <w:rPr>
                <w:rFonts w:cstheme="minorHAnsi"/>
                <w:iCs/>
                <w:sz w:val="24"/>
                <w:szCs w:val="24"/>
              </w:rPr>
            </w:pPr>
            <w:r w:rsidRPr="001552C0">
              <w:rPr>
                <w:rFonts w:cstheme="minorHAnsi"/>
                <w:iCs/>
                <w:sz w:val="24"/>
                <w:szCs w:val="24"/>
              </w:rPr>
              <w:lastRenderedPageBreak/>
              <w:t xml:space="preserve">OS (vii) </w:t>
            </w:r>
            <w:r w:rsidRPr="001552C0">
              <w:rPr>
                <w:rFonts w:cstheme="minorHAnsi"/>
                <w:iCs/>
                <w:sz w:val="24"/>
                <w:szCs w:val="24"/>
              </w:rPr>
              <w:lastRenderedPageBreak/>
              <w:t>Îmbunătățirea protecției naturii și a biodiversității, a infrastructurii verzi în special în mediul urban și reducerea poluării</w:t>
            </w:r>
            <w:r w:rsidR="000B6B9B" w:rsidRPr="001552C0">
              <w:rPr>
                <w:rFonts w:cstheme="minorHAnsi"/>
                <w:iCs/>
                <w:sz w:val="24"/>
                <w:szCs w:val="24"/>
              </w:rPr>
              <w:t>/contaminării</w:t>
            </w:r>
          </w:p>
        </w:tc>
      </w:tr>
      <w:tr w:rsidR="00B96B06" w:rsidRPr="001552C0" w14:paraId="6E895251" w14:textId="77777777" w:rsidTr="00EF29B2">
        <w:trPr>
          <w:trHeight w:val="150"/>
        </w:trPr>
        <w:tc>
          <w:tcPr>
            <w:tcW w:w="428" w:type="dxa"/>
            <w:vMerge/>
            <w:shd w:val="clear" w:color="auto" w:fill="auto"/>
            <w:noWrap/>
          </w:tcPr>
          <w:p w14:paraId="12163DB9" w14:textId="77777777" w:rsidR="00B72969" w:rsidRPr="001552C0" w:rsidRDefault="00B72969" w:rsidP="002320ED">
            <w:pPr>
              <w:spacing w:line="240" w:lineRule="auto"/>
              <w:jc w:val="both"/>
              <w:rPr>
                <w:rFonts w:cstheme="minorHAnsi"/>
                <w:iCs/>
                <w:sz w:val="24"/>
                <w:szCs w:val="24"/>
              </w:rPr>
            </w:pPr>
          </w:p>
        </w:tc>
        <w:tc>
          <w:tcPr>
            <w:tcW w:w="2504" w:type="dxa"/>
            <w:vMerge/>
            <w:shd w:val="clear" w:color="auto" w:fill="auto"/>
            <w:noWrap/>
          </w:tcPr>
          <w:p w14:paraId="7A4A93BB" w14:textId="77777777" w:rsidR="00B72969" w:rsidRPr="001552C0" w:rsidRDefault="00B72969" w:rsidP="002320ED">
            <w:pPr>
              <w:spacing w:line="240" w:lineRule="auto"/>
              <w:jc w:val="both"/>
              <w:rPr>
                <w:rFonts w:cstheme="minorHAnsi"/>
                <w:iCs/>
                <w:sz w:val="24"/>
                <w:szCs w:val="24"/>
              </w:rPr>
            </w:pPr>
          </w:p>
        </w:tc>
        <w:tc>
          <w:tcPr>
            <w:tcW w:w="528" w:type="dxa"/>
            <w:vMerge/>
            <w:shd w:val="clear" w:color="auto" w:fill="auto"/>
            <w:noWrap/>
          </w:tcPr>
          <w:p w14:paraId="1A126F9C" w14:textId="77777777" w:rsidR="00B72969" w:rsidRPr="001552C0" w:rsidRDefault="00B72969" w:rsidP="002320ED">
            <w:pPr>
              <w:spacing w:line="240" w:lineRule="auto"/>
              <w:jc w:val="both"/>
              <w:rPr>
                <w:rFonts w:cstheme="minorHAnsi"/>
                <w:iCs/>
                <w:sz w:val="24"/>
                <w:szCs w:val="24"/>
              </w:rPr>
            </w:pPr>
          </w:p>
        </w:tc>
        <w:tc>
          <w:tcPr>
            <w:tcW w:w="1610" w:type="dxa"/>
            <w:vMerge/>
            <w:shd w:val="clear" w:color="auto" w:fill="auto"/>
            <w:noWrap/>
          </w:tcPr>
          <w:p w14:paraId="5050851E" w14:textId="77777777" w:rsidR="00B72969" w:rsidRPr="001552C0" w:rsidRDefault="00B72969" w:rsidP="002320ED">
            <w:pPr>
              <w:spacing w:line="240" w:lineRule="auto"/>
              <w:jc w:val="both"/>
              <w:rPr>
                <w:rFonts w:cstheme="minorHAnsi"/>
                <w:iCs/>
                <w:sz w:val="24"/>
                <w:szCs w:val="24"/>
              </w:rPr>
            </w:pPr>
          </w:p>
        </w:tc>
        <w:tc>
          <w:tcPr>
            <w:tcW w:w="743" w:type="dxa"/>
            <w:vMerge/>
            <w:shd w:val="clear" w:color="auto" w:fill="auto"/>
            <w:noWrap/>
          </w:tcPr>
          <w:p w14:paraId="3C0FBABF" w14:textId="77777777" w:rsidR="00B72969" w:rsidRPr="001552C0" w:rsidRDefault="00B72969" w:rsidP="002320ED">
            <w:pPr>
              <w:spacing w:line="240" w:lineRule="auto"/>
              <w:jc w:val="both"/>
              <w:rPr>
                <w:rFonts w:cstheme="minorHAnsi"/>
                <w:iCs/>
                <w:sz w:val="24"/>
                <w:szCs w:val="24"/>
              </w:rPr>
            </w:pPr>
          </w:p>
        </w:tc>
        <w:tc>
          <w:tcPr>
            <w:tcW w:w="1857" w:type="dxa"/>
            <w:shd w:val="clear" w:color="auto" w:fill="auto"/>
            <w:noWrap/>
          </w:tcPr>
          <w:p w14:paraId="427C0BFA" w14:textId="26B32A97" w:rsidR="00B72969" w:rsidRPr="001552C0" w:rsidRDefault="00B72969" w:rsidP="002320ED">
            <w:pPr>
              <w:spacing w:line="240" w:lineRule="auto"/>
              <w:jc w:val="both"/>
              <w:rPr>
                <w:rFonts w:cstheme="minorHAnsi"/>
                <w:iCs/>
                <w:sz w:val="24"/>
                <w:szCs w:val="24"/>
              </w:rPr>
            </w:pPr>
            <w:r w:rsidRPr="001552C0">
              <w:rPr>
                <w:rFonts w:cstheme="minorHAnsi"/>
                <w:iCs/>
                <w:sz w:val="24"/>
                <w:szCs w:val="24"/>
              </w:rPr>
              <w:t>Less developed</w:t>
            </w:r>
          </w:p>
        </w:tc>
        <w:tc>
          <w:tcPr>
            <w:tcW w:w="1877" w:type="dxa"/>
            <w:vMerge/>
          </w:tcPr>
          <w:p w14:paraId="2BE44073" w14:textId="77777777" w:rsidR="00B72969" w:rsidRPr="001552C0" w:rsidRDefault="00B72969" w:rsidP="00F000AD">
            <w:pPr>
              <w:spacing w:after="0"/>
              <w:jc w:val="center"/>
              <w:rPr>
                <w:rFonts w:ascii="Times New Roman" w:hAnsi="Times New Roman" w:cs="Times New Roman"/>
                <w:noProof/>
                <w:sz w:val="20"/>
                <w:szCs w:val="20"/>
              </w:rPr>
            </w:pPr>
          </w:p>
        </w:tc>
      </w:tr>
      <w:tr w:rsidR="00B96B06" w:rsidRPr="001552C0" w14:paraId="61A953D2" w14:textId="77777777" w:rsidTr="00EF29B2">
        <w:trPr>
          <w:trHeight w:val="135"/>
        </w:trPr>
        <w:tc>
          <w:tcPr>
            <w:tcW w:w="428" w:type="dxa"/>
            <w:vMerge w:val="restart"/>
            <w:shd w:val="clear" w:color="auto" w:fill="auto"/>
            <w:noWrap/>
          </w:tcPr>
          <w:p w14:paraId="24B8BCC5" w14:textId="28BAABA8" w:rsidR="00B72969" w:rsidRPr="001552C0" w:rsidRDefault="00AE0DEB" w:rsidP="002320ED">
            <w:pPr>
              <w:spacing w:line="240" w:lineRule="auto"/>
              <w:jc w:val="both"/>
              <w:rPr>
                <w:rFonts w:cstheme="minorHAnsi"/>
                <w:iCs/>
                <w:sz w:val="24"/>
                <w:szCs w:val="24"/>
              </w:rPr>
            </w:pPr>
            <w:r w:rsidRPr="001552C0">
              <w:rPr>
                <w:rFonts w:cstheme="minorHAnsi"/>
                <w:iCs/>
                <w:sz w:val="24"/>
                <w:szCs w:val="24"/>
              </w:rPr>
              <w:t>4</w:t>
            </w:r>
          </w:p>
        </w:tc>
        <w:tc>
          <w:tcPr>
            <w:tcW w:w="2504" w:type="dxa"/>
            <w:vMerge w:val="restart"/>
            <w:shd w:val="clear" w:color="auto" w:fill="auto"/>
            <w:noWrap/>
          </w:tcPr>
          <w:p w14:paraId="5E2E935A" w14:textId="7C31E271" w:rsidR="00B72969" w:rsidRPr="001552C0" w:rsidRDefault="002320ED" w:rsidP="001E11D3">
            <w:pPr>
              <w:spacing w:line="240" w:lineRule="auto"/>
              <w:jc w:val="both"/>
              <w:rPr>
                <w:rFonts w:cstheme="minorHAnsi"/>
                <w:iCs/>
                <w:sz w:val="24"/>
                <w:szCs w:val="24"/>
              </w:rPr>
            </w:pPr>
            <w:r w:rsidRPr="001552C0">
              <w:rPr>
                <w:rFonts w:cstheme="minorHAnsi"/>
                <w:iCs/>
                <w:sz w:val="24"/>
                <w:szCs w:val="24"/>
              </w:rPr>
              <w:t>Prioritatea 4 - Promovarea adap</w:t>
            </w:r>
            <w:r w:rsidR="001E11D3" w:rsidRPr="001552C0">
              <w:rPr>
                <w:rFonts w:cstheme="minorHAnsi"/>
                <w:iCs/>
                <w:sz w:val="24"/>
                <w:szCs w:val="24"/>
              </w:rPr>
              <w:t>tării la schimbările climatice</w:t>
            </w:r>
            <w:r w:rsidRPr="001552C0">
              <w:rPr>
                <w:rFonts w:cstheme="minorHAnsi"/>
                <w:iCs/>
                <w:sz w:val="24"/>
                <w:szCs w:val="24"/>
              </w:rPr>
              <w:t xml:space="preserve"> şi</w:t>
            </w:r>
            <w:r w:rsidR="001E11D3" w:rsidRPr="001552C0">
              <w:rPr>
                <w:rFonts w:cstheme="minorHAnsi"/>
                <w:iCs/>
                <w:sz w:val="24"/>
                <w:szCs w:val="24"/>
              </w:rPr>
              <w:t xml:space="preserve"> managementul </w:t>
            </w:r>
            <w:r w:rsidRPr="001552C0">
              <w:rPr>
                <w:rFonts w:cstheme="minorHAnsi"/>
                <w:iCs/>
                <w:sz w:val="24"/>
                <w:szCs w:val="24"/>
              </w:rPr>
              <w:t>riscurilor</w:t>
            </w:r>
          </w:p>
        </w:tc>
        <w:tc>
          <w:tcPr>
            <w:tcW w:w="528" w:type="dxa"/>
            <w:vMerge w:val="restart"/>
            <w:shd w:val="clear" w:color="auto" w:fill="auto"/>
            <w:noWrap/>
          </w:tcPr>
          <w:p w14:paraId="3BD7CFF8" w14:textId="78817DEB" w:rsidR="00B72969" w:rsidRPr="001552C0" w:rsidRDefault="00AE0DEB" w:rsidP="002320ED">
            <w:pPr>
              <w:spacing w:line="240" w:lineRule="auto"/>
              <w:jc w:val="both"/>
              <w:rPr>
                <w:rFonts w:cstheme="minorHAnsi"/>
                <w:iCs/>
                <w:sz w:val="24"/>
                <w:szCs w:val="24"/>
              </w:rPr>
            </w:pPr>
            <w:r w:rsidRPr="001552C0">
              <w:rPr>
                <w:rFonts w:cstheme="minorHAnsi"/>
                <w:iCs/>
                <w:sz w:val="24"/>
                <w:szCs w:val="24"/>
              </w:rPr>
              <w:t>No</w:t>
            </w:r>
          </w:p>
        </w:tc>
        <w:tc>
          <w:tcPr>
            <w:tcW w:w="1610" w:type="dxa"/>
            <w:vMerge w:val="restart"/>
            <w:shd w:val="clear" w:color="auto" w:fill="auto"/>
            <w:noWrap/>
          </w:tcPr>
          <w:p w14:paraId="615222A0" w14:textId="77777777" w:rsidR="00B72969" w:rsidRPr="001552C0" w:rsidRDefault="00B72969" w:rsidP="002320ED">
            <w:pPr>
              <w:spacing w:line="240" w:lineRule="auto"/>
              <w:jc w:val="both"/>
              <w:rPr>
                <w:rFonts w:cstheme="minorHAnsi"/>
                <w:iCs/>
                <w:sz w:val="24"/>
                <w:szCs w:val="24"/>
              </w:rPr>
            </w:pPr>
          </w:p>
        </w:tc>
        <w:tc>
          <w:tcPr>
            <w:tcW w:w="743" w:type="dxa"/>
            <w:vMerge w:val="restart"/>
            <w:shd w:val="clear" w:color="auto" w:fill="auto"/>
            <w:noWrap/>
          </w:tcPr>
          <w:p w14:paraId="2707438C" w14:textId="3C9DD5A8" w:rsidR="00B72969" w:rsidRPr="001552C0" w:rsidRDefault="00B72969" w:rsidP="002320ED">
            <w:pPr>
              <w:spacing w:line="240" w:lineRule="auto"/>
              <w:jc w:val="both"/>
              <w:rPr>
                <w:rFonts w:cstheme="minorHAnsi"/>
                <w:iCs/>
                <w:sz w:val="24"/>
                <w:szCs w:val="24"/>
              </w:rPr>
            </w:pPr>
            <w:r w:rsidRPr="001552C0">
              <w:rPr>
                <w:rFonts w:cstheme="minorHAnsi"/>
                <w:iCs/>
                <w:sz w:val="24"/>
                <w:szCs w:val="24"/>
              </w:rPr>
              <w:t>ERDF</w:t>
            </w:r>
          </w:p>
        </w:tc>
        <w:tc>
          <w:tcPr>
            <w:tcW w:w="1857" w:type="dxa"/>
            <w:shd w:val="clear" w:color="auto" w:fill="auto"/>
            <w:noWrap/>
          </w:tcPr>
          <w:p w14:paraId="5CB70928" w14:textId="47C7A533" w:rsidR="00B72969" w:rsidRPr="001552C0" w:rsidRDefault="00B72969" w:rsidP="002320ED">
            <w:pPr>
              <w:spacing w:line="240" w:lineRule="auto"/>
              <w:jc w:val="both"/>
              <w:rPr>
                <w:rFonts w:cstheme="minorHAnsi"/>
                <w:iCs/>
                <w:sz w:val="24"/>
                <w:szCs w:val="24"/>
              </w:rPr>
            </w:pPr>
            <w:r w:rsidRPr="001552C0">
              <w:rPr>
                <w:rFonts w:cstheme="minorHAnsi"/>
                <w:iCs/>
                <w:sz w:val="24"/>
                <w:szCs w:val="24"/>
              </w:rPr>
              <w:t>More developed</w:t>
            </w:r>
          </w:p>
        </w:tc>
        <w:tc>
          <w:tcPr>
            <w:tcW w:w="1877" w:type="dxa"/>
            <w:vMerge w:val="restart"/>
          </w:tcPr>
          <w:p w14:paraId="74E71F51" w14:textId="23C5B79E" w:rsidR="00B72969" w:rsidRPr="001552C0" w:rsidRDefault="00C91726" w:rsidP="00E1462F">
            <w:pPr>
              <w:spacing w:line="240" w:lineRule="auto"/>
              <w:jc w:val="both"/>
              <w:rPr>
                <w:rFonts w:cstheme="minorHAnsi"/>
                <w:iCs/>
                <w:sz w:val="24"/>
                <w:szCs w:val="24"/>
              </w:rPr>
            </w:pPr>
            <w:r w:rsidRPr="001552C0">
              <w:rPr>
                <w:rFonts w:cstheme="minorHAnsi"/>
                <w:iCs/>
                <w:sz w:val="24"/>
                <w:szCs w:val="24"/>
              </w:rPr>
              <w:t>Obiectiv specific FEDR/FC (iv) Promovarea adaptării la schimbările climatice, a preveni</w:t>
            </w:r>
            <w:r w:rsidR="00E1462F" w:rsidRPr="001552C0">
              <w:rPr>
                <w:rFonts w:cstheme="minorHAnsi"/>
                <w:iCs/>
                <w:sz w:val="24"/>
                <w:szCs w:val="24"/>
              </w:rPr>
              <w:t>r</w:t>
            </w:r>
            <w:r w:rsidRPr="001552C0">
              <w:rPr>
                <w:rFonts w:cstheme="minorHAnsi"/>
                <w:iCs/>
                <w:sz w:val="24"/>
                <w:szCs w:val="24"/>
              </w:rPr>
              <w:t>ii riscurilor și a rezilienței în urma dezastrelor</w:t>
            </w:r>
          </w:p>
        </w:tc>
      </w:tr>
      <w:tr w:rsidR="00B72969" w:rsidRPr="001552C0" w14:paraId="54CD2DAB" w14:textId="77777777" w:rsidTr="00EF29B2">
        <w:trPr>
          <w:trHeight w:val="135"/>
        </w:trPr>
        <w:tc>
          <w:tcPr>
            <w:tcW w:w="428" w:type="dxa"/>
            <w:vMerge/>
            <w:shd w:val="clear" w:color="auto" w:fill="auto"/>
            <w:noWrap/>
          </w:tcPr>
          <w:p w14:paraId="120FD86D" w14:textId="77777777" w:rsidR="00B72969" w:rsidRPr="001552C0" w:rsidRDefault="00B72969" w:rsidP="002320ED">
            <w:pPr>
              <w:spacing w:line="240" w:lineRule="auto"/>
              <w:jc w:val="both"/>
              <w:rPr>
                <w:rFonts w:cstheme="minorHAnsi"/>
                <w:iCs/>
                <w:sz w:val="24"/>
                <w:szCs w:val="24"/>
              </w:rPr>
            </w:pPr>
          </w:p>
        </w:tc>
        <w:tc>
          <w:tcPr>
            <w:tcW w:w="2504" w:type="dxa"/>
            <w:vMerge/>
            <w:shd w:val="clear" w:color="auto" w:fill="auto"/>
            <w:noWrap/>
          </w:tcPr>
          <w:p w14:paraId="04EE8DF7" w14:textId="77777777" w:rsidR="00B72969" w:rsidRPr="001552C0" w:rsidRDefault="00B72969" w:rsidP="002320ED">
            <w:pPr>
              <w:spacing w:line="240" w:lineRule="auto"/>
              <w:jc w:val="both"/>
              <w:rPr>
                <w:rFonts w:cstheme="minorHAnsi"/>
                <w:iCs/>
                <w:sz w:val="24"/>
                <w:szCs w:val="24"/>
              </w:rPr>
            </w:pPr>
          </w:p>
        </w:tc>
        <w:tc>
          <w:tcPr>
            <w:tcW w:w="528" w:type="dxa"/>
            <w:vMerge/>
            <w:shd w:val="clear" w:color="auto" w:fill="auto"/>
            <w:noWrap/>
          </w:tcPr>
          <w:p w14:paraId="4EC8F154" w14:textId="77777777" w:rsidR="00B72969" w:rsidRPr="001552C0" w:rsidRDefault="00B72969" w:rsidP="002320ED">
            <w:pPr>
              <w:spacing w:line="240" w:lineRule="auto"/>
              <w:jc w:val="both"/>
              <w:rPr>
                <w:rFonts w:cstheme="minorHAnsi"/>
                <w:iCs/>
                <w:sz w:val="24"/>
                <w:szCs w:val="24"/>
              </w:rPr>
            </w:pPr>
          </w:p>
        </w:tc>
        <w:tc>
          <w:tcPr>
            <w:tcW w:w="1610" w:type="dxa"/>
            <w:vMerge/>
            <w:shd w:val="clear" w:color="auto" w:fill="auto"/>
            <w:noWrap/>
          </w:tcPr>
          <w:p w14:paraId="0DDF10FD" w14:textId="77777777" w:rsidR="00B72969" w:rsidRPr="001552C0" w:rsidRDefault="00B72969" w:rsidP="002320ED">
            <w:pPr>
              <w:spacing w:line="240" w:lineRule="auto"/>
              <w:jc w:val="both"/>
              <w:rPr>
                <w:rFonts w:cstheme="minorHAnsi"/>
                <w:iCs/>
                <w:sz w:val="24"/>
                <w:szCs w:val="24"/>
              </w:rPr>
            </w:pPr>
          </w:p>
        </w:tc>
        <w:tc>
          <w:tcPr>
            <w:tcW w:w="743" w:type="dxa"/>
            <w:vMerge/>
            <w:shd w:val="clear" w:color="auto" w:fill="auto"/>
            <w:noWrap/>
          </w:tcPr>
          <w:p w14:paraId="419B7BD9" w14:textId="77777777" w:rsidR="00B72969" w:rsidRPr="001552C0" w:rsidRDefault="00B72969" w:rsidP="002320ED">
            <w:pPr>
              <w:spacing w:line="240" w:lineRule="auto"/>
              <w:jc w:val="both"/>
              <w:rPr>
                <w:rFonts w:cstheme="minorHAnsi"/>
                <w:iCs/>
                <w:sz w:val="24"/>
                <w:szCs w:val="24"/>
              </w:rPr>
            </w:pPr>
          </w:p>
        </w:tc>
        <w:tc>
          <w:tcPr>
            <w:tcW w:w="1857" w:type="dxa"/>
            <w:shd w:val="clear" w:color="auto" w:fill="auto"/>
            <w:noWrap/>
          </w:tcPr>
          <w:p w14:paraId="04EB07AE" w14:textId="51198133" w:rsidR="00B72969" w:rsidRPr="001552C0" w:rsidRDefault="00B72969" w:rsidP="002320ED">
            <w:pPr>
              <w:spacing w:line="240" w:lineRule="auto"/>
              <w:jc w:val="both"/>
              <w:rPr>
                <w:rFonts w:cstheme="minorHAnsi"/>
                <w:iCs/>
                <w:sz w:val="24"/>
                <w:szCs w:val="24"/>
              </w:rPr>
            </w:pPr>
            <w:r w:rsidRPr="001552C0">
              <w:rPr>
                <w:rFonts w:cstheme="minorHAnsi"/>
                <w:iCs/>
                <w:sz w:val="24"/>
                <w:szCs w:val="24"/>
              </w:rPr>
              <w:t>Less developed</w:t>
            </w:r>
          </w:p>
        </w:tc>
        <w:tc>
          <w:tcPr>
            <w:tcW w:w="1877" w:type="dxa"/>
            <w:vMerge/>
          </w:tcPr>
          <w:p w14:paraId="47925B81" w14:textId="77777777" w:rsidR="00B72969" w:rsidRPr="001552C0" w:rsidRDefault="00B72969" w:rsidP="00F000AD">
            <w:pPr>
              <w:spacing w:after="0"/>
              <w:jc w:val="center"/>
              <w:rPr>
                <w:rFonts w:ascii="Times New Roman" w:hAnsi="Times New Roman" w:cs="Times New Roman"/>
                <w:noProof/>
                <w:sz w:val="20"/>
                <w:szCs w:val="20"/>
              </w:rPr>
            </w:pPr>
          </w:p>
        </w:tc>
      </w:tr>
    </w:tbl>
    <w:p w14:paraId="62929D4E" w14:textId="77777777" w:rsidR="005328E5" w:rsidRPr="001552C0" w:rsidRDefault="005328E5" w:rsidP="00F000AD">
      <w:pPr>
        <w:rPr>
          <w:b/>
        </w:rPr>
      </w:pPr>
    </w:p>
    <w:p w14:paraId="6A41ADD3" w14:textId="77777777" w:rsidR="00F000AD" w:rsidRPr="001552C0" w:rsidRDefault="00F000AD" w:rsidP="00F000AD">
      <w:pPr>
        <w:rPr>
          <w:b/>
        </w:rPr>
      </w:pPr>
      <w:r w:rsidRPr="001552C0">
        <w:rPr>
          <w:b/>
        </w:rPr>
        <w:t>2.A Priorities other than technical assistance</w:t>
      </w:r>
    </w:p>
    <w:p w14:paraId="1DCE0EB3" w14:textId="77777777" w:rsidR="007532ED" w:rsidRPr="001552C0" w:rsidRDefault="00CC326A" w:rsidP="007532ED">
      <w:r w:rsidRPr="001552C0">
        <w:rPr>
          <w:b/>
        </w:rPr>
        <w:t xml:space="preserve">2.A.1 Title of the priority [300] </w:t>
      </w:r>
      <w:r w:rsidRPr="001552C0">
        <w:t>(repeated for each priority)*</w:t>
      </w:r>
    </w:p>
    <w:p w14:paraId="0D32B214" w14:textId="40EACF35" w:rsidR="00C0095D" w:rsidRPr="001552C0" w:rsidRDefault="00C0095D" w:rsidP="007532ED">
      <w:r w:rsidRPr="001552C0">
        <w:rPr>
          <w:rFonts w:eastAsia="Times New Roman" w:cstheme="minorHAnsi"/>
          <w:b/>
          <w:i/>
          <w:iCs/>
          <w:noProof/>
          <w:szCs w:val="24"/>
        </w:rPr>
        <w:t>1</w:t>
      </w:r>
      <w:r w:rsidR="00845307" w:rsidRPr="001552C0">
        <w:rPr>
          <w:rFonts w:eastAsia="Times New Roman" w:cstheme="minorHAnsi"/>
          <w:b/>
          <w:i/>
          <w:iCs/>
          <w:noProof/>
          <w:szCs w:val="24"/>
        </w:rPr>
        <w:t xml:space="preserve">. </w:t>
      </w:r>
      <w:r w:rsidRPr="001552C0">
        <w:rPr>
          <w:rFonts w:eastAsia="Times New Roman" w:cstheme="minorHAnsi"/>
          <w:b/>
          <w:i/>
          <w:iCs/>
          <w:noProof/>
          <w:szCs w:val="24"/>
        </w:rPr>
        <w:t>Promovarea eficienței energetice, a sistemelor și rețelelor inteligente de energie și a soluțiilor de stocare</w:t>
      </w:r>
    </w:p>
    <w:p w14:paraId="768D8883" w14:textId="77777777" w:rsidR="00F000AD" w:rsidRPr="001552C0" w:rsidRDefault="00F000AD" w:rsidP="00F000AD">
      <w:pPr>
        <w:rPr>
          <w:b/>
          <w:iCs/>
        </w:rPr>
      </w:pPr>
      <w:r w:rsidRPr="001552C0">
        <w:rPr>
          <w:b/>
          <w:iCs/>
        </w:rPr>
        <w:t xml:space="preserve">2.A.2 Indicative breakdown of the programmed resources (EU) by type of intervention </w:t>
      </w:r>
      <w:r w:rsidRPr="001552C0">
        <w:rPr>
          <w:iCs/>
        </w:rPr>
        <w:t xml:space="preserve">(not applicable to the EMFF) </w:t>
      </w:r>
      <w:r w:rsidRPr="001552C0">
        <w:rPr>
          <w:i/>
        </w:rPr>
        <w:t>[This was point 2.1.1.3 in the Commission proposal and has been moved up following changes in Article 17(3)(c) CPR]</w:t>
      </w:r>
    </w:p>
    <w:p w14:paraId="2EBB12C9" w14:textId="77777777" w:rsidR="00F000AD" w:rsidRPr="001552C0" w:rsidRDefault="00F000AD" w:rsidP="00F000AD">
      <w:pPr>
        <w:rPr>
          <w:b/>
          <w:i/>
          <w:iCs/>
        </w:rPr>
      </w:pPr>
      <w:r w:rsidRPr="001552C0">
        <w:rPr>
          <w:i/>
        </w:rPr>
        <w:t>Reference: Article 17(3)(c)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275"/>
        <w:gridCol w:w="4395"/>
        <w:gridCol w:w="1559"/>
      </w:tblGrid>
      <w:tr w:rsidR="00B96B06" w:rsidRPr="001552C0" w14:paraId="13639F04" w14:textId="77777777" w:rsidTr="00C43411">
        <w:tc>
          <w:tcPr>
            <w:tcW w:w="9464" w:type="dxa"/>
            <w:gridSpan w:val="5"/>
            <w:tcBorders>
              <w:top w:val="single" w:sz="4" w:space="0" w:color="auto"/>
              <w:left w:val="single" w:sz="4" w:space="0" w:color="auto"/>
              <w:bottom w:val="single" w:sz="4" w:space="0" w:color="auto"/>
              <w:right w:val="single" w:sz="4" w:space="0" w:color="auto"/>
            </w:tcBorders>
            <w:hideMark/>
          </w:tcPr>
          <w:p w14:paraId="59CC72F9" w14:textId="77777777" w:rsidR="00F000AD" w:rsidRPr="001552C0" w:rsidRDefault="00F000AD" w:rsidP="00F000AD">
            <w:pPr>
              <w:rPr>
                <w:b/>
                <w:iCs/>
              </w:rPr>
            </w:pPr>
            <w:r w:rsidRPr="001552C0">
              <w:rPr>
                <w:b/>
                <w:iCs/>
              </w:rPr>
              <w:t>Table 4: Dimension 1 – intervention field</w:t>
            </w:r>
          </w:p>
        </w:tc>
      </w:tr>
      <w:tr w:rsidR="00B96B06" w:rsidRPr="001552C0" w14:paraId="551D99C1" w14:textId="77777777" w:rsidTr="00C43411">
        <w:tc>
          <w:tcPr>
            <w:tcW w:w="1526" w:type="dxa"/>
            <w:tcBorders>
              <w:top w:val="single" w:sz="4" w:space="0" w:color="auto"/>
              <w:left w:val="single" w:sz="4" w:space="0" w:color="auto"/>
              <w:bottom w:val="single" w:sz="4" w:space="0" w:color="auto"/>
              <w:right w:val="single" w:sz="4" w:space="0" w:color="auto"/>
            </w:tcBorders>
            <w:hideMark/>
          </w:tcPr>
          <w:p w14:paraId="6FD806C9" w14:textId="77777777" w:rsidR="00F000AD" w:rsidRPr="001552C0" w:rsidRDefault="00F000AD" w:rsidP="00F000AD">
            <w:pPr>
              <w:rPr>
                <w:b/>
                <w:iCs/>
              </w:rPr>
            </w:pPr>
            <w:r w:rsidRPr="001552C0">
              <w:rPr>
                <w:b/>
                <w:iCs/>
              </w:rPr>
              <w:t>Priority No</w:t>
            </w:r>
          </w:p>
        </w:tc>
        <w:tc>
          <w:tcPr>
            <w:tcW w:w="709" w:type="dxa"/>
            <w:tcBorders>
              <w:top w:val="single" w:sz="4" w:space="0" w:color="auto"/>
              <w:left w:val="single" w:sz="4" w:space="0" w:color="auto"/>
              <w:bottom w:val="single" w:sz="4" w:space="0" w:color="auto"/>
              <w:right w:val="single" w:sz="4" w:space="0" w:color="auto"/>
            </w:tcBorders>
            <w:hideMark/>
          </w:tcPr>
          <w:p w14:paraId="4D893EE9" w14:textId="77777777" w:rsidR="00F000AD" w:rsidRPr="001552C0" w:rsidRDefault="00F000AD" w:rsidP="00F000AD">
            <w:pPr>
              <w:rPr>
                <w:b/>
                <w:iCs/>
              </w:rPr>
            </w:pPr>
            <w:r w:rsidRPr="001552C0">
              <w:rPr>
                <w:b/>
                <w:iCs/>
              </w:rPr>
              <w:t>Fund</w:t>
            </w:r>
          </w:p>
        </w:tc>
        <w:tc>
          <w:tcPr>
            <w:tcW w:w="1275" w:type="dxa"/>
            <w:tcBorders>
              <w:top w:val="single" w:sz="4" w:space="0" w:color="auto"/>
              <w:left w:val="single" w:sz="4" w:space="0" w:color="auto"/>
              <w:bottom w:val="single" w:sz="4" w:space="0" w:color="auto"/>
              <w:right w:val="single" w:sz="4" w:space="0" w:color="auto"/>
            </w:tcBorders>
            <w:hideMark/>
          </w:tcPr>
          <w:p w14:paraId="253F4E15" w14:textId="77777777" w:rsidR="00F000AD" w:rsidRPr="001552C0" w:rsidRDefault="00F000AD" w:rsidP="00F000AD">
            <w:pPr>
              <w:rPr>
                <w:b/>
                <w:iCs/>
              </w:rPr>
            </w:pPr>
            <w:r w:rsidRPr="001552C0">
              <w:rPr>
                <w:b/>
                <w:iCs/>
              </w:rPr>
              <w:t>Category of region</w:t>
            </w:r>
            <w:r w:rsidRPr="001552C0">
              <w:rPr>
                <w:b/>
                <w:iCs/>
                <w:vertAlign w:val="superscript"/>
              </w:rPr>
              <w:footnoteReference w:id="1"/>
            </w:r>
          </w:p>
        </w:tc>
        <w:tc>
          <w:tcPr>
            <w:tcW w:w="4395" w:type="dxa"/>
            <w:tcBorders>
              <w:top w:val="single" w:sz="4" w:space="0" w:color="auto"/>
              <w:left w:val="single" w:sz="4" w:space="0" w:color="auto"/>
              <w:bottom w:val="single" w:sz="4" w:space="0" w:color="auto"/>
              <w:right w:val="single" w:sz="4" w:space="0" w:color="auto"/>
            </w:tcBorders>
            <w:hideMark/>
          </w:tcPr>
          <w:p w14:paraId="08A34284" w14:textId="77777777" w:rsidR="00F000AD" w:rsidRPr="001552C0" w:rsidRDefault="00F000AD" w:rsidP="00F000AD">
            <w:pPr>
              <w:rPr>
                <w:b/>
                <w:iCs/>
              </w:rPr>
            </w:pPr>
            <w:r w:rsidRPr="001552C0">
              <w:rPr>
                <w:b/>
                <w:iCs/>
              </w:rPr>
              <w:t xml:space="preserve">Code </w:t>
            </w:r>
          </w:p>
        </w:tc>
        <w:tc>
          <w:tcPr>
            <w:tcW w:w="1559" w:type="dxa"/>
            <w:tcBorders>
              <w:top w:val="single" w:sz="4" w:space="0" w:color="auto"/>
              <w:left w:val="single" w:sz="4" w:space="0" w:color="auto"/>
              <w:bottom w:val="single" w:sz="4" w:space="0" w:color="auto"/>
              <w:right w:val="single" w:sz="4" w:space="0" w:color="auto"/>
            </w:tcBorders>
            <w:hideMark/>
          </w:tcPr>
          <w:p w14:paraId="7A3B6EFB" w14:textId="77777777" w:rsidR="00F000AD" w:rsidRPr="001552C0" w:rsidRDefault="00F000AD" w:rsidP="00F000AD">
            <w:pPr>
              <w:rPr>
                <w:b/>
                <w:iCs/>
              </w:rPr>
            </w:pPr>
            <w:r w:rsidRPr="001552C0">
              <w:rPr>
                <w:b/>
                <w:iCs/>
              </w:rPr>
              <w:t>Amount (EUR)</w:t>
            </w:r>
          </w:p>
        </w:tc>
      </w:tr>
      <w:tr w:rsidR="00B96B06" w:rsidRPr="001552C0" w14:paraId="61D4C2BE" w14:textId="77777777" w:rsidTr="00C43411">
        <w:tc>
          <w:tcPr>
            <w:tcW w:w="1526" w:type="dxa"/>
            <w:tcBorders>
              <w:top w:val="single" w:sz="4" w:space="0" w:color="auto"/>
              <w:left w:val="single" w:sz="4" w:space="0" w:color="auto"/>
              <w:bottom w:val="single" w:sz="4" w:space="0" w:color="auto"/>
              <w:right w:val="single" w:sz="4" w:space="0" w:color="auto"/>
            </w:tcBorders>
          </w:tcPr>
          <w:p w14:paraId="5B1246C1" w14:textId="77777777" w:rsidR="007D7EF7" w:rsidRPr="001552C0" w:rsidRDefault="007D7EF7" w:rsidP="007D7EF7">
            <w:pPr>
              <w:spacing w:line="240" w:lineRule="auto"/>
              <w:jc w:val="both"/>
              <w:rPr>
                <w:rFonts w:cstheme="minorHAnsi"/>
                <w:iCs/>
                <w:sz w:val="24"/>
                <w:szCs w:val="24"/>
              </w:rPr>
            </w:pPr>
            <w:r w:rsidRPr="001552C0">
              <w:rPr>
                <w:rFonts w:cstheme="minorHAnsi"/>
                <w:iCs/>
                <w:sz w:val="24"/>
                <w:szCs w:val="24"/>
              </w:rPr>
              <w:t xml:space="preserve">Prioritatea 1 - Promovarea eficienței energetice, a sistemelor și rețelelor inteligente de energie și </w:t>
            </w:r>
            <w:r w:rsidRPr="001552C0">
              <w:rPr>
                <w:rFonts w:cstheme="minorHAnsi"/>
                <w:iCs/>
                <w:sz w:val="24"/>
                <w:szCs w:val="24"/>
              </w:rPr>
              <w:lastRenderedPageBreak/>
              <w:t>a soluțiilor de stocare</w:t>
            </w:r>
            <w:r>
              <w:rPr>
                <w:rFonts w:cstheme="minorHAnsi"/>
                <w:iCs/>
                <w:sz w:val="24"/>
                <w:szCs w:val="24"/>
              </w:rPr>
              <w:t xml:space="preserve"> și reducerea emisiilor de gaze cu efect de seră.</w:t>
            </w:r>
          </w:p>
          <w:p w14:paraId="6BA063A4" w14:textId="6C01FFD7" w:rsidR="00F000AD" w:rsidRPr="00CA0467" w:rsidRDefault="00F000AD" w:rsidP="00A446DA">
            <w:pPr>
              <w:pStyle w:val="ListParagraph"/>
              <w:numPr>
                <w:ilvl w:val="0"/>
                <w:numId w:val="79"/>
              </w:numPr>
              <w:spacing w:line="240" w:lineRule="auto"/>
              <w:ind w:left="0" w:firstLine="0"/>
              <w:jc w:val="both"/>
              <w:rPr>
                <w:rFonts w:cstheme="minorHAnsi"/>
                <w:iCs/>
                <w:szCs w:val="24"/>
                <w:lang w:val="ro-RO"/>
              </w:rPr>
            </w:pPr>
          </w:p>
        </w:tc>
        <w:tc>
          <w:tcPr>
            <w:tcW w:w="709" w:type="dxa"/>
            <w:tcBorders>
              <w:top w:val="single" w:sz="4" w:space="0" w:color="auto"/>
              <w:left w:val="single" w:sz="4" w:space="0" w:color="auto"/>
              <w:bottom w:val="single" w:sz="4" w:space="0" w:color="auto"/>
              <w:right w:val="single" w:sz="4" w:space="0" w:color="auto"/>
            </w:tcBorders>
          </w:tcPr>
          <w:p w14:paraId="031B8551" w14:textId="7BD10E06" w:rsidR="00F000AD" w:rsidRPr="001552C0" w:rsidRDefault="00F635AD" w:rsidP="00A446DA">
            <w:pPr>
              <w:spacing w:line="240" w:lineRule="auto"/>
              <w:jc w:val="both"/>
              <w:rPr>
                <w:rFonts w:cstheme="minorHAnsi"/>
                <w:iCs/>
                <w:sz w:val="24"/>
                <w:szCs w:val="24"/>
              </w:rPr>
            </w:pPr>
            <w:r w:rsidRPr="001552C0">
              <w:rPr>
                <w:rFonts w:cstheme="minorHAnsi"/>
                <w:iCs/>
                <w:sz w:val="24"/>
                <w:szCs w:val="24"/>
              </w:rPr>
              <w:lastRenderedPageBreak/>
              <w:t>FEDR</w:t>
            </w:r>
          </w:p>
        </w:tc>
        <w:tc>
          <w:tcPr>
            <w:tcW w:w="1275" w:type="dxa"/>
            <w:tcBorders>
              <w:top w:val="single" w:sz="4" w:space="0" w:color="auto"/>
              <w:left w:val="single" w:sz="4" w:space="0" w:color="auto"/>
              <w:bottom w:val="single" w:sz="4" w:space="0" w:color="auto"/>
              <w:right w:val="single" w:sz="4" w:space="0" w:color="auto"/>
            </w:tcBorders>
          </w:tcPr>
          <w:p w14:paraId="1E13F5F1" w14:textId="77777777" w:rsidR="00F000AD" w:rsidRPr="001552C0" w:rsidRDefault="00F635AD" w:rsidP="00A446DA">
            <w:pPr>
              <w:spacing w:line="240" w:lineRule="auto"/>
              <w:jc w:val="both"/>
              <w:rPr>
                <w:rFonts w:cstheme="minorHAnsi"/>
                <w:iCs/>
                <w:sz w:val="24"/>
                <w:szCs w:val="24"/>
              </w:rPr>
            </w:pPr>
            <w:r w:rsidRPr="001552C0">
              <w:rPr>
                <w:rFonts w:cstheme="minorHAnsi"/>
                <w:iCs/>
                <w:sz w:val="24"/>
                <w:szCs w:val="24"/>
              </w:rPr>
              <w:t>Mai dezvoltată</w:t>
            </w:r>
          </w:p>
          <w:p w14:paraId="51D615EB" w14:textId="60535D17" w:rsidR="00F635AD" w:rsidRPr="001552C0" w:rsidRDefault="00F635AD" w:rsidP="00A446DA">
            <w:pPr>
              <w:spacing w:line="240" w:lineRule="auto"/>
              <w:jc w:val="both"/>
              <w:rPr>
                <w:rFonts w:cstheme="minorHAnsi"/>
                <w:iCs/>
                <w:sz w:val="24"/>
                <w:szCs w:val="24"/>
              </w:rPr>
            </w:pPr>
            <w:r w:rsidRPr="001552C0">
              <w:rPr>
                <w:rFonts w:cstheme="minorHAnsi"/>
                <w:iCs/>
                <w:sz w:val="24"/>
                <w:szCs w:val="24"/>
              </w:rPr>
              <w:t>Mai puțin dezvoltată</w:t>
            </w:r>
          </w:p>
        </w:tc>
        <w:tc>
          <w:tcPr>
            <w:tcW w:w="4395" w:type="dxa"/>
            <w:tcBorders>
              <w:top w:val="single" w:sz="4" w:space="0" w:color="auto"/>
              <w:left w:val="single" w:sz="4" w:space="0" w:color="auto"/>
              <w:bottom w:val="single" w:sz="4" w:space="0" w:color="auto"/>
              <w:right w:val="single" w:sz="4" w:space="0" w:color="auto"/>
            </w:tcBorders>
          </w:tcPr>
          <w:p w14:paraId="5B232566" w14:textId="0A8826E9" w:rsidR="00653AB2" w:rsidRPr="001552C0" w:rsidRDefault="00653AB2" w:rsidP="00C32A63">
            <w:pPr>
              <w:spacing w:line="240" w:lineRule="auto"/>
              <w:jc w:val="both"/>
              <w:rPr>
                <w:rFonts w:cstheme="minorHAnsi"/>
                <w:iCs/>
                <w:sz w:val="24"/>
                <w:szCs w:val="24"/>
              </w:rPr>
            </w:pPr>
            <w:r w:rsidRPr="001552C0">
              <w:rPr>
                <w:rFonts w:cstheme="minorHAnsi"/>
                <w:iCs/>
                <w:sz w:val="24"/>
                <w:szCs w:val="24"/>
              </w:rPr>
              <w:t>024</w:t>
            </w:r>
            <w:r w:rsidR="00B2207F" w:rsidRPr="001552C0">
              <w:rPr>
                <w:rFonts w:cstheme="minorHAnsi"/>
                <w:iCs/>
                <w:sz w:val="24"/>
                <w:szCs w:val="24"/>
              </w:rPr>
              <w:t xml:space="preserve"> - </w:t>
            </w:r>
            <w:r w:rsidRPr="001552C0">
              <w:rPr>
                <w:rFonts w:cstheme="minorHAnsi"/>
                <w:iCs/>
                <w:sz w:val="24"/>
                <w:szCs w:val="24"/>
              </w:rPr>
              <w:t xml:space="preserve">Eficiență energetică și proiecte de demonstrare în IMM-uri și măsuri de sprijin; </w:t>
            </w:r>
          </w:p>
          <w:p w14:paraId="5ECAF226" w14:textId="7C3467F4" w:rsidR="00653AB2" w:rsidRPr="001552C0" w:rsidRDefault="00653AB2" w:rsidP="00653AB2">
            <w:pPr>
              <w:spacing w:line="240" w:lineRule="auto"/>
              <w:jc w:val="both"/>
              <w:rPr>
                <w:rFonts w:cstheme="minorHAnsi"/>
                <w:iCs/>
                <w:sz w:val="24"/>
                <w:szCs w:val="24"/>
              </w:rPr>
            </w:pPr>
            <w:r w:rsidRPr="001552C0">
              <w:rPr>
                <w:rFonts w:cstheme="minorHAnsi"/>
                <w:iCs/>
                <w:sz w:val="24"/>
                <w:szCs w:val="24"/>
              </w:rPr>
              <w:t>024bis</w:t>
            </w:r>
            <w:r w:rsidR="00B2207F" w:rsidRPr="001552C0">
              <w:rPr>
                <w:rFonts w:cstheme="minorHAnsi"/>
                <w:iCs/>
                <w:sz w:val="24"/>
                <w:szCs w:val="24"/>
              </w:rPr>
              <w:t xml:space="preserve">- </w:t>
            </w:r>
            <w:r w:rsidRPr="001552C0">
              <w:rPr>
                <w:rFonts w:cstheme="minorHAnsi"/>
                <w:iCs/>
                <w:sz w:val="24"/>
                <w:szCs w:val="24"/>
              </w:rPr>
              <w:t xml:space="preserve">Eficiență energetică și proiecte de demonstrare în întreprinderi mari și măsuri de sprijin; </w:t>
            </w:r>
          </w:p>
          <w:p w14:paraId="6C76E2BC" w14:textId="5A90A379" w:rsidR="00653AB2" w:rsidRPr="001552C0" w:rsidRDefault="00653AB2" w:rsidP="00653AB2">
            <w:pPr>
              <w:spacing w:line="240" w:lineRule="auto"/>
              <w:jc w:val="both"/>
              <w:rPr>
                <w:rFonts w:cstheme="minorHAnsi"/>
                <w:iCs/>
                <w:sz w:val="24"/>
                <w:szCs w:val="24"/>
              </w:rPr>
            </w:pPr>
            <w:r w:rsidRPr="001552C0">
              <w:rPr>
                <w:rFonts w:cstheme="minorHAnsi"/>
                <w:iCs/>
                <w:sz w:val="24"/>
                <w:szCs w:val="24"/>
              </w:rPr>
              <w:t>027</w:t>
            </w:r>
            <w:r w:rsidR="00B2207F" w:rsidRPr="001552C0">
              <w:rPr>
                <w:rFonts w:cstheme="minorHAnsi"/>
                <w:iCs/>
                <w:sz w:val="24"/>
                <w:szCs w:val="24"/>
              </w:rPr>
              <w:t xml:space="preserve"> - </w:t>
            </w:r>
            <w:r w:rsidRPr="001552C0">
              <w:rPr>
                <w:rFonts w:cstheme="minorHAnsi"/>
                <w:iCs/>
                <w:sz w:val="24"/>
                <w:szCs w:val="24"/>
              </w:rPr>
              <w:t xml:space="preserve">Sprijin pentru întreprinderile care oferă servicii ce contribuie la economia cu </w:t>
            </w:r>
            <w:r w:rsidRPr="001552C0">
              <w:rPr>
                <w:rFonts w:cstheme="minorHAnsi"/>
                <w:iCs/>
                <w:sz w:val="24"/>
                <w:szCs w:val="24"/>
              </w:rPr>
              <w:lastRenderedPageBreak/>
              <w:t xml:space="preserve">emisii scăzute de carbon și la reziliența la schimbările climatice; </w:t>
            </w:r>
          </w:p>
          <w:p w14:paraId="5059A4B3" w14:textId="77777777" w:rsidR="00F000AD" w:rsidRDefault="00653AB2" w:rsidP="00B2207F">
            <w:pPr>
              <w:spacing w:line="240" w:lineRule="auto"/>
              <w:jc w:val="both"/>
              <w:rPr>
                <w:rFonts w:cstheme="minorHAnsi"/>
                <w:iCs/>
                <w:sz w:val="24"/>
                <w:szCs w:val="24"/>
              </w:rPr>
            </w:pPr>
            <w:r w:rsidRPr="001552C0">
              <w:rPr>
                <w:rFonts w:cstheme="minorHAnsi"/>
                <w:iCs/>
                <w:sz w:val="24"/>
                <w:szCs w:val="24"/>
              </w:rPr>
              <w:t>033</w:t>
            </w:r>
            <w:r w:rsidR="00B2207F" w:rsidRPr="001552C0">
              <w:rPr>
                <w:rFonts w:cstheme="minorHAnsi"/>
                <w:iCs/>
                <w:sz w:val="24"/>
                <w:szCs w:val="24"/>
              </w:rPr>
              <w:t xml:space="preserve"> - </w:t>
            </w:r>
            <w:r w:rsidRPr="001552C0">
              <w:rPr>
                <w:rFonts w:cstheme="minorHAnsi"/>
                <w:iCs/>
                <w:sz w:val="24"/>
                <w:szCs w:val="24"/>
              </w:rPr>
              <w:t>Sisteme de distribuție inteligentă a energiei electrice la tensiuni joase și medii (inclusiv rețele inteligente și sisteme TIC) și stocarea aferentă;</w:t>
            </w:r>
          </w:p>
          <w:p w14:paraId="0239B87E" w14:textId="77777777" w:rsidR="007D7EF7" w:rsidRDefault="007D7EF7" w:rsidP="00B2207F">
            <w:pPr>
              <w:spacing w:line="240" w:lineRule="auto"/>
              <w:jc w:val="both"/>
              <w:rPr>
                <w:rFonts w:cstheme="minorHAnsi"/>
                <w:iCs/>
                <w:sz w:val="24"/>
                <w:szCs w:val="24"/>
              </w:rPr>
            </w:pPr>
            <w:r>
              <w:rPr>
                <w:rFonts w:cstheme="minorHAnsi"/>
                <w:iCs/>
                <w:sz w:val="24"/>
                <w:szCs w:val="24"/>
              </w:rPr>
              <w:t xml:space="preserve">034 - </w:t>
            </w:r>
            <w:r w:rsidRPr="007D7EF7">
              <w:rPr>
                <w:rFonts w:cstheme="minorHAnsi"/>
                <w:iCs/>
                <w:sz w:val="24"/>
                <w:szCs w:val="24"/>
              </w:rPr>
              <w:t>Cogenerare de înaltă eficiență, încălzire și răcire centralizate;</w:t>
            </w:r>
          </w:p>
          <w:p w14:paraId="19E6D6C7" w14:textId="77777777" w:rsidR="007D7EF7" w:rsidRDefault="007D7EF7" w:rsidP="00B2207F">
            <w:pPr>
              <w:spacing w:line="240" w:lineRule="auto"/>
              <w:jc w:val="both"/>
              <w:rPr>
                <w:rFonts w:cstheme="minorHAnsi"/>
                <w:iCs/>
                <w:sz w:val="24"/>
                <w:szCs w:val="24"/>
              </w:rPr>
            </w:pPr>
            <w:r w:rsidRPr="007D7EF7">
              <w:rPr>
                <w:rFonts w:cstheme="minorHAnsi"/>
                <w:iCs/>
                <w:sz w:val="24"/>
                <w:szCs w:val="24"/>
              </w:rPr>
              <w:t>034 bis1)  Înlocuirea sistemelor de încălzire pe bază de cărbune cu sisteme de încălzire pe bază de gaz, în scopul atenuării efectelor climatice;</w:t>
            </w:r>
          </w:p>
          <w:p w14:paraId="1D13B9A2" w14:textId="2A4AE94E" w:rsidR="007D7EF7" w:rsidRPr="001552C0" w:rsidRDefault="007D7EF7" w:rsidP="00B2207F">
            <w:pPr>
              <w:spacing w:line="240" w:lineRule="auto"/>
              <w:jc w:val="both"/>
              <w:rPr>
                <w:rFonts w:cstheme="minorHAnsi"/>
                <w:iCs/>
                <w:sz w:val="24"/>
                <w:szCs w:val="24"/>
              </w:rPr>
            </w:pPr>
            <w:r w:rsidRPr="007D7EF7">
              <w:rPr>
                <w:rFonts w:cstheme="minorHAnsi"/>
                <w:iCs/>
                <w:sz w:val="24"/>
                <w:szCs w:val="24"/>
              </w:rPr>
              <w:t>034 bis2) Investiții în distribuția și transportul gazelor naturale ce substituie folosirea cărbunilor</w:t>
            </w:r>
          </w:p>
        </w:tc>
        <w:tc>
          <w:tcPr>
            <w:tcW w:w="1559" w:type="dxa"/>
            <w:tcBorders>
              <w:top w:val="single" w:sz="4" w:space="0" w:color="auto"/>
              <w:left w:val="single" w:sz="4" w:space="0" w:color="auto"/>
              <w:bottom w:val="single" w:sz="4" w:space="0" w:color="auto"/>
              <w:right w:val="single" w:sz="4" w:space="0" w:color="auto"/>
            </w:tcBorders>
          </w:tcPr>
          <w:p w14:paraId="18C53D7E" w14:textId="23C0CC2D" w:rsidR="00F000AD" w:rsidRPr="001552C0" w:rsidRDefault="00FF54A8" w:rsidP="00A446DA">
            <w:pPr>
              <w:spacing w:line="240" w:lineRule="auto"/>
              <w:jc w:val="both"/>
              <w:rPr>
                <w:rFonts w:cstheme="minorHAnsi"/>
                <w:iCs/>
                <w:sz w:val="24"/>
                <w:szCs w:val="24"/>
              </w:rPr>
            </w:pPr>
            <w:r>
              <w:rPr>
                <w:rFonts w:cstheme="minorHAnsi"/>
                <w:iCs/>
                <w:sz w:val="24"/>
                <w:szCs w:val="24"/>
              </w:rPr>
              <w:lastRenderedPageBreak/>
              <w:t>4</w:t>
            </w:r>
            <w:r w:rsidR="00F635AD" w:rsidRPr="001552C0">
              <w:rPr>
                <w:rFonts w:cstheme="minorHAnsi"/>
                <w:iCs/>
                <w:sz w:val="24"/>
                <w:szCs w:val="24"/>
              </w:rPr>
              <w:t>00</w:t>
            </w:r>
            <w:r w:rsidR="00A446DA" w:rsidRPr="001552C0">
              <w:rPr>
                <w:rFonts w:cstheme="minorHAnsi"/>
                <w:iCs/>
                <w:sz w:val="24"/>
                <w:szCs w:val="24"/>
              </w:rPr>
              <w:t>.</w:t>
            </w:r>
            <w:r w:rsidR="00F635AD" w:rsidRPr="001552C0">
              <w:rPr>
                <w:rFonts w:cstheme="minorHAnsi"/>
                <w:iCs/>
                <w:sz w:val="24"/>
                <w:szCs w:val="24"/>
              </w:rPr>
              <w:t>000</w:t>
            </w:r>
            <w:r w:rsidR="00A446DA" w:rsidRPr="001552C0">
              <w:rPr>
                <w:rFonts w:cstheme="minorHAnsi"/>
                <w:iCs/>
                <w:sz w:val="24"/>
                <w:szCs w:val="24"/>
              </w:rPr>
              <w:t>.000</w:t>
            </w:r>
          </w:p>
        </w:tc>
      </w:tr>
      <w:tr w:rsidR="00F635AD" w:rsidRPr="001552C0" w14:paraId="709E1679" w14:textId="77777777" w:rsidTr="00C43411">
        <w:tc>
          <w:tcPr>
            <w:tcW w:w="1526" w:type="dxa"/>
            <w:tcBorders>
              <w:top w:val="single" w:sz="4" w:space="0" w:color="auto"/>
              <w:left w:val="single" w:sz="4" w:space="0" w:color="auto"/>
              <w:bottom w:val="single" w:sz="4" w:space="0" w:color="auto"/>
              <w:right w:val="single" w:sz="4" w:space="0" w:color="auto"/>
            </w:tcBorders>
          </w:tcPr>
          <w:p w14:paraId="180F07C5" w14:textId="7ECED878" w:rsidR="00F635AD" w:rsidRPr="001552C0" w:rsidRDefault="00F635AD" w:rsidP="00F635AD">
            <w:pPr>
              <w:pStyle w:val="ListParagraph"/>
              <w:rPr>
                <w:iCs/>
                <w:lang w:val="en-US"/>
              </w:rPr>
            </w:pPr>
          </w:p>
        </w:tc>
        <w:tc>
          <w:tcPr>
            <w:tcW w:w="709" w:type="dxa"/>
            <w:tcBorders>
              <w:top w:val="single" w:sz="4" w:space="0" w:color="auto"/>
              <w:left w:val="single" w:sz="4" w:space="0" w:color="auto"/>
              <w:bottom w:val="single" w:sz="4" w:space="0" w:color="auto"/>
              <w:right w:val="single" w:sz="4" w:space="0" w:color="auto"/>
            </w:tcBorders>
          </w:tcPr>
          <w:p w14:paraId="13A9C817" w14:textId="625AB2D0" w:rsidR="00F635AD" w:rsidRPr="001552C0" w:rsidRDefault="00F635AD" w:rsidP="00A446DA">
            <w:pPr>
              <w:spacing w:line="240" w:lineRule="auto"/>
              <w:jc w:val="both"/>
              <w:rPr>
                <w:rFonts w:cstheme="minorHAnsi"/>
                <w:iCs/>
                <w:sz w:val="24"/>
                <w:szCs w:val="24"/>
              </w:rPr>
            </w:pPr>
            <w:r w:rsidRPr="001552C0">
              <w:rPr>
                <w:rFonts w:cstheme="minorHAnsi"/>
                <w:iCs/>
                <w:sz w:val="24"/>
                <w:szCs w:val="24"/>
              </w:rPr>
              <w:t xml:space="preserve">FC </w:t>
            </w:r>
          </w:p>
        </w:tc>
        <w:tc>
          <w:tcPr>
            <w:tcW w:w="1275" w:type="dxa"/>
            <w:tcBorders>
              <w:top w:val="single" w:sz="4" w:space="0" w:color="auto"/>
              <w:left w:val="single" w:sz="4" w:space="0" w:color="auto"/>
              <w:bottom w:val="single" w:sz="4" w:space="0" w:color="auto"/>
              <w:right w:val="single" w:sz="4" w:space="0" w:color="auto"/>
            </w:tcBorders>
          </w:tcPr>
          <w:p w14:paraId="736DE4AE" w14:textId="261B340F" w:rsidR="00F635AD" w:rsidRPr="001552C0" w:rsidRDefault="00A446DA" w:rsidP="00A446DA">
            <w:pPr>
              <w:spacing w:line="240" w:lineRule="auto"/>
              <w:jc w:val="both"/>
              <w:rPr>
                <w:rFonts w:cstheme="minorHAnsi"/>
                <w:iCs/>
                <w:sz w:val="24"/>
                <w:szCs w:val="24"/>
              </w:rPr>
            </w:pPr>
            <w:r w:rsidRPr="001552C0">
              <w:rPr>
                <w:rFonts w:cstheme="minorHAnsi"/>
                <w:iCs/>
                <w:sz w:val="24"/>
                <w:szCs w:val="24"/>
              </w:rPr>
              <w:t>N/A</w:t>
            </w:r>
          </w:p>
        </w:tc>
        <w:tc>
          <w:tcPr>
            <w:tcW w:w="4395" w:type="dxa"/>
            <w:tcBorders>
              <w:top w:val="single" w:sz="4" w:space="0" w:color="auto"/>
              <w:left w:val="single" w:sz="4" w:space="0" w:color="auto"/>
              <w:bottom w:val="single" w:sz="4" w:space="0" w:color="auto"/>
              <w:right w:val="single" w:sz="4" w:space="0" w:color="auto"/>
            </w:tcBorders>
          </w:tcPr>
          <w:p w14:paraId="7E57C19F" w14:textId="77777777" w:rsidR="00513A4A" w:rsidRPr="001552C0" w:rsidRDefault="00513A4A" w:rsidP="00513A4A">
            <w:pPr>
              <w:spacing w:line="240" w:lineRule="auto"/>
              <w:jc w:val="both"/>
              <w:rPr>
                <w:rFonts w:cstheme="minorHAnsi"/>
                <w:iCs/>
                <w:sz w:val="24"/>
                <w:szCs w:val="24"/>
              </w:rPr>
            </w:pPr>
            <w:r w:rsidRPr="001552C0">
              <w:rPr>
                <w:rFonts w:cstheme="minorHAnsi"/>
                <w:iCs/>
                <w:sz w:val="24"/>
                <w:szCs w:val="24"/>
              </w:rPr>
              <w:t xml:space="preserve">024 - Eficiență energetică și proiecte de demonstrare în IMM-uri și măsuri de sprijin; </w:t>
            </w:r>
          </w:p>
          <w:p w14:paraId="07ABE4D4" w14:textId="77777777" w:rsidR="00513A4A" w:rsidRPr="001552C0" w:rsidRDefault="00513A4A" w:rsidP="00513A4A">
            <w:pPr>
              <w:spacing w:line="240" w:lineRule="auto"/>
              <w:jc w:val="both"/>
              <w:rPr>
                <w:rFonts w:cstheme="minorHAnsi"/>
                <w:iCs/>
                <w:sz w:val="24"/>
                <w:szCs w:val="24"/>
              </w:rPr>
            </w:pPr>
            <w:r w:rsidRPr="001552C0">
              <w:rPr>
                <w:rFonts w:cstheme="minorHAnsi"/>
                <w:iCs/>
                <w:sz w:val="24"/>
                <w:szCs w:val="24"/>
              </w:rPr>
              <w:t xml:space="preserve">024bis- Eficiență energetică și proiecte de demonstrare în întreprinderi mari și măsuri de sprijin; </w:t>
            </w:r>
          </w:p>
          <w:p w14:paraId="68765A6D" w14:textId="77777777" w:rsidR="00513A4A" w:rsidRPr="001552C0" w:rsidRDefault="00513A4A" w:rsidP="00513A4A">
            <w:pPr>
              <w:spacing w:line="240" w:lineRule="auto"/>
              <w:jc w:val="both"/>
              <w:rPr>
                <w:rFonts w:cstheme="minorHAnsi"/>
                <w:iCs/>
                <w:sz w:val="24"/>
                <w:szCs w:val="24"/>
              </w:rPr>
            </w:pPr>
            <w:r w:rsidRPr="001552C0">
              <w:rPr>
                <w:rFonts w:cstheme="minorHAnsi"/>
                <w:iCs/>
                <w:sz w:val="24"/>
                <w:szCs w:val="24"/>
              </w:rPr>
              <w:t xml:space="preserve">027 - Sprijin pentru întreprinderile care oferă servicii ce contribuie la economia cu emisii scăzute de carbon și la reziliența la schimbările climatice; </w:t>
            </w:r>
          </w:p>
          <w:p w14:paraId="59EAEE9B" w14:textId="1F77F765" w:rsidR="00F635AD" w:rsidRPr="001552C0" w:rsidRDefault="00513A4A" w:rsidP="00513A4A">
            <w:pPr>
              <w:spacing w:line="240" w:lineRule="auto"/>
              <w:jc w:val="both"/>
              <w:rPr>
                <w:rFonts w:cstheme="minorHAnsi"/>
                <w:iCs/>
                <w:sz w:val="24"/>
                <w:szCs w:val="24"/>
              </w:rPr>
            </w:pPr>
            <w:r w:rsidRPr="001552C0">
              <w:rPr>
                <w:rFonts w:cstheme="minorHAnsi"/>
                <w:iCs/>
                <w:sz w:val="24"/>
                <w:szCs w:val="24"/>
              </w:rPr>
              <w:t>033 - Sisteme de distribuție inteligentă a energiei electrice la tensiuni joase și medii (inclusiv rețele inteligente și sisteme TIC) și stocarea aferentă;</w:t>
            </w:r>
          </w:p>
        </w:tc>
        <w:tc>
          <w:tcPr>
            <w:tcW w:w="1559" w:type="dxa"/>
            <w:tcBorders>
              <w:top w:val="single" w:sz="4" w:space="0" w:color="auto"/>
              <w:left w:val="single" w:sz="4" w:space="0" w:color="auto"/>
              <w:bottom w:val="single" w:sz="4" w:space="0" w:color="auto"/>
              <w:right w:val="single" w:sz="4" w:space="0" w:color="auto"/>
            </w:tcBorders>
          </w:tcPr>
          <w:p w14:paraId="24D092D7" w14:textId="36659192" w:rsidR="00F635AD" w:rsidRPr="001552C0" w:rsidRDefault="00FF54A8" w:rsidP="00C43411">
            <w:pPr>
              <w:spacing w:line="240" w:lineRule="auto"/>
              <w:jc w:val="both"/>
              <w:rPr>
                <w:rFonts w:cstheme="minorHAnsi"/>
                <w:iCs/>
                <w:sz w:val="24"/>
                <w:szCs w:val="24"/>
              </w:rPr>
            </w:pPr>
            <w:r>
              <w:rPr>
                <w:rFonts w:cstheme="minorHAnsi"/>
                <w:iCs/>
                <w:sz w:val="24"/>
                <w:szCs w:val="24"/>
              </w:rPr>
              <w:t>2</w:t>
            </w:r>
            <w:r w:rsidR="00F635AD" w:rsidRPr="001552C0">
              <w:rPr>
                <w:rFonts w:cstheme="minorHAnsi"/>
                <w:iCs/>
                <w:sz w:val="24"/>
                <w:szCs w:val="24"/>
              </w:rPr>
              <w:t>00.000</w:t>
            </w:r>
            <w:r w:rsidR="00C43411" w:rsidRPr="001552C0">
              <w:rPr>
                <w:rFonts w:cstheme="minorHAnsi"/>
                <w:iCs/>
                <w:sz w:val="24"/>
                <w:szCs w:val="24"/>
              </w:rPr>
              <w:t>.000</w:t>
            </w:r>
          </w:p>
        </w:tc>
      </w:tr>
    </w:tbl>
    <w:p w14:paraId="3A3FE72A" w14:textId="77777777" w:rsidR="00F000AD" w:rsidRPr="001552C0" w:rsidRDefault="00F000AD" w:rsidP="00F000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275"/>
        <w:gridCol w:w="4395"/>
        <w:gridCol w:w="1559"/>
      </w:tblGrid>
      <w:tr w:rsidR="00B96B06" w:rsidRPr="001552C0" w14:paraId="0899BF05" w14:textId="77777777" w:rsidTr="006006F3">
        <w:tc>
          <w:tcPr>
            <w:tcW w:w="9464" w:type="dxa"/>
            <w:gridSpan w:val="5"/>
            <w:tcBorders>
              <w:top w:val="single" w:sz="4" w:space="0" w:color="auto"/>
              <w:left w:val="single" w:sz="4" w:space="0" w:color="auto"/>
              <w:bottom w:val="single" w:sz="4" w:space="0" w:color="auto"/>
              <w:right w:val="single" w:sz="4" w:space="0" w:color="auto"/>
            </w:tcBorders>
            <w:hideMark/>
          </w:tcPr>
          <w:p w14:paraId="4093FE90" w14:textId="77777777" w:rsidR="00F000AD" w:rsidRPr="001552C0" w:rsidRDefault="00F000AD" w:rsidP="00F000AD">
            <w:pPr>
              <w:rPr>
                <w:b/>
                <w:iCs/>
              </w:rPr>
            </w:pPr>
            <w:r w:rsidRPr="001552C0">
              <w:rPr>
                <w:b/>
                <w:iCs/>
              </w:rPr>
              <w:t>Table 5: Dimension 2 – form of support</w:t>
            </w:r>
          </w:p>
        </w:tc>
      </w:tr>
      <w:tr w:rsidR="00B96B06" w:rsidRPr="001552C0" w14:paraId="48392686" w14:textId="77777777" w:rsidTr="006006F3">
        <w:tc>
          <w:tcPr>
            <w:tcW w:w="1526" w:type="dxa"/>
            <w:tcBorders>
              <w:top w:val="single" w:sz="4" w:space="0" w:color="auto"/>
              <w:left w:val="single" w:sz="4" w:space="0" w:color="auto"/>
              <w:bottom w:val="single" w:sz="4" w:space="0" w:color="auto"/>
              <w:right w:val="single" w:sz="4" w:space="0" w:color="auto"/>
            </w:tcBorders>
            <w:hideMark/>
          </w:tcPr>
          <w:p w14:paraId="0D41DB17" w14:textId="77777777" w:rsidR="00F000AD" w:rsidRPr="001552C0" w:rsidRDefault="00F000AD" w:rsidP="00F000AD">
            <w:pPr>
              <w:rPr>
                <w:b/>
                <w:iCs/>
              </w:rPr>
            </w:pPr>
            <w:r w:rsidRPr="001552C0">
              <w:rPr>
                <w:b/>
                <w:iCs/>
              </w:rPr>
              <w:t>Priority No</w:t>
            </w:r>
          </w:p>
        </w:tc>
        <w:tc>
          <w:tcPr>
            <w:tcW w:w="709" w:type="dxa"/>
            <w:tcBorders>
              <w:top w:val="single" w:sz="4" w:space="0" w:color="auto"/>
              <w:left w:val="single" w:sz="4" w:space="0" w:color="auto"/>
              <w:bottom w:val="single" w:sz="4" w:space="0" w:color="auto"/>
              <w:right w:val="single" w:sz="4" w:space="0" w:color="auto"/>
            </w:tcBorders>
            <w:hideMark/>
          </w:tcPr>
          <w:p w14:paraId="327EC4A4" w14:textId="77777777" w:rsidR="00F000AD" w:rsidRPr="001552C0" w:rsidRDefault="00F000AD" w:rsidP="00F000AD">
            <w:pPr>
              <w:rPr>
                <w:b/>
                <w:iCs/>
              </w:rPr>
            </w:pPr>
            <w:r w:rsidRPr="001552C0">
              <w:rPr>
                <w:b/>
                <w:iCs/>
              </w:rPr>
              <w:t>Fund</w:t>
            </w:r>
          </w:p>
        </w:tc>
        <w:tc>
          <w:tcPr>
            <w:tcW w:w="1275" w:type="dxa"/>
            <w:tcBorders>
              <w:top w:val="single" w:sz="4" w:space="0" w:color="auto"/>
              <w:left w:val="single" w:sz="4" w:space="0" w:color="auto"/>
              <w:bottom w:val="single" w:sz="4" w:space="0" w:color="auto"/>
              <w:right w:val="single" w:sz="4" w:space="0" w:color="auto"/>
            </w:tcBorders>
            <w:hideMark/>
          </w:tcPr>
          <w:p w14:paraId="444AA5C3" w14:textId="77777777" w:rsidR="00F000AD" w:rsidRPr="001552C0" w:rsidRDefault="00F000AD" w:rsidP="00F000AD">
            <w:pPr>
              <w:rPr>
                <w:b/>
                <w:iCs/>
              </w:rPr>
            </w:pPr>
            <w:r w:rsidRPr="001552C0">
              <w:rPr>
                <w:b/>
                <w:iCs/>
              </w:rPr>
              <w:t>Category of region</w:t>
            </w:r>
            <w:r w:rsidRPr="001552C0">
              <w:rPr>
                <w:b/>
                <w:iCs/>
                <w:vertAlign w:val="superscript"/>
              </w:rPr>
              <w:footnoteReference w:id="2"/>
            </w:r>
          </w:p>
        </w:tc>
        <w:tc>
          <w:tcPr>
            <w:tcW w:w="4395" w:type="dxa"/>
            <w:tcBorders>
              <w:top w:val="single" w:sz="4" w:space="0" w:color="auto"/>
              <w:left w:val="single" w:sz="4" w:space="0" w:color="auto"/>
              <w:bottom w:val="single" w:sz="4" w:space="0" w:color="auto"/>
              <w:right w:val="single" w:sz="4" w:space="0" w:color="auto"/>
            </w:tcBorders>
            <w:hideMark/>
          </w:tcPr>
          <w:p w14:paraId="7EC6100A" w14:textId="77777777" w:rsidR="00F000AD" w:rsidRPr="001552C0" w:rsidRDefault="00F000AD" w:rsidP="00F000AD">
            <w:pPr>
              <w:rPr>
                <w:b/>
                <w:iCs/>
              </w:rPr>
            </w:pPr>
            <w:r w:rsidRPr="001552C0">
              <w:rPr>
                <w:b/>
                <w:iCs/>
              </w:rPr>
              <w:t xml:space="preserve">Code </w:t>
            </w:r>
          </w:p>
        </w:tc>
        <w:tc>
          <w:tcPr>
            <w:tcW w:w="1559" w:type="dxa"/>
            <w:tcBorders>
              <w:top w:val="single" w:sz="4" w:space="0" w:color="auto"/>
              <w:left w:val="single" w:sz="4" w:space="0" w:color="auto"/>
              <w:bottom w:val="single" w:sz="4" w:space="0" w:color="auto"/>
              <w:right w:val="single" w:sz="4" w:space="0" w:color="auto"/>
            </w:tcBorders>
            <w:hideMark/>
          </w:tcPr>
          <w:p w14:paraId="0F62468C" w14:textId="77777777" w:rsidR="00F000AD" w:rsidRPr="001552C0" w:rsidRDefault="00F000AD" w:rsidP="00F000AD">
            <w:pPr>
              <w:rPr>
                <w:b/>
                <w:iCs/>
              </w:rPr>
            </w:pPr>
            <w:r w:rsidRPr="001552C0">
              <w:rPr>
                <w:b/>
                <w:iCs/>
              </w:rPr>
              <w:t>Amount (EUR)</w:t>
            </w:r>
          </w:p>
        </w:tc>
      </w:tr>
      <w:tr w:rsidR="00B96B06" w:rsidRPr="001552C0" w14:paraId="4420CD1D" w14:textId="77777777" w:rsidTr="006006F3">
        <w:tc>
          <w:tcPr>
            <w:tcW w:w="1526" w:type="dxa"/>
            <w:tcBorders>
              <w:top w:val="single" w:sz="4" w:space="0" w:color="auto"/>
              <w:left w:val="single" w:sz="4" w:space="0" w:color="auto"/>
              <w:bottom w:val="single" w:sz="4" w:space="0" w:color="auto"/>
              <w:right w:val="single" w:sz="4" w:space="0" w:color="auto"/>
            </w:tcBorders>
          </w:tcPr>
          <w:p w14:paraId="092BB28E" w14:textId="77777777" w:rsidR="007D7EF7" w:rsidRPr="001552C0" w:rsidRDefault="007D7EF7" w:rsidP="007D7EF7">
            <w:pPr>
              <w:spacing w:line="240" w:lineRule="auto"/>
              <w:jc w:val="both"/>
              <w:rPr>
                <w:rFonts w:cstheme="minorHAnsi"/>
                <w:iCs/>
                <w:sz w:val="24"/>
                <w:szCs w:val="24"/>
              </w:rPr>
            </w:pPr>
            <w:r w:rsidRPr="001552C0">
              <w:rPr>
                <w:rFonts w:cstheme="minorHAnsi"/>
                <w:iCs/>
                <w:sz w:val="24"/>
                <w:szCs w:val="24"/>
              </w:rPr>
              <w:t xml:space="preserve">Prioritatea 1 - Promovarea eficienței </w:t>
            </w:r>
            <w:r w:rsidRPr="001552C0">
              <w:rPr>
                <w:rFonts w:cstheme="minorHAnsi"/>
                <w:iCs/>
                <w:sz w:val="24"/>
                <w:szCs w:val="24"/>
              </w:rPr>
              <w:lastRenderedPageBreak/>
              <w:t>energetice, a sistemelor și rețelelor inteligente de energie și a soluțiilor de stocare</w:t>
            </w:r>
            <w:r>
              <w:rPr>
                <w:rFonts w:cstheme="minorHAnsi"/>
                <w:iCs/>
                <w:sz w:val="24"/>
                <w:szCs w:val="24"/>
              </w:rPr>
              <w:t xml:space="preserve"> și reducerea emisiilor de gaze cu efect de seră.</w:t>
            </w:r>
          </w:p>
          <w:p w14:paraId="5387CF53" w14:textId="718E62DB" w:rsidR="00A446DA" w:rsidRPr="001552C0" w:rsidRDefault="00A446DA" w:rsidP="006006F3">
            <w:pPr>
              <w:pStyle w:val="ListParagraph"/>
              <w:numPr>
                <w:ilvl w:val="0"/>
                <w:numId w:val="80"/>
              </w:numPr>
              <w:spacing w:line="240" w:lineRule="auto"/>
              <w:ind w:left="0" w:firstLine="360"/>
              <w:rPr>
                <w:rFonts w:asciiTheme="minorHAnsi" w:hAnsiTheme="minorHAnsi"/>
                <w:b/>
                <w:iCs/>
                <w:lang w:val="ro-RO"/>
              </w:rPr>
            </w:pPr>
            <w:bookmarkStart w:id="0" w:name="_GoBack"/>
            <w:bookmarkEnd w:id="0"/>
          </w:p>
        </w:tc>
        <w:tc>
          <w:tcPr>
            <w:tcW w:w="709" w:type="dxa"/>
            <w:tcBorders>
              <w:top w:val="single" w:sz="4" w:space="0" w:color="auto"/>
              <w:left w:val="single" w:sz="4" w:space="0" w:color="auto"/>
              <w:bottom w:val="single" w:sz="4" w:space="0" w:color="auto"/>
              <w:right w:val="single" w:sz="4" w:space="0" w:color="auto"/>
            </w:tcBorders>
          </w:tcPr>
          <w:p w14:paraId="1C298B88" w14:textId="29ED7581" w:rsidR="00A446DA" w:rsidRPr="001552C0" w:rsidRDefault="00A446DA" w:rsidP="00F000AD">
            <w:pPr>
              <w:rPr>
                <w:b/>
                <w:iCs/>
              </w:rPr>
            </w:pPr>
            <w:r w:rsidRPr="001552C0">
              <w:rPr>
                <w:rFonts w:cstheme="minorHAnsi"/>
                <w:iCs/>
                <w:sz w:val="24"/>
                <w:szCs w:val="24"/>
              </w:rPr>
              <w:lastRenderedPageBreak/>
              <w:t>FEDR</w:t>
            </w:r>
          </w:p>
        </w:tc>
        <w:tc>
          <w:tcPr>
            <w:tcW w:w="1275" w:type="dxa"/>
            <w:tcBorders>
              <w:top w:val="single" w:sz="4" w:space="0" w:color="auto"/>
              <w:left w:val="single" w:sz="4" w:space="0" w:color="auto"/>
              <w:bottom w:val="single" w:sz="4" w:space="0" w:color="auto"/>
              <w:right w:val="single" w:sz="4" w:space="0" w:color="auto"/>
            </w:tcBorders>
          </w:tcPr>
          <w:p w14:paraId="15C19EB2" w14:textId="77777777" w:rsidR="00A446DA" w:rsidRPr="001552C0" w:rsidRDefault="00A446DA" w:rsidP="00A446DA">
            <w:pPr>
              <w:spacing w:line="240" w:lineRule="auto"/>
              <w:jc w:val="both"/>
              <w:rPr>
                <w:rFonts w:cstheme="minorHAnsi"/>
                <w:iCs/>
                <w:sz w:val="24"/>
                <w:szCs w:val="24"/>
              </w:rPr>
            </w:pPr>
            <w:r w:rsidRPr="001552C0">
              <w:rPr>
                <w:rFonts w:cstheme="minorHAnsi"/>
                <w:iCs/>
                <w:sz w:val="24"/>
                <w:szCs w:val="24"/>
              </w:rPr>
              <w:t>Mai dezvoltată</w:t>
            </w:r>
          </w:p>
          <w:p w14:paraId="00DA94DC" w14:textId="3FF1DB6B" w:rsidR="00A446DA" w:rsidRPr="001552C0" w:rsidRDefault="00A446DA" w:rsidP="00F000AD">
            <w:pPr>
              <w:rPr>
                <w:b/>
                <w:iCs/>
              </w:rPr>
            </w:pPr>
            <w:r w:rsidRPr="001552C0">
              <w:rPr>
                <w:rFonts w:cstheme="minorHAnsi"/>
                <w:iCs/>
                <w:sz w:val="24"/>
                <w:szCs w:val="24"/>
              </w:rPr>
              <w:t xml:space="preserve">Mai puțin </w:t>
            </w:r>
            <w:r w:rsidRPr="001552C0">
              <w:rPr>
                <w:rFonts w:cstheme="minorHAnsi"/>
                <w:iCs/>
                <w:sz w:val="24"/>
                <w:szCs w:val="24"/>
              </w:rPr>
              <w:lastRenderedPageBreak/>
              <w:t>dezvoltată</w:t>
            </w:r>
          </w:p>
        </w:tc>
        <w:tc>
          <w:tcPr>
            <w:tcW w:w="4395" w:type="dxa"/>
            <w:tcBorders>
              <w:top w:val="single" w:sz="4" w:space="0" w:color="auto"/>
              <w:left w:val="single" w:sz="4" w:space="0" w:color="auto"/>
              <w:bottom w:val="single" w:sz="4" w:space="0" w:color="auto"/>
              <w:right w:val="single" w:sz="4" w:space="0" w:color="auto"/>
            </w:tcBorders>
          </w:tcPr>
          <w:p w14:paraId="784272CB" w14:textId="75CC8A66" w:rsidR="00A446DA" w:rsidRPr="001552C0" w:rsidRDefault="00A446DA" w:rsidP="00A446DA">
            <w:pPr>
              <w:spacing w:line="240" w:lineRule="auto"/>
              <w:jc w:val="both"/>
              <w:rPr>
                <w:rFonts w:cstheme="minorHAnsi"/>
                <w:iCs/>
                <w:sz w:val="24"/>
                <w:szCs w:val="24"/>
              </w:rPr>
            </w:pPr>
            <w:r w:rsidRPr="001552C0">
              <w:rPr>
                <w:rFonts w:cstheme="minorHAnsi"/>
                <w:iCs/>
                <w:sz w:val="24"/>
                <w:szCs w:val="24"/>
              </w:rPr>
              <w:lastRenderedPageBreak/>
              <w:t xml:space="preserve">01 </w:t>
            </w:r>
            <w:r w:rsidR="00653AB2" w:rsidRPr="001552C0">
              <w:rPr>
                <w:rFonts w:cstheme="minorHAnsi"/>
                <w:iCs/>
                <w:sz w:val="24"/>
                <w:szCs w:val="24"/>
              </w:rPr>
              <w:t>–</w:t>
            </w:r>
            <w:r w:rsidRPr="001552C0">
              <w:rPr>
                <w:rFonts w:cstheme="minorHAnsi"/>
                <w:iCs/>
                <w:sz w:val="24"/>
                <w:szCs w:val="24"/>
              </w:rPr>
              <w:t xml:space="preserve"> grant</w:t>
            </w:r>
          </w:p>
          <w:p w14:paraId="42FDB37C" w14:textId="7BA574AF" w:rsidR="00B2207F" w:rsidRPr="001552C0" w:rsidRDefault="00653AB2" w:rsidP="00B2207F">
            <w:pPr>
              <w:spacing w:line="240" w:lineRule="auto"/>
              <w:jc w:val="both"/>
              <w:rPr>
                <w:rFonts w:cstheme="minorHAnsi"/>
                <w:iCs/>
                <w:sz w:val="24"/>
                <w:szCs w:val="24"/>
              </w:rPr>
            </w:pPr>
            <w:r w:rsidRPr="001552C0">
              <w:rPr>
                <w:rFonts w:cstheme="minorHAnsi"/>
                <w:iCs/>
                <w:sz w:val="24"/>
                <w:szCs w:val="24"/>
              </w:rPr>
              <w:t>03</w:t>
            </w:r>
            <w:r w:rsidR="00B2207F" w:rsidRPr="001552C0">
              <w:rPr>
                <w:rFonts w:cstheme="minorHAnsi"/>
                <w:iCs/>
                <w:sz w:val="24"/>
                <w:szCs w:val="24"/>
              </w:rPr>
              <w:t xml:space="preserve"> - </w:t>
            </w:r>
            <w:r w:rsidRPr="001552C0">
              <w:rPr>
                <w:rFonts w:cstheme="minorHAnsi"/>
                <w:iCs/>
                <w:sz w:val="24"/>
                <w:szCs w:val="24"/>
              </w:rPr>
              <w:t xml:space="preserve">Sprijin prin instrumente financiare: împrumut </w:t>
            </w:r>
          </w:p>
          <w:p w14:paraId="5C8D7517" w14:textId="11587975" w:rsidR="00653AB2" w:rsidRPr="001552C0" w:rsidRDefault="00653AB2" w:rsidP="00B2207F">
            <w:pPr>
              <w:spacing w:line="240" w:lineRule="auto"/>
              <w:jc w:val="both"/>
              <w:rPr>
                <w:rFonts w:cstheme="minorHAnsi"/>
                <w:iCs/>
                <w:sz w:val="24"/>
                <w:szCs w:val="24"/>
              </w:rPr>
            </w:pPr>
            <w:r w:rsidRPr="001552C0">
              <w:rPr>
                <w:rFonts w:cstheme="minorHAnsi"/>
                <w:iCs/>
                <w:sz w:val="24"/>
                <w:szCs w:val="24"/>
              </w:rPr>
              <w:lastRenderedPageBreak/>
              <w:t>04</w:t>
            </w:r>
            <w:r w:rsidR="00B2207F" w:rsidRPr="001552C0">
              <w:rPr>
                <w:rFonts w:cstheme="minorHAnsi"/>
                <w:iCs/>
                <w:sz w:val="24"/>
                <w:szCs w:val="24"/>
              </w:rPr>
              <w:t xml:space="preserve"> -</w:t>
            </w:r>
            <w:r w:rsidR="00B2207F" w:rsidRPr="001552C0">
              <w:t xml:space="preserve"> </w:t>
            </w:r>
            <w:r w:rsidR="00B2207F" w:rsidRPr="001552C0">
              <w:rPr>
                <w:rFonts w:cstheme="minorHAnsi"/>
                <w:iCs/>
                <w:sz w:val="24"/>
                <w:szCs w:val="24"/>
              </w:rPr>
              <w:t>Sprijin prin instrumente financiare: garanții</w:t>
            </w:r>
          </w:p>
        </w:tc>
        <w:tc>
          <w:tcPr>
            <w:tcW w:w="1559" w:type="dxa"/>
            <w:tcBorders>
              <w:top w:val="single" w:sz="4" w:space="0" w:color="auto"/>
              <w:left w:val="single" w:sz="4" w:space="0" w:color="auto"/>
              <w:bottom w:val="single" w:sz="4" w:space="0" w:color="auto"/>
              <w:right w:val="single" w:sz="4" w:space="0" w:color="auto"/>
            </w:tcBorders>
          </w:tcPr>
          <w:p w14:paraId="39D1E3E6" w14:textId="7E735D12" w:rsidR="00A446DA" w:rsidRPr="001552C0" w:rsidRDefault="00737284" w:rsidP="00F000AD">
            <w:pPr>
              <w:rPr>
                <w:b/>
                <w:iCs/>
              </w:rPr>
            </w:pPr>
            <w:r>
              <w:rPr>
                <w:rFonts w:cstheme="minorHAnsi"/>
                <w:iCs/>
                <w:sz w:val="24"/>
                <w:szCs w:val="24"/>
              </w:rPr>
              <w:lastRenderedPageBreak/>
              <w:t>4</w:t>
            </w:r>
            <w:r w:rsidR="00A446DA" w:rsidRPr="001552C0">
              <w:rPr>
                <w:rFonts w:cstheme="minorHAnsi"/>
                <w:iCs/>
                <w:sz w:val="24"/>
                <w:szCs w:val="24"/>
              </w:rPr>
              <w:t>00.000.000</w:t>
            </w:r>
          </w:p>
        </w:tc>
      </w:tr>
      <w:tr w:rsidR="00A446DA" w:rsidRPr="001552C0" w14:paraId="2FEA0EC4" w14:textId="77777777" w:rsidTr="006006F3">
        <w:tc>
          <w:tcPr>
            <w:tcW w:w="1526" w:type="dxa"/>
            <w:tcBorders>
              <w:top w:val="single" w:sz="4" w:space="0" w:color="auto"/>
              <w:left w:val="single" w:sz="4" w:space="0" w:color="auto"/>
              <w:bottom w:val="single" w:sz="4" w:space="0" w:color="auto"/>
              <w:right w:val="single" w:sz="4" w:space="0" w:color="auto"/>
            </w:tcBorders>
          </w:tcPr>
          <w:p w14:paraId="598357A0" w14:textId="77777777" w:rsidR="00A446DA" w:rsidRPr="001552C0" w:rsidRDefault="00A446DA" w:rsidP="00A446DA">
            <w:pPr>
              <w:rPr>
                <w:rFonts w:cstheme="minorHAnsi"/>
                <w:iCs/>
                <w:szCs w:val="24"/>
                <w:lang w:val="it-IT"/>
              </w:rPr>
            </w:pPr>
          </w:p>
        </w:tc>
        <w:tc>
          <w:tcPr>
            <w:tcW w:w="709" w:type="dxa"/>
            <w:tcBorders>
              <w:top w:val="single" w:sz="4" w:space="0" w:color="auto"/>
              <w:left w:val="single" w:sz="4" w:space="0" w:color="auto"/>
              <w:bottom w:val="single" w:sz="4" w:space="0" w:color="auto"/>
              <w:right w:val="single" w:sz="4" w:space="0" w:color="auto"/>
            </w:tcBorders>
          </w:tcPr>
          <w:p w14:paraId="1EC574BC" w14:textId="68EB2C16" w:rsidR="00A446DA" w:rsidRPr="001552C0" w:rsidRDefault="00A446DA" w:rsidP="00F000AD">
            <w:pPr>
              <w:rPr>
                <w:b/>
                <w:iCs/>
              </w:rPr>
            </w:pPr>
            <w:r w:rsidRPr="001552C0">
              <w:rPr>
                <w:rFonts w:cstheme="minorHAnsi"/>
                <w:iCs/>
                <w:sz w:val="24"/>
                <w:szCs w:val="24"/>
              </w:rPr>
              <w:t xml:space="preserve">FC </w:t>
            </w:r>
          </w:p>
        </w:tc>
        <w:tc>
          <w:tcPr>
            <w:tcW w:w="1275" w:type="dxa"/>
            <w:tcBorders>
              <w:top w:val="single" w:sz="4" w:space="0" w:color="auto"/>
              <w:left w:val="single" w:sz="4" w:space="0" w:color="auto"/>
              <w:bottom w:val="single" w:sz="4" w:space="0" w:color="auto"/>
              <w:right w:val="single" w:sz="4" w:space="0" w:color="auto"/>
            </w:tcBorders>
          </w:tcPr>
          <w:p w14:paraId="181C2172" w14:textId="210733E4" w:rsidR="00A446DA" w:rsidRPr="001552C0" w:rsidRDefault="00A446DA" w:rsidP="00F000AD">
            <w:pPr>
              <w:rPr>
                <w:b/>
                <w:iCs/>
              </w:rPr>
            </w:pPr>
            <w:r w:rsidRPr="001552C0">
              <w:rPr>
                <w:rFonts w:cstheme="minorHAnsi"/>
                <w:iCs/>
                <w:sz w:val="24"/>
                <w:szCs w:val="24"/>
              </w:rPr>
              <w:t>N/A</w:t>
            </w:r>
          </w:p>
        </w:tc>
        <w:tc>
          <w:tcPr>
            <w:tcW w:w="4395" w:type="dxa"/>
            <w:tcBorders>
              <w:top w:val="single" w:sz="4" w:space="0" w:color="auto"/>
              <w:left w:val="single" w:sz="4" w:space="0" w:color="auto"/>
              <w:bottom w:val="single" w:sz="4" w:space="0" w:color="auto"/>
              <w:right w:val="single" w:sz="4" w:space="0" w:color="auto"/>
            </w:tcBorders>
          </w:tcPr>
          <w:p w14:paraId="0A3BE164" w14:textId="69D9AFA5" w:rsidR="00A446DA" w:rsidRPr="001552C0" w:rsidRDefault="00A446DA" w:rsidP="00F000AD">
            <w:pPr>
              <w:rPr>
                <w:b/>
                <w:iCs/>
              </w:rPr>
            </w:pPr>
            <w:r w:rsidRPr="001552C0">
              <w:rPr>
                <w:rFonts w:cstheme="minorHAnsi"/>
                <w:iCs/>
                <w:sz w:val="24"/>
                <w:szCs w:val="24"/>
              </w:rPr>
              <w:t>01 - grant</w:t>
            </w:r>
          </w:p>
        </w:tc>
        <w:tc>
          <w:tcPr>
            <w:tcW w:w="1559" w:type="dxa"/>
            <w:tcBorders>
              <w:top w:val="single" w:sz="4" w:space="0" w:color="auto"/>
              <w:left w:val="single" w:sz="4" w:space="0" w:color="auto"/>
              <w:bottom w:val="single" w:sz="4" w:space="0" w:color="auto"/>
              <w:right w:val="single" w:sz="4" w:space="0" w:color="auto"/>
            </w:tcBorders>
          </w:tcPr>
          <w:p w14:paraId="36427E0A" w14:textId="2AC682F0" w:rsidR="00A446DA" w:rsidRPr="001552C0" w:rsidRDefault="00737284" w:rsidP="00F000AD">
            <w:pPr>
              <w:rPr>
                <w:b/>
                <w:iCs/>
              </w:rPr>
            </w:pPr>
            <w:r>
              <w:rPr>
                <w:rFonts w:cstheme="minorHAnsi"/>
                <w:iCs/>
                <w:sz w:val="24"/>
                <w:szCs w:val="24"/>
              </w:rPr>
              <w:t>2</w:t>
            </w:r>
            <w:r w:rsidR="00A446DA" w:rsidRPr="001552C0">
              <w:rPr>
                <w:rFonts w:cstheme="minorHAnsi"/>
                <w:iCs/>
                <w:sz w:val="24"/>
                <w:szCs w:val="24"/>
              </w:rPr>
              <w:t>00.000 mil. euro</w:t>
            </w:r>
          </w:p>
        </w:tc>
      </w:tr>
    </w:tbl>
    <w:p w14:paraId="3969B437" w14:textId="77777777" w:rsidR="00F000AD" w:rsidRPr="001552C0" w:rsidRDefault="00F000AD" w:rsidP="00F000AD">
      <w:pP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591"/>
        <w:gridCol w:w="1053"/>
        <w:gridCol w:w="531"/>
      </w:tblGrid>
      <w:tr w:rsidR="00B96B06" w:rsidRPr="001552C0" w14:paraId="7E66CA58" w14:textId="77777777" w:rsidTr="00F000AD">
        <w:tc>
          <w:tcPr>
            <w:tcW w:w="7644" w:type="dxa"/>
            <w:gridSpan w:val="7"/>
            <w:tcBorders>
              <w:top w:val="single" w:sz="4" w:space="0" w:color="auto"/>
              <w:left w:val="single" w:sz="4" w:space="0" w:color="auto"/>
              <w:bottom w:val="single" w:sz="4" w:space="0" w:color="auto"/>
              <w:right w:val="single" w:sz="4" w:space="0" w:color="auto"/>
            </w:tcBorders>
            <w:hideMark/>
          </w:tcPr>
          <w:p w14:paraId="2733844A" w14:textId="77777777" w:rsidR="00F000AD" w:rsidRPr="001552C0" w:rsidRDefault="00F000AD" w:rsidP="00F000AD">
            <w:pPr>
              <w:rPr>
                <w:b/>
                <w:iCs/>
              </w:rPr>
            </w:pPr>
            <w:r w:rsidRPr="001552C0">
              <w:rPr>
                <w:b/>
                <w:iCs/>
              </w:rPr>
              <w:t>Table 6: Dimension 3 – territorial delivery mechanism and territorial focus</w:t>
            </w:r>
          </w:p>
        </w:tc>
      </w:tr>
      <w:tr w:rsidR="00B96B06" w:rsidRPr="001552C0" w14:paraId="2E8C26AF" w14:textId="77777777" w:rsidTr="00F000AD">
        <w:tc>
          <w:tcPr>
            <w:tcW w:w="1599" w:type="dxa"/>
            <w:tcBorders>
              <w:top w:val="single" w:sz="4" w:space="0" w:color="auto"/>
              <w:left w:val="single" w:sz="4" w:space="0" w:color="auto"/>
              <w:bottom w:val="single" w:sz="4" w:space="0" w:color="auto"/>
              <w:right w:val="single" w:sz="4" w:space="0" w:color="auto"/>
            </w:tcBorders>
            <w:hideMark/>
          </w:tcPr>
          <w:p w14:paraId="486D8C67" w14:textId="77777777" w:rsidR="00F000AD" w:rsidRPr="001552C0" w:rsidRDefault="00F000AD" w:rsidP="00F000AD">
            <w:pPr>
              <w:rPr>
                <w:b/>
                <w:iCs/>
              </w:rPr>
            </w:pPr>
            <w:r w:rsidRPr="001552C0">
              <w:rPr>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DB01DC4" w14:textId="77777777" w:rsidR="00F000AD" w:rsidRPr="001552C0" w:rsidRDefault="00F000AD" w:rsidP="00F000AD">
            <w:pPr>
              <w:rPr>
                <w:b/>
                <w:iCs/>
              </w:rPr>
            </w:pPr>
            <w:r w:rsidRPr="001552C0">
              <w:rPr>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5872B394" w14:textId="77777777" w:rsidR="00F000AD" w:rsidRPr="001552C0" w:rsidRDefault="00F000AD" w:rsidP="00F000AD">
            <w:pPr>
              <w:rPr>
                <w:b/>
                <w:iCs/>
              </w:rPr>
            </w:pPr>
            <w:r w:rsidRPr="001552C0">
              <w:rPr>
                <w:b/>
                <w:iCs/>
              </w:rPr>
              <w:t>Category of region</w:t>
            </w:r>
            <w:r w:rsidRPr="001552C0">
              <w:rPr>
                <w:b/>
                <w:iCs/>
                <w:vertAlign w:val="superscript"/>
              </w:rPr>
              <w:footnoteReference w:id="3"/>
            </w:r>
          </w:p>
        </w:tc>
        <w:tc>
          <w:tcPr>
            <w:tcW w:w="1053" w:type="dxa"/>
            <w:tcBorders>
              <w:top w:val="single" w:sz="4" w:space="0" w:color="auto"/>
              <w:left w:val="single" w:sz="4" w:space="0" w:color="auto"/>
              <w:bottom w:val="single" w:sz="4" w:space="0" w:color="auto"/>
              <w:right w:val="single" w:sz="4" w:space="0" w:color="auto"/>
            </w:tcBorders>
            <w:hideMark/>
          </w:tcPr>
          <w:p w14:paraId="43602AA1" w14:textId="77777777" w:rsidR="00F000AD" w:rsidRPr="001552C0" w:rsidRDefault="00F000AD" w:rsidP="00F000AD">
            <w:pPr>
              <w:rPr>
                <w:b/>
                <w:iCs/>
              </w:rPr>
            </w:pPr>
            <w:r w:rsidRPr="001552C0">
              <w:rPr>
                <w:b/>
                <w:iCs/>
              </w:rPr>
              <w:t xml:space="preserve">Code </w:t>
            </w:r>
          </w:p>
        </w:tc>
        <w:tc>
          <w:tcPr>
            <w:tcW w:w="2175" w:type="dxa"/>
            <w:gridSpan w:val="3"/>
            <w:tcBorders>
              <w:top w:val="single" w:sz="4" w:space="0" w:color="auto"/>
              <w:left w:val="single" w:sz="4" w:space="0" w:color="auto"/>
              <w:bottom w:val="single" w:sz="4" w:space="0" w:color="auto"/>
              <w:right w:val="single" w:sz="4" w:space="0" w:color="auto"/>
            </w:tcBorders>
            <w:hideMark/>
          </w:tcPr>
          <w:p w14:paraId="5B50319C" w14:textId="77777777" w:rsidR="00F000AD" w:rsidRPr="001552C0" w:rsidRDefault="00F000AD" w:rsidP="00F000AD">
            <w:pPr>
              <w:rPr>
                <w:b/>
                <w:iCs/>
              </w:rPr>
            </w:pPr>
            <w:r w:rsidRPr="001552C0">
              <w:rPr>
                <w:b/>
                <w:iCs/>
              </w:rPr>
              <w:t>Amount (EUR)</w:t>
            </w:r>
          </w:p>
        </w:tc>
      </w:tr>
      <w:tr w:rsidR="00B96B06" w:rsidRPr="001552C0" w14:paraId="17B7382A" w14:textId="77777777" w:rsidTr="00F000AD">
        <w:tc>
          <w:tcPr>
            <w:tcW w:w="1599" w:type="dxa"/>
            <w:tcBorders>
              <w:top w:val="single" w:sz="4" w:space="0" w:color="auto"/>
              <w:left w:val="single" w:sz="4" w:space="0" w:color="auto"/>
              <w:bottom w:val="single" w:sz="4" w:space="0" w:color="auto"/>
              <w:right w:val="single" w:sz="4" w:space="0" w:color="auto"/>
            </w:tcBorders>
          </w:tcPr>
          <w:p w14:paraId="51B4C876" w14:textId="77777777" w:rsidR="00F000AD" w:rsidRPr="001552C0" w:rsidRDefault="00F000AD" w:rsidP="00F000AD">
            <w:pPr>
              <w:rPr>
                <w:b/>
                <w:iCs/>
              </w:rPr>
            </w:pPr>
          </w:p>
        </w:tc>
        <w:tc>
          <w:tcPr>
            <w:tcW w:w="1384" w:type="dxa"/>
            <w:tcBorders>
              <w:top w:val="single" w:sz="4" w:space="0" w:color="auto"/>
              <w:left w:val="single" w:sz="4" w:space="0" w:color="auto"/>
              <w:bottom w:val="single" w:sz="4" w:space="0" w:color="auto"/>
              <w:right w:val="single" w:sz="4" w:space="0" w:color="auto"/>
            </w:tcBorders>
          </w:tcPr>
          <w:p w14:paraId="1F7B3C3F" w14:textId="77777777" w:rsidR="00F000AD" w:rsidRPr="001552C0" w:rsidRDefault="00F000AD" w:rsidP="00F000AD">
            <w:pPr>
              <w:rPr>
                <w:b/>
                <w:iCs/>
              </w:rPr>
            </w:pPr>
          </w:p>
        </w:tc>
        <w:tc>
          <w:tcPr>
            <w:tcW w:w="1433" w:type="dxa"/>
            <w:tcBorders>
              <w:top w:val="single" w:sz="4" w:space="0" w:color="auto"/>
              <w:left w:val="single" w:sz="4" w:space="0" w:color="auto"/>
              <w:bottom w:val="single" w:sz="4" w:space="0" w:color="auto"/>
              <w:right w:val="single" w:sz="4" w:space="0" w:color="auto"/>
            </w:tcBorders>
          </w:tcPr>
          <w:p w14:paraId="55C30D82" w14:textId="77777777" w:rsidR="00F000AD" w:rsidRPr="001552C0" w:rsidRDefault="00F000AD" w:rsidP="00F000AD">
            <w:pPr>
              <w:rPr>
                <w:b/>
                <w:iCs/>
              </w:rPr>
            </w:pPr>
          </w:p>
        </w:tc>
        <w:tc>
          <w:tcPr>
            <w:tcW w:w="1644" w:type="dxa"/>
            <w:gridSpan w:val="2"/>
            <w:tcBorders>
              <w:top w:val="single" w:sz="4" w:space="0" w:color="auto"/>
              <w:left w:val="single" w:sz="4" w:space="0" w:color="auto"/>
              <w:bottom w:val="single" w:sz="4" w:space="0" w:color="auto"/>
              <w:right w:val="single" w:sz="4" w:space="0" w:color="auto"/>
            </w:tcBorders>
          </w:tcPr>
          <w:p w14:paraId="36EA1F26" w14:textId="77777777" w:rsidR="00F000AD" w:rsidRPr="001552C0" w:rsidRDefault="00F000AD" w:rsidP="00F000AD">
            <w:pPr>
              <w:rPr>
                <w:b/>
                <w:iCs/>
              </w:rPr>
            </w:pPr>
          </w:p>
        </w:tc>
        <w:tc>
          <w:tcPr>
            <w:tcW w:w="1053" w:type="dxa"/>
            <w:tcBorders>
              <w:top w:val="single" w:sz="4" w:space="0" w:color="auto"/>
              <w:left w:val="single" w:sz="4" w:space="0" w:color="auto"/>
              <w:bottom w:val="single" w:sz="4" w:space="0" w:color="auto"/>
              <w:right w:val="single" w:sz="4" w:space="0" w:color="auto"/>
            </w:tcBorders>
          </w:tcPr>
          <w:p w14:paraId="4EB9D65C" w14:textId="77777777" w:rsidR="00F000AD" w:rsidRPr="001552C0" w:rsidRDefault="00F000AD" w:rsidP="00F000AD">
            <w:pPr>
              <w:rPr>
                <w:b/>
                <w:iCs/>
              </w:rPr>
            </w:pPr>
          </w:p>
        </w:tc>
        <w:tc>
          <w:tcPr>
            <w:tcW w:w="531" w:type="dxa"/>
            <w:tcBorders>
              <w:top w:val="single" w:sz="4" w:space="0" w:color="auto"/>
              <w:left w:val="single" w:sz="4" w:space="0" w:color="auto"/>
              <w:bottom w:val="single" w:sz="4" w:space="0" w:color="auto"/>
              <w:right w:val="single" w:sz="4" w:space="0" w:color="auto"/>
            </w:tcBorders>
          </w:tcPr>
          <w:p w14:paraId="4A61744B" w14:textId="77777777" w:rsidR="00F000AD" w:rsidRPr="001552C0" w:rsidRDefault="00F000AD" w:rsidP="00F000AD">
            <w:pPr>
              <w:rPr>
                <w:b/>
                <w:iCs/>
              </w:rPr>
            </w:pPr>
          </w:p>
        </w:tc>
      </w:tr>
      <w:tr w:rsidR="00F000AD" w:rsidRPr="001552C0" w14:paraId="50FB03CB" w14:textId="77777777" w:rsidTr="00F000AD">
        <w:tc>
          <w:tcPr>
            <w:tcW w:w="1599" w:type="dxa"/>
            <w:tcBorders>
              <w:top w:val="single" w:sz="4" w:space="0" w:color="auto"/>
              <w:left w:val="single" w:sz="4" w:space="0" w:color="auto"/>
              <w:bottom w:val="single" w:sz="4" w:space="0" w:color="auto"/>
              <w:right w:val="single" w:sz="4" w:space="0" w:color="auto"/>
            </w:tcBorders>
          </w:tcPr>
          <w:p w14:paraId="6E9E43D2" w14:textId="77777777" w:rsidR="00F000AD" w:rsidRPr="001552C0" w:rsidRDefault="00F000AD" w:rsidP="00E273CF">
            <w:pPr>
              <w:rPr>
                <w:b/>
                <w:iCs/>
              </w:rPr>
            </w:pPr>
          </w:p>
        </w:tc>
        <w:tc>
          <w:tcPr>
            <w:tcW w:w="1384" w:type="dxa"/>
            <w:tcBorders>
              <w:top w:val="single" w:sz="4" w:space="0" w:color="auto"/>
              <w:left w:val="single" w:sz="4" w:space="0" w:color="auto"/>
              <w:bottom w:val="single" w:sz="4" w:space="0" w:color="auto"/>
              <w:right w:val="single" w:sz="4" w:space="0" w:color="auto"/>
            </w:tcBorders>
          </w:tcPr>
          <w:p w14:paraId="489CCC0B" w14:textId="77777777" w:rsidR="00F000AD" w:rsidRPr="001552C0" w:rsidRDefault="00F000AD" w:rsidP="00F000AD">
            <w:pPr>
              <w:rPr>
                <w:b/>
                <w:iCs/>
              </w:rPr>
            </w:pPr>
          </w:p>
        </w:tc>
        <w:tc>
          <w:tcPr>
            <w:tcW w:w="1433" w:type="dxa"/>
            <w:tcBorders>
              <w:top w:val="single" w:sz="4" w:space="0" w:color="auto"/>
              <w:left w:val="single" w:sz="4" w:space="0" w:color="auto"/>
              <w:bottom w:val="single" w:sz="4" w:space="0" w:color="auto"/>
              <w:right w:val="single" w:sz="4" w:space="0" w:color="auto"/>
            </w:tcBorders>
          </w:tcPr>
          <w:p w14:paraId="424CAC78" w14:textId="77777777" w:rsidR="00F000AD" w:rsidRPr="001552C0" w:rsidRDefault="00F000AD" w:rsidP="00F000AD">
            <w:pPr>
              <w:rPr>
                <w:b/>
                <w:iCs/>
              </w:rPr>
            </w:pPr>
          </w:p>
        </w:tc>
        <w:tc>
          <w:tcPr>
            <w:tcW w:w="1053" w:type="dxa"/>
            <w:tcBorders>
              <w:top w:val="single" w:sz="4" w:space="0" w:color="auto"/>
              <w:left w:val="single" w:sz="4" w:space="0" w:color="auto"/>
              <w:bottom w:val="single" w:sz="4" w:space="0" w:color="auto"/>
              <w:right w:val="single" w:sz="4" w:space="0" w:color="auto"/>
            </w:tcBorders>
          </w:tcPr>
          <w:p w14:paraId="128155B5" w14:textId="77777777" w:rsidR="00F000AD" w:rsidRPr="001552C0" w:rsidRDefault="00F000AD" w:rsidP="00F000AD">
            <w:pPr>
              <w:rPr>
                <w:b/>
                <w:iCs/>
              </w:rPr>
            </w:pPr>
          </w:p>
        </w:tc>
        <w:tc>
          <w:tcPr>
            <w:tcW w:w="2175" w:type="dxa"/>
            <w:gridSpan w:val="3"/>
            <w:tcBorders>
              <w:top w:val="single" w:sz="4" w:space="0" w:color="auto"/>
              <w:left w:val="single" w:sz="4" w:space="0" w:color="auto"/>
              <w:bottom w:val="single" w:sz="4" w:space="0" w:color="auto"/>
              <w:right w:val="single" w:sz="4" w:space="0" w:color="auto"/>
            </w:tcBorders>
          </w:tcPr>
          <w:p w14:paraId="06C1B9A1" w14:textId="77777777" w:rsidR="00F000AD" w:rsidRPr="001552C0" w:rsidRDefault="00F000AD" w:rsidP="00F000AD">
            <w:pPr>
              <w:rPr>
                <w:b/>
                <w:iCs/>
              </w:rPr>
            </w:pPr>
          </w:p>
        </w:tc>
      </w:tr>
    </w:tbl>
    <w:p w14:paraId="48CD6653" w14:textId="77777777" w:rsidR="00174F85" w:rsidRPr="001552C0" w:rsidRDefault="00174F85" w:rsidP="00174F85">
      <w:pPr>
        <w:tabs>
          <w:tab w:val="left" w:pos="3150"/>
        </w:tabs>
      </w:pPr>
    </w:p>
    <w:p w14:paraId="0ADB675B" w14:textId="0F33B001" w:rsidR="002E744B" w:rsidRPr="001552C0" w:rsidRDefault="002E744B" w:rsidP="002E744B">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w:t>
      </w:r>
      <w:r w:rsidR="00492CE4" w:rsidRPr="001552C0">
        <w:rPr>
          <w:rFonts w:ascii="Times New Roman" w:eastAsia="Times New Roman" w:hAnsi="Times New Roman" w:cs="Times New Roman"/>
          <w:b/>
          <w:iCs/>
          <w:noProof/>
          <w:sz w:val="24"/>
          <w:szCs w:val="24"/>
        </w:rPr>
        <w:t>2</w:t>
      </w:r>
      <w:r w:rsidRPr="001552C0">
        <w:rPr>
          <w:rFonts w:ascii="Times New Roman" w:eastAsia="Times New Roman" w:hAnsi="Times New Roman" w:cs="Times New Roman"/>
          <w:b/>
          <w:iCs/>
          <w:noProof/>
          <w:sz w:val="24"/>
          <w:szCs w:val="24"/>
        </w:rPr>
        <w:t xml:space="preserve"> Specific objective</w:t>
      </w:r>
      <w:r w:rsidRPr="001552C0">
        <w:rPr>
          <w:rFonts w:ascii="Times New Roman" w:eastAsia="Times New Roman" w:hAnsi="Times New Roman" w:cs="Times New Roman"/>
          <w:b/>
          <w:bCs/>
          <w:iCs/>
          <w:noProof/>
          <w:sz w:val="24"/>
          <w:szCs w:val="24"/>
          <w:vertAlign w:val="superscript"/>
        </w:rPr>
        <w:footnoteReference w:id="4"/>
      </w:r>
      <w:r w:rsidRPr="001552C0">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29111E40" w14:textId="68FDD00C" w:rsidR="00C0095D" w:rsidRPr="001552C0" w:rsidRDefault="00C0095D" w:rsidP="00C0095D">
      <w:pPr>
        <w:spacing w:before="120" w:after="120" w:line="360" w:lineRule="auto"/>
        <w:jc w:val="both"/>
        <w:rPr>
          <w:rFonts w:eastAsia="Times New Roman" w:cstheme="minorHAnsi"/>
          <w:b/>
          <w:i/>
          <w:iCs/>
          <w:noProof/>
          <w:szCs w:val="24"/>
        </w:rPr>
      </w:pPr>
      <w:r w:rsidRPr="001552C0">
        <w:rPr>
          <w:rFonts w:eastAsia="Times New Roman" w:cstheme="minorHAnsi"/>
          <w:b/>
          <w:i/>
          <w:iCs/>
          <w:noProof/>
          <w:szCs w:val="24"/>
        </w:rPr>
        <w:t>Obiectiv Specific  (i) Promovarea eficienței energetice și reducerea emisiilor de gaze cu efect de seră</w:t>
      </w:r>
    </w:p>
    <w:p w14:paraId="1E18C270" w14:textId="4CF3DF91" w:rsidR="002E744B" w:rsidRPr="001552C0" w:rsidRDefault="002E744B" w:rsidP="002E744B">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w:t>
      </w:r>
      <w:r w:rsidR="00492CE4" w:rsidRPr="001552C0">
        <w:rPr>
          <w:rFonts w:ascii="Times New Roman" w:eastAsia="Times New Roman" w:hAnsi="Times New Roman" w:cs="Times New Roman"/>
          <w:b/>
          <w:iCs/>
          <w:noProof/>
          <w:sz w:val="24"/>
          <w:szCs w:val="24"/>
        </w:rPr>
        <w:t>2</w:t>
      </w:r>
      <w:r w:rsidRPr="001552C0">
        <w:rPr>
          <w:rFonts w:ascii="Times New Roman" w:eastAsia="Times New Roman" w:hAnsi="Times New Roman" w:cs="Times New Roman"/>
          <w:b/>
          <w:iCs/>
          <w:noProof/>
          <w:sz w:val="24"/>
          <w:szCs w:val="24"/>
        </w:rPr>
        <w:t>.1 Interventions of the Funds</w:t>
      </w:r>
    </w:p>
    <w:p w14:paraId="36E7F4E4" w14:textId="3DC07FD3" w:rsidR="002E744B" w:rsidRPr="001552C0" w:rsidRDefault="002E744B" w:rsidP="002E744B">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Reference: Article 17(3)(d)(i),(iii),</w:t>
      </w:r>
      <w:r w:rsidR="00492CE4" w:rsidRPr="001552C0">
        <w:t xml:space="preserve"> </w:t>
      </w:r>
      <w:r w:rsidR="00492CE4" w:rsidRPr="001552C0">
        <w:rPr>
          <w:rFonts w:ascii="Times New Roman" w:eastAsia="Times New Roman" w:hAnsi="Times New Roman" w:cs="Times New Roman"/>
          <w:b/>
          <w:i/>
          <w:noProof/>
          <w:sz w:val="24"/>
          <w:szCs w:val="24"/>
        </w:rPr>
        <w:t>(iiia),</w:t>
      </w:r>
      <w:r w:rsidR="00492CE4" w:rsidRPr="001552C0">
        <w:rPr>
          <w:rFonts w:ascii="Times New Roman" w:eastAsia="Times New Roman" w:hAnsi="Times New Roman" w:cs="Times New Roman"/>
          <w:i/>
          <w:noProof/>
          <w:sz w:val="24"/>
          <w:szCs w:val="24"/>
        </w:rPr>
        <w:t xml:space="preserve"> </w:t>
      </w:r>
      <w:r w:rsidRPr="001552C0">
        <w:rPr>
          <w:rFonts w:ascii="Times New Roman" w:eastAsia="Times New Roman" w:hAnsi="Times New Roman" w:cs="Times New Roman"/>
          <w:i/>
          <w:noProof/>
          <w:sz w:val="24"/>
          <w:szCs w:val="24"/>
        </w:rPr>
        <w:t>(iv),(v),(vi)</w:t>
      </w:r>
      <w:r w:rsidR="00492CE4" w:rsidRPr="001552C0">
        <w:rPr>
          <w:rFonts w:ascii="Times New Roman" w:eastAsia="Times New Roman" w:hAnsi="Times New Roman" w:cs="Times New Roman"/>
          <w:i/>
          <w:noProof/>
          <w:sz w:val="24"/>
          <w:szCs w:val="24"/>
        </w:rPr>
        <w:t xml:space="preserve"> </w:t>
      </w:r>
      <w:r w:rsidR="00492CE4" w:rsidRPr="001552C0">
        <w:rPr>
          <w:rFonts w:ascii="Times New Roman" w:eastAsia="Times New Roman" w:hAnsi="Times New Roman" w:cs="Times New Roman"/>
          <w:b/>
          <w:i/>
          <w:noProof/>
          <w:sz w:val="24"/>
          <w:szCs w:val="24"/>
        </w:rPr>
        <w:t>CPR</w:t>
      </w:r>
      <w:r w:rsidRPr="001552C0">
        <w:rPr>
          <w:rFonts w:ascii="Times New Roman" w:eastAsia="Times New Roman" w:hAnsi="Times New Roman" w:cs="Times New Roman"/>
          <w:i/>
          <w:noProof/>
          <w:sz w:val="24"/>
          <w:szCs w:val="24"/>
        </w:rPr>
        <w:t>;</w:t>
      </w:r>
    </w:p>
    <w:p w14:paraId="7BAA9D20" w14:textId="77777777" w:rsidR="002E744B" w:rsidRPr="001552C0" w:rsidRDefault="002E744B" w:rsidP="002E744B">
      <w:pPr>
        <w:bidi/>
        <w:spacing w:before="120" w:after="120" w:line="360" w:lineRule="auto"/>
        <w:jc w:val="right"/>
        <w:rPr>
          <w:rFonts w:ascii="Times New Roman" w:eastAsia="Times New Roman" w:hAnsi="Times New Roman" w:cs="Times New Roman"/>
          <w:b/>
          <w:bCs/>
          <w:i/>
          <w:iCs/>
          <w:noProof/>
          <w:sz w:val="24"/>
          <w:szCs w:val="24"/>
        </w:rPr>
      </w:pPr>
      <w:r w:rsidRPr="001552C0">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96B06" w:rsidRPr="001552C0" w14:paraId="2B295E9A" w14:textId="77777777" w:rsidTr="0028272C">
        <w:tc>
          <w:tcPr>
            <w:tcW w:w="9288" w:type="dxa"/>
            <w:tcBorders>
              <w:top w:val="single" w:sz="4" w:space="0" w:color="auto"/>
              <w:left w:val="single" w:sz="4" w:space="0" w:color="auto"/>
              <w:bottom w:val="single" w:sz="4" w:space="0" w:color="auto"/>
              <w:right w:val="single" w:sz="4" w:space="0" w:color="auto"/>
            </w:tcBorders>
            <w:hideMark/>
          </w:tcPr>
          <w:p w14:paraId="5B5ACDB5" w14:textId="77777777" w:rsidR="002E744B" w:rsidRPr="001552C0" w:rsidRDefault="002E744B" w:rsidP="002E744B">
            <w:pPr>
              <w:spacing w:before="120" w:after="120" w:line="360" w:lineRule="auto"/>
              <w:rPr>
                <w:rFonts w:ascii="Times New Roman" w:eastAsia="Times New Roman" w:hAnsi="Times New Roman" w:cs="Times New Roman"/>
                <w:i/>
                <w:iCs/>
                <w:noProof/>
                <w:szCs w:val="24"/>
              </w:rPr>
            </w:pPr>
            <w:r w:rsidRPr="001552C0">
              <w:rPr>
                <w:rFonts w:ascii="Times New Roman" w:eastAsia="Times New Roman" w:hAnsi="Times New Roman" w:cs="Times New Roman"/>
                <w:i/>
                <w:iCs/>
                <w:noProof/>
                <w:szCs w:val="24"/>
              </w:rPr>
              <w:t>Text field [8 000]</w:t>
            </w:r>
          </w:p>
          <w:p w14:paraId="40AE45FD" w14:textId="6F13D693" w:rsidR="001A2279" w:rsidRPr="001552C0" w:rsidRDefault="00064DE1" w:rsidP="001A2279">
            <w:pPr>
              <w:spacing w:before="120" w:after="120" w:line="360" w:lineRule="auto"/>
              <w:jc w:val="both"/>
              <w:rPr>
                <w:rFonts w:eastAsia="Times New Roman" w:cstheme="minorHAnsi"/>
                <w:b/>
                <w:i/>
                <w:iCs/>
                <w:noProof/>
                <w:sz w:val="24"/>
                <w:szCs w:val="24"/>
              </w:rPr>
            </w:pPr>
            <w:r>
              <w:rPr>
                <w:rFonts w:eastAsia="Times New Roman" w:cstheme="minorHAnsi"/>
                <w:b/>
                <w:i/>
                <w:iCs/>
                <w:noProof/>
                <w:sz w:val="24"/>
                <w:szCs w:val="24"/>
              </w:rPr>
              <w:t xml:space="preserve">Acțiunea </w:t>
            </w:r>
            <w:r w:rsidR="001A2279" w:rsidRPr="001552C0">
              <w:rPr>
                <w:rFonts w:eastAsia="Times New Roman" w:cstheme="minorHAnsi"/>
                <w:b/>
                <w:i/>
                <w:iCs/>
                <w:noProof/>
                <w:sz w:val="24"/>
                <w:szCs w:val="24"/>
              </w:rPr>
              <w:t>1.1. Îmbunătățirea eficienței energetice a IMM-urilor și a întreprinderilor mari</w:t>
            </w:r>
          </w:p>
          <w:p w14:paraId="706EB125" w14:textId="0D610D38" w:rsidR="001A2279" w:rsidRPr="001552C0" w:rsidRDefault="00AE188E" w:rsidP="001A2279">
            <w:pPr>
              <w:jc w:val="both"/>
              <w:rPr>
                <w:rFonts w:cstheme="minorHAnsi"/>
                <w:iCs/>
                <w:sz w:val="24"/>
                <w:szCs w:val="24"/>
              </w:rPr>
            </w:pPr>
            <w:r w:rsidRPr="001552C0">
              <w:rPr>
                <w:rFonts w:cstheme="minorHAnsi"/>
                <w:iCs/>
                <w:sz w:val="24"/>
                <w:szCs w:val="24"/>
              </w:rPr>
              <w:t xml:space="preserve">Prin </w:t>
            </w:r>
            <w:r w:rsidR="001A2279" w:rsidRPr="001552C0">
              <w:rPr>
                <w:rFonts w:cstheme="minorHAnsi"/>
                <w:iCs/>
                <w:sz w:val="24"/>
                <w:szCs w:val="24"/>
              </w:rPr>
              <w:t>PNIESC  România</w:t>
            </w:r>
            <w:r w:rsidRPr="001552C0">
              <w:rPr>
                <w:rFonts w:cstheme="minorHAnsi"/>
                <w:iCs/>
                <w:sz w:val="24"/>
                <w:szCs w:val="24"/>
              </w:rPr>
              <w:t xml:space="preserve"> a sumat </w:t>
            </w:r>
            <w:r w:rsidR="001A2279" w:rsidRPr="001552C0">
              <w:rPr>
                <w:rFonts w:cstheme="minorHAnsi"/>
                <w:iCs/>
                <w:sz w:val="24"/>
                <w:szCs w:val="24"/>
              </w:rPr>
              <w:t xml:space="preserve">o reducere mai mare a consumurilor de energie primară și </w:t>
            </w:r>
            <w:r w:rsidR="001A2279" w:rsidRPr="001552C0">
              <w:rPr>
                <w:rFonts w:cstheme="minorHAnsi"/>
                <w:iCs/>
                <w:sz w:val="24"/>
                <w:szCs w:val="24"/>
              </w:rPr>
              <w:lastRenderedPageBreak/>
              <w:t>finală până în anul 2030, pentru ca obiectivul de eficiență energetică al Uniunii să fie atins.</w:t>
            </w:r>
            <w:r w:rsidRPr="001552C0">
              <w:rPr>
                <w:rFonts w:cstheme="minorHAnsi"/>
                <w:iCs/>
                <w:sz w:val="24"/>
                <w:szCs w:val="24"/>
              </w:rPr>
              <w:t xml:space="preserve"> </w:t>
            </w:r>
            <w:r w:rsidR="001A2279" w:rsidRPr="001552C0">
              <w:rPr>
                <w:rFonts w:cstheme="minorHAnsi"/>
                <w:iCs/>
                <w:sz w:val="24"/>
                <w:szCs w:val="24"/>
              </w:rPr>
              <w:t xml:space="preserve">Prin </w:t>
            </w:r>
            <w:r w:rsidRPr="001552C0">
              <w:rPr>
                <w:rFonts w:cstheme="minorHAnsi"/>
                <w:iCs/>
                <w:sz w:val="24"/>
                <w:szCs w:val="24"/>
              </w:rPr>
              <w:t>urmare</w:t>
            </w:r>
            <w:r w:rsidR="001A2279" w:rsidRPr="001552C0">
              <w:rPr>
                <w:rFonts w:cstheme="minorHAnsi"/>
                <w:iCs/>
                <w:sz w:val="24"/>
                <w:szCs w:val="24"/>
              </w:rPr>
              <w:t xml:space="preserve">, România țintește un consum primar de energie de 32,3 Mtep, respectiv un consum final de energie de 25,7 Mtep, obținând astfel economii de energie de 45,1%, raportate la consumul primar aferent anului 2030, respectiv de 40,4% pentru consumul final de energie, comparativ cu scenariul de referință PRIMES 2007.  </w:t>
            </w:r>
          </w:p>
          <w:p w14:paraId="618EDA24" w14:textId="019878FF" w:rsidR="001A2279" w:rsidRPr="001552C0" w:rsidRDefault="001A2279" w:rsidP="001A2279">
            <w:pPr>
              <w:jc w:val="both"/>
              <w:rPr>
                <w:rFonts w:cstheme="minorHAnsi"/>
                <w:iCs/>
                <w:sz w:val="24"/>
                <w:szCs w:val="24"/>
              </w:rPr>
            </w:pPr>
            <w:r w:rsidRPr="001552C0">
              <w:rPr>
                <w:rFonts w:cstheme="minorHAnsi"/>
                <w:iCs/>
                <w:sz w:val="24"/>
                <w:szCs w:val="24"/>
              </w:rPr>
              <w:t>Mai mult, pentru a se conforma obligațiilor prevăzute la Art. 7 din Directiva (UE) 2018/2002 de modificare a Directivei 2012/27/UE privind eficiența energetică, România trebuie să atingă o valoare cumulată a economiilor noi de energie echivalentă cu 10,12 Mtep în perioada 2021 – 2030. În urma unei analize detaliate, România a decis să elaboreze și să implementeze măsuri și politici alternative care să încurajeze economiile de energie</w:t>
            </w:r>
            <w:r w:rsidR="00D83497" w:rsidRPr="001552C0">
              <w:rPr>
                <w:rFonts w:cstheme="minorHAnsi"/>
                <w:iCs/>
                <w:sz w:val="24"/>
                <w:szCs w:val="24"/>
              </w:rPr>
              <w:t>, una dintre măsuri vizând reabilitarea termică a clădirilor</w:t>
            </w:r>
            <w:r w:rsidRPr="001552C0">
              <w:rPr>
                <w:rFonts w:cstheme="minorHAnsi"/>
                <w:iCs/>
                <w:sz w:val="24"/>
                <w:szCs w:val="24"/>
              </w:rPr>
              <w:t>. În plus, un Proiect privind Strategia de Renovare pe Termen Lung a fost prezentat spre consultare publică, ce urmează a fi adoptat până în martie 2020 (scenariul actual de renovare prevede o eficiență energetică și economii de CO2 semnificative, precum și noi facilități pentru instalații de producerea de SRE-E – majoritatea sub formă de panouri fotovoltaice pentru clădirile existente).</w:t>
            </w:r>
          </w:p>
          <w:p w14:paraId="4053811A" w14:textId="77777777" w:rsidR="001A2279" w:rsidRPr="001552C0" w:rsidRDefault="001A2279" w:rsidP="001A2279">
            <w:pPr>
              <w:jc w:val="both"/>
              <w:rPr>
                <w:rFonts w:cstheme="minorHAnsi"/>
                <w:iCs/>
                <w:sz w:val="24"/>
                <w:szCs w:val="24"/>
              </w:rPr>
            </w:pPr>
            <w:r w:rsidRPr="001552C0">
              <w:rPr>
                <w:rFonts w:cstheme="minorHAnsi"/>
                <w:iCs/>
                <w:sz w:val="24"/>
                <w:szCs w:val="24"/>
              </w:rPr>
              <w:t>Potrivit PNIESC, România ar trebui să ajungă la o reducere a consumului de energie finală echivalent cu cca. 1,83 mil. tep la finalul anului 2030, comparativ cu media consumului final înregistrat în perioada 2016-2018, prin noi măsuri în perioada 2021-2030 (în conformitate cu prevederile Art. 7 al Directivei 2018/2002 (de amendare a Directivei 2012/27/EU).</w:t>
            </w:r>
          </w:p>
          <w:p w14:paraId="53740CC5" w14:textId="7ED0C30B" w:rsidR="001A2279" w:rsidRPr="001552C0" w:rsidRDefault="001A2279" w:rsidP="001A2279">
            <w:pPr>
              <w:jc w:val="both"/>
              <w:rPr>
                <w:rFonts w:cstheme="minorHAnsi"/>
                <w:iCs/>
                <w:sz w:val="24"/>
                <w:szCs w:val="24"/>
              </w:rPr>
            </w:pPr>
            <w:r w:rsidRPr="001552C0">
              <w:rPr>
                <w:rFonts w:cstheme="minorHAnsi"/>
                <w:iCs/>
                <w:sz w:val="24"/>
                <w:szCs w:val="24"/>
              </w:rPr>
              <w:t>Prin Strategia de Renovare pe Termen Lung – SRTL (aplicabilă clădirilor rezidențiale, publice, comerciale) elaborată de MDRAP, s-au identificat noi măsuri de eficiență energetică, echivalente cu atingerea unei reduceri de 0,83 mil. Tep până la sfârșitul anului 2030. În context, trebuie menționat faptul că, din experiența perioadei de alocare precedente (POR), indicatorii de eficiență în</w:t>
            </w:r>
            <w:r w:rsidR="009E30E2" w:rsidRPr="001552C0">
              <w:rPr>
                <w:rFonts w:cstheme="minorHAnsi"/>
                <w:iCs/>
                <w:sz w:val="24"/>
                <w:szCs w:val="24"/>
              </w:rPr>
              <w:t xml:space="preserve"> </w:t>
            </w:r>
            <w:r w:rsidRPr="001552C0">
              <w:rPr>
                <w:rFonts w:cstheme="minorHAnsi"/>
                <w:iCs/>
                <w:sz w:val="24"/>
                <w:szCs w:val="24"/>
              </w:rPr>
              <w:t xml:space="preserve">proiectele specifice aferente clădirilor sunt din ce în ce mai greu de atins, raportat la costurile estimate. </w:t>
            </w:r>
          </w:p>
          <w:p w14:paraId="261AB3FD" w14:textId="6BAC4694" w:rsidR="001A2279" w:rsidRPr="001552C0" w:rsidRDefault="001A2279" w:rsidP="001A2279">
            <w:pPr>
              <w:jc w:val="both"/>
              <w:rPr>
                <w:rFonts w:cstheme="minorHAnsi"/>
                <w:iCs/>
                <w:sz w:val="24"/>
                <w:szCs w:val="24"/>
              </w:rPr>
            </w:pPr>
            <w:r w:rsidRPr="001552C0">
              <w:rPr>
                <w:rFonts w:cstheme="minorHAnsi"/>
                <w:iCs/>
                <w:sz w:val="24"/>
                <w:szCs w:val="24"/>
              </w:rPr>
              <w:t>Având în vedere necesitatea identificării măsurilor adiționale de reducere a consumului</w:t>
            </w:r>
            <w:r w:rsidR="00BC1256" w:rsidRPr="001552C0">
              <w:rPr>
                <w:rFonts w:cstheme="minorHAnsi"/>
                <w:iCs/>
                <w:sz w:val="24"/>
                <w:szCs w:val="24"/>
              </w:rPr>
              <w:t xml:space="preserve"> (de cca. 1 mil. tep), </w:t>
            </w:r>
            <w:r w:rsidRPr="001552C0">
              <w:rPr>
                <w:rFonts w:cstheme="minorHAnsi"/>
                <w:iCs/>
                <w:sz w:val="24"/>
                <w:szCs w:val="24"/>
              </w:rPr>
              <w:t>a</w:t>
            </w:r>
            <w:r w:rsidR="00BC1256" w:rsidRPr="001552C0">
              <w:rPr>
                <w:rFonts w:cstheme="minorHAnsi"/>
                <w:iCs/>
                <w:sz w:val="24"/>
                <w:szCs w:val="24"/>
              </w:rPr>
              <w:t xml:space="preserve"> fost</w:t>
            </w:r>
            <w:r w:rsidRPr="001552C0">
              <w:rPr>
                <w:rFonts w:cstheme="minorHAnsi"/>
                <w:iCs/>
                <w:sz w:val="24"/>
                <w:szCs w:val="24"/>
              </w:rPr>
              <w:t xml:space="preserve"> analizat</w:t>
            </w:r>
            <w:r w:rsidR="00BC1256" w:rsidRPr="001552C0">
              <w:rPr>
                <w:rFonts w:cstheme="minorHAnsi"/>
                <w:iCs/>
                <w:sz w:val="24"/>
                <w:szCs w:val="24"/>
              </w:rPr>
              <w:t>a</w:t>
            </w:r>
            <w:r w:rsidRPr="001552C0">
              <w:rPr>
                <w:rFonts w:cstheme="minorHAnsi"/>
                <w:iCs/>
                <w:sz w:val="24"/>
                <w:szCs w:val="24"/>
              </w:rPr>
              <w:t xml:space="preserve"> ponderea consumurilor sectoriale conform ultimelor date EUROSTAT disponibile (2017). Astfel, cu un consum de 6,04 mil. tep în 2017, industria prezintă cea mai mare pondere - de 26,4% în consumul final total la nivel național. În același timp, conform Raportului de Țară semestrial (2019), i</w:t>
            </w:r>
            <w:r w:rsidR="00C0095D" w:rsidRPr="001552C0">
              <w:rPr>
                <w:rFonts w:cstheme="minorHAnsi"/>
                <w:iCs/>
                <w:sz w:val="24"/>
                <w:szCs w:val="24"/>
              </w:rPr>
              <w:t>ndustria energointensivă asigură</w:t>
            </w:r>
            <w:r w:rsidRPr="001552C0">
              <w:rPr>
                <w:rFonts w:cstheme="minorHAnsi"/>
                <w:iCs/>
                <w:sz w:val="24"/>
                <w:szCs w:val="24"/>
              </w:rPr>
              <w:t>, în 2017, peste 12% din valoarea Produsului Intern Brut Menționăm, de asemenea, că excluderea prevăzută la Art. 6 din Regulamentului ERDF/Fondului de Coeziune nu este aplicabilă, întrucât aceasta adresează măsuri de reducere a emisiilor de gaze cu efect de seră și nu de eficiență energetică.</w:t>
            </w:r>
          </w:p>
          <w:p w14:paraId="6977C341" w14:textId="77777777" w:rsidR="001A2279" w:rsidRPr="001552C0" w:rsidRDefault="001A2279" w:rsidP="001A2279">
            <w:pPr>
              <w:jc w:val="both"/>
              <w:rPr>
                <w:rFonts w:cstheme="minorHAnsi"/>
                <w:iCs/>
                <w:sz w:val="24"/>
                <w:szCs w:val="24"/>
              </w:rPr>
            </w:pPr>
            <w:r w:rsidRPr="001552C0">
              <w:rPr>
                <w:rFonts w:cstheme="minorHAnsi"/>
                <w:iCs/>
                <w:sz w:val="24"/>
                <w:szCs w:val="24"/>
              </w:rPr>
              <w:t xml:space="preserve">Astfel, prin conformarea la obligațiile (referitoare la măsurile derivate din auditurile energetice și/sau din bunele practici în managementul energetic) prevăzute în Legea nr. 121/2014 privind eficiența energetică, corelată și cu programe și măsuri de stimulare a investițiilor în domeniu (inclusiv prin scheme de sprijin existente/fonduri europene </w:t>
            </w:r>
            <w:r w:rsidRPr="001552C0">
              <w:rPr>
                <w:rFonts w:cstheme="minorHAnsi"/>
                <w:iCs/>
                <w:sz w:val="24"/>
                <w:szCs w:val="24"/>
              </w:rPr>
              <w:lastRenderedPageBreak/>
              <w:t xml:space="preserve">nerambursabile în perioada 2021 - 2027), sectorul industrial va trebui să atingă un ritm anual de economii de cca. 0,6 Mtep în perioada 2021 - 2030 (conform PNAEE IV, economiile de energie estimate pentru sectorul industrial în anul 2020 se ridică la 0,3 Mtep). </w:t>
            </w:r>
          </w:p>
          <w:p w14:paraId="328A865B" w14:textId="77777777" w:rsidR="001A2279" w:rsidRPr="001552C0" w:rsidRDefault="001A2279" w:rsidP="001A2279">
            <w:pPr>
              <w:jc w:val="both"/>
              <w:rPr>
                <w:rFonts w:cstheme="minorHAnsi"/>
                <w:iCs/>
                <w:sz w:val="24"/>
                <w:szCs w:val="24"/>
              </w:rPr>
            </w:pPr>
            <w:r w:rsidRPr="001552C0">
              <w:rPr>
                <w:rFonts w:cstheme="minorHAnsi"/>
                <w:iCs/>
                <w:sz w:val="24"/>
                <w:szCs w:val="24"/>
              </w:rPr>
              <w:t>Având în vedere ponderea considerabilă în consumul de energie al sectorului industrial, cât și uzura echipamentelor utilizate, acest sector are un potențial semnificativ de aplicare a măsurilor  de eficiență energetică în perioada 2021 – 2030.</w:t>
            </w:r>
          </w:p>
          <w:p w14:paraId="07512090" w14:textId="77777777" w:rsidR="001A2279" w:rsidRPr="001552C0" w:rsidRDefault="001A2279" w:rsidP="001A2279">
            <w:pPr>
              <w:jc w:val="both"/>
              <w:rPr>
                <w:rFonts w:cstheme="minorHAnsi"/>
                <w:iCs/>
                <w:sz w:val="24"/>
                <w:szCs w:val="24"/>
              </w:rPr>
            </w:pPr>
            <w:r w:rsidRPr="001552C0">
              <w:rPr>
                <w:rFonts w:cstheme="minorHAnsi"/>
                <w:iCs/>
                <w:sz w:val="24"/>
                <w:szCs w:val="24"/>
              </w:rPr>
              <w:t xml:space="preserve">Până în 2024, o serie de mari consumatori industriali din România vor continua să investească în măsuri de eficiență energetică – în virtutea obligațiilor ce le revin ca urmare a auditurilor energetice realizate în baza H.G. 495/2014 . </w:t>
            </w:r>
          </w:p>
          <w:p w14:paraId="4E5ADD13" w14:textId="130F0FA6" w:rsidR="001A2279" w:rsidRPr="001552C0" w:rsidRDefault="001A2279" w:rsidP="001A2279">
            <w:pPr>
              <w:jc w:val="both"/>
              <w:rPr>
                <w:rFonts w:cstheme="minorHAnsi"/>
                <w:iCs/>
                <w:sz w:val="24"/>
                <w:szCs w:val="24"/>
              </w:rPr>
            </w:pPr>
            <w:r w:rsidRPr="001552C0">
              <w:rPr>
                <w:rFonts w:cstheme="minorHAnsi"/>
                <w:iCs/>
                <w:sz w:val="24"/>
                <w:szCs w:val="24"/>
              </w:rPr>
              <w:t>De asemenea, pentru a asigura atingerea țintei asumate pr</w:t>
            </w:r>
            <w:r w:rsidR="007D16FF" w:rsidRPr="001552C0">
              <w:rPr>
                <w:rFonts w:cstheme="minorHAnsi"/>
                <w:iCs/>
                <w:sz w:val="24"/>
                <w:szCs w:val="24"/>
              </w:rPr>
              <w:t>i</w:t>
            </w:r>
            <w:r w:rsidRPr="001552C0">
              <w:rPr>
                <w:rFonts w:cstheme="minorHAnsi"/>
                <w:iCs/>
                <w:sz w:val="24"/>
                <w:szCs w:val="24"/>
              </w:rPr>
              <w:t>vind ponderea SRE, este avută în vedere creșterea ponderii energiei din surse regenerabile prin dezvoltarea facilităților de producție a energiei electrice de către consumatori industriali.</w:t>
            </w:r>
          </w:p>
          <w:p w14:paraId="0EDFF48D" w14:textId="18600C4C" w:rsidR="001A2279" w:rsidRPr="001552C0" w:rsidRDefault="001A2279" w:rsidP="001A2279">
            <w:pPr>
              <w:jc w:val="both"/>
              <w:rPr>
                <w:rFonts w:cstheme="minorHAnsi"/>
                <w:iCs/>
                <w:sz w:val="24"/>
                <w:szCs w:val="24"/>
              </w:rPr>
            </w:pPr>
            <w:r w:rsidRPr="001552C0">
              <w:rPr>
                <w:rFonts w:cstheme="minorHAnsi"/>
                <w:iCs/>
                <w:sz w:val="24"/>
                <w:szCs w:val="24"/>
              </w:rPr>
              <w:t>Reducerea consumului de energie în sectorul industrial este esen</w:t>
            </w:r>
            <w:r w:rsidR="007D16FF" w:rsidRPr="001552C0">
              <w:rPr>
                <w:rFonts w:cstheme="minorHAnsi"/>
                <w:iCs/>
                <w:sz w:val="24"/>
                <w:szCs w:val="24"/>
              </w:rPr>
              <w:t>ț</w:t>
            </w:r>
            <w:r w:rsidRPr="001552C0">
              <w:rPr>
                <w:rFonts w:cstheme="minorHAnsi"/>
                <w:iCs/>
                <w:sz w:val="24"/>
                <w:szCs w:val="24"/>
              </w:rPr>
              <w:t xml:space="preserve">ial nu doar pentru atingerea </w:t>
            </w:r>
            <w:r w:rsidR="007D16FF" w:rsidRPr="001552C0">
              <w:rPr>
                <w:rFonts w:cstheme="minorHAnsi"/>
                <w:iCs/>
                <w:sz w:val="24"/>
                <w:szCs w:val="24"/>
              </w:rPr>
              <w:t>ț</w:t>
            </w:r>
            <w:r w:rsidRPr="001552C0">
              <w:rPr>
                <w:rFonts w:cstheme="minorHAnsi"/>
                <w:iCs/>
                <w:sz w:val="24"/>
                <w:szCs w:val="24"/>
              </w:rPr>
              <w:t>intelor asumate de Rom</w:t>
            </w:r>
            <w:r w:rsidR="007D16FF" w:rsidRPr="001552C0">
              <w:rPr>
                <w:rFonts w:cstheme="minorHAnsi"/>
                <w:iCs/>
                <w:sz w:val="24"/>
                <w:szCs w:val="24"/>
              </w:rPr>
              <w:t>â</w:t>
            </w:r>
            <w:r w:rsidRPr="001552C0">
              <w:rPr>
                <w:rFonts w:cstheme="minorHAnsi"/>
                <w:iCs/>
                <w:sz w:val="24"/>
                <w:szCs w:val="24"/>
              </w:rPr>
              <w:t>nia</w:t>
            </w:r>
            <w:r w:rsidR="007D16FF" w:rsidRPr="001552C0">
              <w:rPr>
                <w:rFonts w:cstheme="minorHAnsi"/>
                <w:iCs/>
                <w:sz w:val="24"/>
                <w:szCs w:val="24"/>
              </w:rPr>
              <w:t>,</w:t>
            </w:r>
            <w:r w:rsidRPr="001552C0">
              <w:rPr>
                <w:rFonts w:cstheme="minorHAnsi"/>
                <w:iCs/>
                <w:sz w:val="24"/>
                <w:szCs w:val="24"/>
              </w:rPr>
              <w:t xml:space="preserve"> dar va contribui </w:t>
            </w:r>
            <w:r w:rsidR="007D16FF" w:rsidRPr="001552C0">
              <w:rPr>
                <w:rFonts w:cstheme="minorHAnsi"/>
                <w:iCs/>
                <w:sz w:val="24"/>
                <w:szCs w:val="24"/>
              </w:rPr>
              <w:t>ș</w:t>
            </w:r>
            <w:r w:rsidRPr="001552C0">
              <w:rPr>
                <w:rFonts w:cstheme="minorHAnsi"/>
                <w:iCs/>
                <w:sz w:val="24"/>
                <w:szCs w:val="24"/>
              </w:rPr>
              <w:t>i la reducerea emisiilor</w:t>
            </w:r>
            <w:r w:rsidR="007D16FF" w:rsidRPr="001552C0">
              <w:rPr>
                <w:rFonts w:cstheme="minorHAnsi"/>
                <w:iCs/>
                <w:sz w:val="24"/>
                <w:szCs w:val="24"/>
              </w:rPr>
              <w:t xml:space="preserve"> de gaze cu efecte de seră. Astfel, </w:t>
            </w:r>
            <w:r w:rsidR="00725D2F" w:rsidRPr="001552C0">
              <w:rPr>
                <w:rFonts w:cstheme="minorHAnsi"/>
                <w:iCs/>
                <w:sz w:val="24"/>
                <w:szCs w:val="24"/>
              </w:rPr>
              <w:t xml:space="preserve">această reducere va fi </w:t>
            </w:r>
            <w:r w:rsidRPr="001552C0">
              <w:rPr>
                <w:rFonts w:cstheme="minorHAnsi"/>
                <w:iCs/>
                <w:sz w:val="24"/>
                <w:szCs w:val="24"/>
              </w:rPr>
              <w:t xml:space="preserve">un instrument important </w:t>
            </w:r>
            <w:r w:rsidR="00725D2F" w:rsidRPr="001552C0">
              <w:rPr>
                <w:rFonts w:cstheme="minorHAnsi"/>
                <w:iCs/>
                <w:sz w:val="24"/>
                <w:szCs w:val="24"/>
              </w:rPr>
              <w:t>î</w:t>
            </w:r>
            <w:r w:rsidRPr="001552C0">
              <w:rPr>
                <w:rFonts w:cstheme="minorHAnsi"/>
                <w:iCs/>
                <w:sz w:val="24"/>
                <w:szCs w:val="24"/>
              </w:rPr>
              <w:t>n realizarea m</w:t>
            </w:r>
            <w:r w:rsidR="00725D2F" w:rsidRPr="001552C0">
              <w:rPr>
                <w:rFonts w:cstheme="minorHAnsi"/>
                <w:iCs/>
                <w:sz w:val="24"/>
                <w:szCs w:val="24"/>
              </w:rPr>
              <w:t>ă</w:t>
            </w:r>
            <w:r w:rsidRPr="001552C0">
              <w:rPr>
                <w:rFonts w:cstheme="minorHAnsi"/>
                <w:iCs/>
                <w:sz w:val="24"/>
                <w:szCs w:val="24"/>
              </w:rPr>
              <w:t xml:space="preserve">surilor prevăzute </w:t>
            </w:r>
            <w:r w:rsidR="00725D2F" w:rsidRPr="001552C0">
              <w:rPr>
                <w:rFonts w:cstheme="minorHAnsi"/>
                <w:iCs/>
                <w:sz w:val="24"/>
                <w:szCs w:val="24"/>
              </w:rPr>
              <w:t>î</w:t>
            </w:r>
            <w:r w:rsidRPr="001552C0">
              <w:rPr>
                <w:rFonts w:cstheme="minorHAnsi"/>
                <w:iCs/>
                <w:sz w:val="24"/>
                <w:szCs w:val="24"/>
              </w:rPr>
              <w:t>n PNIESC pentru dimensiunea de</w:t>
            </w:r>
            <w:r w:rsidR="001B5B73" w:rsidRPr="001552C0">
              <w:rPr>
                <w:rFonts w:cstheme="minorHAnsi"/>
                <w:iCs/>
                <w:sz w:val="24"/>
                <w:szCs w:val="24"/>
              </w:rPr>
              <w:t>-</w:t>
            </w:r>
            <w:r w:rsidRPr="001552C0">
              <w:rPr>
                <w:rFonts w:cstheme="minorHAnsi"/>
                <w:iCs/>
                <w:sz w:val="24"/>
                <w:szCs w:val="24"/>
              </w:rPr>
              <w:t xml:space="preserve">carbonare </w:t>
            </w:r>
            <w:r w:rsidR="00725D2F" w:rsidRPr="001552C0">
              <w:rPr>
                <w:rFonts w:cstheme="minorHAnsi"/>
                <w:iCs/>
                <w:sz w:val="24"/>
                <w:szCs w:val="24"/>
              </w:rPr>
              <w:t>ș</w:t>
            </w:r>
            <w:r w:rsidRPr="001552C0">
              <w:rPr>
                <w:rFonts w:cstheme="minorHAnsi"/>
                <w:iCs/>
                <w:sz w:val="24"/>
                <w:szCs w:val="24"/>
              </w:rPr>
              <w:t xml:space="preserve">i va contribui la realizarea </w:t>
            </w:r>
            <w:r w:rsidR="00725D2F" w:rsidRPr="001552C0">
              <w:rPr>
                <w:rFonts w:cstheme="minorHAnsi"/>
                <w:iCs/>
                <w:sz w:val="24"/>
                <w:szCs w:val="24"/>
              </w:rPr>
              <w:t>o</w:t>
            </w:r>
            <w:r w:rsidRPr="001552C0">
              <w:rPr>
                <w:rFonts w:cstheme="minorHAnsi"/>
                <w:iCs/>
                <w:sz w:val="24"/>
                <w:szCs w:val="24"/>
              </w:rPr>
              <w:t xml:space="preserve">biectivului </w:t>
            </w:r>
            <w:r w:rsidR="00725D2F" w:rsidRPr="001552C0">
              <w:rPr>
                <w:rFonts w:cstheme="minorHAnsi"/>
                <w:iCs/>
                <w:sz w:val="24"/>
                <w:szCs w:val="24"/>
              </w:rPr>
              <w:t xml:space="preserve">UE </w:t>
            </w:r>
            <w:r w:rsidRPr="001552C0">
              <w:rPr>
                <w:rFonts w:cstheme="minorHAnsi"/>
                <w:iCs/>
                <w:sz w:val="24"/>
                <w:szCs w:val="24"/>
              </w:rPr>
              <w:t>privind reducerea emisiilor interne de gaze cu efect de seră cu cel puțin 40% până în 2030, comparativ cu 1990.</w:t>
            </w:r>
          </w:p>
          <w:p w14:paraId="40B5861C" w14:textId="677631F0" w:rsidR="001A2279" w:rsidRPr="001552C0" w:rsidRDefault="001A2279" w:rsidP="001A2279">
            <w:pPr>
              <w:widowControl w:val="0"/>
              <w:autoSpaceDE w:val="0"/>
              <w:autoSpaceDN w:val="0"/>
              <w:spacing w:before="120" w:after="120" w:line="259" w:lineRule="auto"/>
              <w:jc w:val="both"/>
              <w:rPr>
                <w:rFonts w:cstheme="minorHAnsi"/>
                <w:iCs/>
                <w:sz w:val="24"/>
                <w:szCs w:val="24"/>
              </w:rPr>
            </w:pPr>
            <w:r w:rsidRPr="001552C0">
              <w:rPr>
                <w:rFonts w:cstheme="minorHAnsi"/>
                <w:iCs/>
                <w:sz w:val="24"/>
                <w:szCs w:val="24"/>
              </w:rPr>
              <w:t xml:space="preserve">În acest sens, </w:t>
            </w:r>
            <w:r w:rsidRPr="001552C0">
              <w:rPr>
                <w:rFonts w:cstheme="minorHAnsi"/>
                <w:b/>
                <w:iCs/>
                <w:sz w:val="24"/>
                <w:szCs w:val="24"/>
              </w:rPr>
              <w:t>intervențiile/măsurile propuse</w:t>
            </w:r>
            <w:r w:rsidRPr="001552C0">
              <w:rPr>
                <w:rFonts w:cstheme="minorHAnsi"/>
                <w:iCs/>
                <w:sz w:val="24"/>
                <w:szCs w:val="24"/>
              </w:rPr>
              <w:t xml:space="preserve"> privind sprijinirea marilor întreprinderi, respectiv a IMM-urilor, în acțiunile de îmbunătățire a eficienței lor energetice contribuie la atingerea țintei de economii de energie menționată mai sus vor fi realizate prin intermediul instrumentelor financiare (posibil IF cu parte de grant) </w:t>
            </w:r>
            <w:r w:rsidR="00725D2F" w:rsidRPr="001552C0">
              <w:rPr>
                <w:rFonts w:cstheme="minorHAnsi"/>
                <w:iCs/>
                <w:sz w:val="24"/>
                <w:szCs w:val="24"/>
              </w:rPr>
              <w:t>ș</w:t>
            </w:r>
            <w:r w:rsidRPr="001552C0">
              <w:rPr>
                <w:rFonts w:cstheme="minorHAnsi"/>
                <w:iCs/>
                <w:sz w:val="24"/>
                <w:szCs w:val="24"/>
              </w:rPr>
              <w:t>i se refer</w:t>
            </w:r>
            <w:r w:rsidR="00725D2F" w:rsidRPr="001552C0">
              <w:rPr>
                <w:rFonts w:cstheme="minorHAnsi"/>
                <w:iCs/>
                <w:sz w:val="24"/>
                <w:szCs w:val="24"/>
              </w:rPr>
              <w:t>ă</w:t>
            </w:r>
            <w:r w:rsidRPr="001552C0">
              <w:rPr>
                <w:rFonts w:cstheme="minorHAnsi"/>
                <w:iCs/>
                <w:sz w:val="24"/>
                <w:szCs w:val="24"/>
              </w:rPr>
              <w:t xml:space="preserve"> la: </w:t>
            </w:r>
          </w:p>
          <w:p w14:paraId="0EE6C58E" w14:textId="16829269" w:rsidR="001A2279" w:rsidRPr="001552C0" w:rsidRDefault="001A2279" w:rsidP="007B5B2A">
            <w:pPr>
              <w:pStyle w:val="ListParagraph"/>
              <w:widowControl w:val="0"/>
              <w:numPr>
                <w:ilvl w:val="0"/>
                <w:numId w:val="73"/>
              </w:numPr>
              <w:autoSpaceDE w:val="0"/>
              <w:autoSpaceDN w:val="0"/>
              <w:spacing w:line="259" w:lineRule="auto"/>
              <w:jc w:val="both"/>
              <w:rPr>
                <w:rFonts w:asciiTheme="minorHAnsi" w:hAnsiTheme="minorHAnsi" w:cstheme="minorHAnsi"/>
                <w:iCs/>
                <w:szCs w:val="24"/>
                <w:lang w:val="ro-RO"/>
              </w:rPr>
            </w:pPr>
            <w:r w:rsidRPr="001552C0">
              <w:rPr>
                <w:rFonts w:asciiTheme="minorHAnsi" w:hAnsiTheme="minorHAnsi" w:cstheme="minorHAnsi"/>
                <w:iCs/>
                <w:szCs w:val="24"/>
                <w:lang w:val="ro-RO"/>
              </w:rPr>
              <w:t>Proiecte demonstrative și de eficientă energetică în IMM-uri și m</w:t>
            </w:r>
            <w:r w:rsidR="00725D2F" w:rsidRPr="001552C0">
              <w:rPr>
                <w:rFonts w:asciiTheme="minorHAnsi" w:hAnsiTheme="minorHAnsi" w:cstheme="minorHAnsi"/>
                <w:iCs/>
                <w:szCs w:val="24"/>
                <w:lang w:val="ro-RO"/>
              </w:rPr>
              <w:t>ă</w:t>
            </w:r>
            <w:r w:rsidRPr="001552C0">
              <w:rPr>
                <w:rFonts w:asciiTheme="minorHAnsi" w:hAnsiTheme="minorHAnsi" w:cstheme="minorHAnsi"/>
                <w:iCs/>
                <w:szCs w:val="24"/>
                <w:lang w:val="ro-RO"/>
              </w:rPr>
              <w:t>suri de sprijin adiacente.</w:t>
            </w:r>
          </w:p>
          <w:p w14:paraId="463582D8" w14:textId="077159CE" w:rsidR="001A2279" w:rsidRPr="001552C0" w:rsidRDefault="001A2279" w:rsidP="007B5B2A">
            <w:pPr>
              <w:pStyle w:val="ListParagraph"/>
              <w:widowControl w:val="0"/>
              <w:numPr>
                <w:ilvl w:val="0"/>
                <w:numId w:val="73"/>
              </w:numPr>
              <w:autoSpaceDE w:val="0"/>
              <w:autoSpaceDN w:val="0"/>
              <w:spacing w:line="259" w:lineRule="auto"/>
              <w:jc w:val="both"/>
              <w:rPr>
                <w:rFonts w:asciiTheme="minorHAnsi" w:eastAsia="Times New Roman" w:hAnsiTheme="minorHAnsi" w:cstheme="minorHAnsi"/>
                <w:noProof/>
                <w:szCs w:val="24"/>
                <w:lang w:val="ro-RO"/>
              </w:rPr>
            </w:pPr>
            <w:r w:rsidRPr="001552C0">
              <w:rPr>
                <w:rFonts w:asciiTheme="minorHAnsi" w:hAnsiTheme="minorHAnsi" w:cstheme="minorHAnsi"/>
                <w:iCs/>
                <w:szCs w:val="24"/>
                <w:lang w:val="ro-RO"/>
              </w:rPr>
              <w:t xml:space="preserve">Proiecte de eficiență energetică </w:t>
            </w:r>
            <w:r w:rsidR="00725D2F" w:rsidRPr="001552C0">
              <w:rPr>
                <w:rFonts w:asciiTheme="minorHAnsi" w:hAnsiTheme="minorHAnsi" w:cstheme="minorHAnsi"/>
                <w:iCs/>
                <w:szCs w:val="24"/>
                <w:lang w:val="ro-RO"/>
              </w:rPr>
              <w:t>î</w:t>
            </w:r>
            <w:r w:rsidRPr="001552C0">
              <w:rPr>
                <w:rFonts w:asciiTheme="minorHAnsi" w:hAnsiTheme="minorHAnsi" w:cstheme="minorHAnsi"/>
                <w:iCs/>
                <w:szCs w:val="24"/>
                <w:lang w:val="ro-RO"/>
              </w:rPr>
              <w:t xml:space="preserve">n </w:t>
            </w:r>
            <w:r w:rsidR="001B5B73" w:rsidRPr="001552C0">
              <w:rPr>
                <w:rFonts w:asciiTheme="minorHAnsi" w:hAnsiTheme="minorHAnsi" w:cstheme="minorHAnsi"/>
                <w:iCs/>
                <w:szCs w:val="24"/>
                <w:lang w:val="ro-RO"/>
              </w:rPr>
              <w:t>întreprinderile</w:t>
            </w:r>
            <w:r w:rsidRPr="001552C0">
              <w:rPr>
                <w:rFonts w:asciiTheme="minorHAnsi" w:hAnsiTheme="minorHAnsi" w:cstheme="minorHAnsi"/>
                <w:iCs/>
                <w:szCs w:val="24"/>
                <w:lang w:val="ro-RO"/>
              </w:rPr>
              <w:t xml:space="preserve"> mari și m</w:t>
            </w:r>
            <w:r w:rsidR="00725D2F" w:rsidRPr="001552C0">
              <w:rPr>
                <w:rFonts w:asciiTheme="minorHAnsi" w:hAnsiTheme="minorHAnsi" w:cstheme="minorHAnsi"/>
                <w:iCs/>
                <w:szCs w:val="24"/>
                <w:lang w:val="ro-RO"/>
              </w:rPr>
              <w:t>ă</w:t>
            </w:r>
            <w:r w:rsidRPr="001552C0">
              <w:rPr>
                <w:rFonts w:asciiTheme="minorHAnsi" w:hAnsiTheme="minorHAnsi" w:cstheme="minorHAnsi"/>
                <w:iCs/>
                <w:szCs w:val="24"/>
                <w:lang w:val="ro-RO"/>
              </w:rPr>
              <w:t>suri de sprijin adiacente.</w:t>
            </w:r>
          </w:p>
          <w:p w14:paraId="0DE98365" w14:textId="5F18FC10" w:rsidR="001A2279" w:rsidRPr="001552C0" w:rsidRDefault="001B5B73" w:rsidP="001A2279">
            <w:pPr>
              <w:spacing w:after="120"/>
              <w:jc w:val="both"/>
              <w:rPr>
                <w:rFonts w:cstheme="minorHAnsi"/>
                <w:b/>
                <w:sz w:val="24"/>
                <w:szCs w:val="24"/>
              </w:rPr>
            </w:pPr>
            <w:r w:rsidRPr="001552C0">
              <w:rPr>
                <w:rFonts w:cstheme="minorHAnsi"/>
                <w:b/>
                <w:sz w:val="24"/>
                <w:szCs w:val="24"/>
              </w:rPr>
              <w:t>Potențiali</w:t>
            </w:r>
            <w:r w:rsidR="001A2279" w:rsidRPr="001552C0">
              <w:rPr>
                <w:rFonts w:cstheme="minorHAnsi"/>
                <w:b/>
                <w:sz w:val="24"/>
                <w:szCs w:val="24"/>
              </w:rPr>
              <w:t xml:space="preserve"> beneficiari  </w:t>
            </w:r>
          </w:p>
          <w:p w14:paraId="526274E2" w14:textId="53409C83" w:rsidR="001A2279" w:rsidRPr="001552C0" w:rsidRDefault="001B5B73" w:rsidP="007B5B2A">
            <w:pPr>
              <w:pStyle w:val="ListParagraph"/>
              <w:widowControl w:val="0"/>
              <w:numPr>
                <w:ilvl w:val="0"/>
                <w:numId w:val="72"/>
              </w:numPr>
              <w:autoSpaceDE w:val="0"/>
              <w:autoSpaceDN w:val="0"/>
              <w:spacing w:line="259" w:lineRule="auto"/>
              <w:jc w:val="both"/>
              <w:rPr>
                <w:rFonts w:asciiTheme="minorHAnsi" w:hAnsiTheme="minorHAnsi" w:cstheme="minorHAnsi"/>
                <w:iCs/>
                <w:szCs w:val="24"/>
                <w:lang w:val="ro-RO"/>
              </w:rPr>
            </w:pPr>
            <w:r w:rsidRPr="001552C0">
              <w:rPr>
                <w:rFonts w:asciiTheme="minorHAnsi" w:hAnsiTheme="minorHAnsi" w:cstheme="minorHAnsi"/>
                <w:iCs/>
                <w:szCs w:val="24"/>
                <w:lang w:val="ro-RO"/>
              </w:rPr>
              <w:t>Întreprinderi</w:t>
            </w:r>
            <w:r w:rsidR="001A2279" w:rsidRPr="001552C0">
              <w:rPr>
                <w:rFonts w:asciiTheme="minorHAnsi" w:hAnsiTheme="minorHAnsi" w:cstheme="minorHAnsi"/>
                <w:iCs/>
                <w:szCs w:val="24"/>
                <w:lang w:val="ro-RO"/>
              </w:rPr>
              <w:t xml:space="preserve"> mari( HG 495/2014) și IMM-uri</w:t>
            </w:r>
          </w:p>
          <w:p w14:paraId="289C36EF" w14:textId="77777777" w:rsidR="00AC6390" w:rsidRPr="00B03BF5" w:rsidRDefault="001A2279" w:rsidP="007B5B2A">
            <w:pPr>
              <w:pStyle w:val="ListParagraph"/>
              <w:widowControl w:val="0"/>
              <w:numPr>
                <w:ilvl w:val="0"/>
                <w:numId w:val="72"/>
              </w:numPr>
              <w:autoSpaceDE w:val="0"/>
              <w:autoSpaceDN w:val="0"/>
              <w:spacing w:line="259" w:lineRule="auto"/>
              <w:jc w:val="both"/>
              <w:rPr>
                <w:rFonts w:eastAsia="Times New Roman"/>
                <w:i/>
                <w:noProof/>
                <w:lang w:val="ro-RO"/>
              </w:rPr>
            </w:pPr>
            <w:r w:rsidRPr="001552C0">
              <w:rPr>
                <w:rFonts w:asciiTheme="minorHAnsi" w:hAnsiTheme="minorHAnsi" w:cstheme="minorHAnsi"/>
                <w:iCs/>
                <w:szCs w:val="24"/>
                <w:lang w:val="ro-RO"/>
              </w:rPr>
              <w:t>Societăţi comerciale din industrie, cu consumuri de peste 1.000 tep/an (definite drept mari consumatori de energie, conform ANRE), pentru care trebuie implementate aceste sisteme în vederea identificării rapide a soluţiilor imediate de reducere a consumurilor şi pentru care trebuie să existe un instrument puternic de cuantificare a efectelor pozitive a aplicării măsurilor de creştere a eficienţei energetice.</w:t>
            </w:r>
          </w:p>
          <w:p w14:paraId="4739684C" w14:textId="1A146257" w:rsidR="00737284" w:rsidRPr="00B57AD6" w:rsidRDefault="00737284" w:rsidP="00B57AD6">
            <w:pPr>
              <w:spacing w:before="120" w:after="120" w:line="360" w:lineRule="auto"/>
              <w:jc w:val="both"/>
              <w:rPr>
                <w:rFonts w:eastAsia="Times New Roman" w:cstheme="minorHAnsi"/>
                <w:b/>
                <w:i/>
                <w:iCs/>
                <w:noProof/>
                <w:sz w:val="24"/>
                <w:szCs w:val="24"/>
              </w:rPr>
            </w:pPr>
            <w:r w:rsidRPr="00B57AD6">
              <w:rPr>
                <w:rFonts w:eastAsia="Times New Roman" w:cstheme="minorHAnsi"/>
                <w:b/>
                <w:i/>
                <w:iCs/>
                <w:noProof/>
                <w:sz w:val="24"/>
                <w:szCs w:val="24"/>
              </w:rPr>
              <w:t xml:space="preserve">Acțiunea 1.2. Reducerea emisiilor de GES și creşterea eficienţei energetice în sistemele centralizate de transport şi distribuţie a energiei termice </w:t>
            </w:r>
          </w:p>
          <w:p w14:paraId="7A68E9AC" w14:textId="45B942EF"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 xml:space="preserve">Infrastructura Sistemelor de Alimentare Centralizată cu Energie Termică (SACET) reprezintă un ansamblu tehnologic şi funcţional ce cuprindetotalitatea construcţiilor, instalaţiilor, echipamentelor, </w:t>
            </w:r>
            <w:r w:rsidRPr="00737284">
              <w:rPr>
                <w:rFonts w:eastAsia="Times New Roman"/>
                <w:noProof/>
              </w:rPr>
              <w:lastRenderedPageBreak/>
              <w:t>dotărilor specifice precum şi mijloacele de măsurare din sistem prin care se realizează serviciul de producere, transport, distribuţie şi furnizare a energiei termice (căldură şi apă caldă) către consumatori, în condiţii de eficienţă şi standarde de</w:t>
            </w:r>
            <w:r w:rsidR="00B57AD6">
              <w:rPr>
                <w:rFonts w:eastAsia="Times New Roman"/>
                <w:noProof/>
              </w:rPr>
              <w:t xml:space="preserve"> </w:t>
            </w:r>
            <w:r w:rsidRPr="00737284">
              <w:rPr>
                <w:rFonts w:eastAsia="Times New Roman"/>
                <w:noProof/>
              </w:rPr>
              <w:t>calitate, inclusiv conformare la cerinţele privind protecţia mediului.</w:t>
            </w:r>
          </w:p>
          <w:p w14:paraId="1EE8A900" w14:textId="7838F42D"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În pre</w:t>
            </w:r>
            <w:r w:rsidR="00B57AD6">
              <w:rPr>
                <w:rFonts w:eastAsia="Times New Roman"/>
                <w:noProof/>
              </w:rPr>
              <w:t>z</w:t>
            </w:r>
            <w:r w:rsidRPr="00737284">
              <w:rPr>
                <w:rFonts w:eastAsia="Times New Roman"/>
                <w:noProof/>
              </w:rPr>
              <w:t>ent există incă un mare număr de SACET-uri care folosesc combustibil fosil solid și care pe lângă un randament de eficiență energetică foarte scăzut, contribuie în mod considerabil la creșterea nivelului de emisii cu efect de seră, de asemenea aceste SACET-uri înregistrează importante pierderi energetice determinate de o serie de factori, printre care şi vechimea conductelor care generează în consecință un număr mare de avarii /an.</w:t>
            </w:r>
          </w:p>
          <w:p w14:paraId="73D959CE" w14:textId="77777777"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Investițiile în modernizarea sistemelor de termoficare și tranziția acestora de la cărbune la gaze natural reprezintă o etapă paralelă firească în logica investițiilor care se vor realiza pentru eficientizarea energetică a stocului de clădiri publice și rezidențiale la nivel national, contribuind împreună cu acestea semnificat la atingerea țintelor asumate prin PNIESC în materie de eficiență energetică și emisii GES.</w:t>
            </w:r>
          </w:p>
          <w:p w14:paraId="4FE19BE6" w14:textId="4CA1400D" w:rsidR="00737284" w:rsidRPr="00737284" w:rsidRDefault="00B57AD6" w:rsidP="00737284">
            <w:pPr>
              <w:widowControl w:val="0"/>
              <w:autoSpaceDE w:val="0"/>
              <w:autoSpaceDN w:val="0"/>
              <w:spacing w:before="120" w:after="120" w:line="259" w:lineRule="auto"/>
              <w:jc w:val="both"/>
              <w:rPr>
                <w:rFonts w:eastAsia="Times New Roman"/>
                <w:noProof/>
              </w:rPr>
            </w:pPr>
            <w:r>
              <w:rPr>
                <w:rFonts w:eastAsia="Times New Roman"/>
                <w:noProof/>
              </w:rPr>
              <w:t xml:space="preserve">Conform Anexei D, </w:t>
            </w:r>
            <w:r w:rsidR="00737284" w:rsidRPr="00737284">
              <w:rPr>
                <w:rFonts w:eastAsia="Times New Roman"/>
                <w:noProof/>
              </w:rPr>
              <w:t xml:space="preserve">investițiile în sistemele de încălzire centralizată pentru îmbunătățirea serviciilor de încălzire și dezvoltarea sistemelor de răcire centralizată pot contribui în mod semnificativ la creșterea eficienței energetice și pot sprijini tranziția către o economie cu emisii scăzute de dioxid de carbon. </w:t>
            </w:r>
          </w:p>
          <w:p w14:paraId="7095F553" w14:textId="77777777"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Investiţiile în sistemele urbane de termoficare vor fi analizate, de la caz la caz, în funcţie de situaţia financiară a fiecărui sistem şi sustenabilitatea sa economică, selecţia spre finanţare urmând a se limita la sistemele care demonstrează sustenabilitatea investiţiei şi a sistemului si la sistemele pentru care este necesară continuarea investițiilor în coerență cu investițiile realizate în perioada 2014-2020.</w:t>
            </w:r>
          </w:p>
          <w:p w14:paraId="1C077650" w14:textId="7DDACED6"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Luând in considerare aspectele mai sus menționate precum și prevederile prezentate în documentele europene, precum și țintele asumate de Romania la nivelul PNIESC, au fost identificate următoarele posibile</w:t>
            </w:r>
            <w:r w:rsidR="00E2565B">
              <w:rPr>
                <w:rFonts w:eastAsia="Times New Roman"/>
                <w:noProof/>
              </w:rPr>
              <w:t xml:space="preserve"> </w:t>
            </w:r>
            <w:r w:rsidR="00E2565B" w:rsidRPr="00E2565B">
              <w:rPr>
                <w:rFonts w:eastAsia="Times New Roman"/>
                <w:noProof/>
              </w:rPr>
              <w:t>intervenții/măsuri</w:t>
            </w:r>
            <w:r w:rsidRPr="00737284">
              <w:rPr>
                <w:rFonts w:eastAsia="Times New Roman"/>
                <w:noProof/>
              </w:rPr>
              <w:t>:</w:t>
            </w:r>
          </w:p>
          <w:p w14:paraId="2FB3C1F2" w14:textId="77777777"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 xml:space="preserve">1. Modernizarea/extinderea reţelelor termice primare şi secundare din sistemele de alimentare cu energie termică, inclusiv a punctelor termice; </w:t>
            </w:r>
          </w:p>
          <w:p w14:paraId="1E243762" w14:textId="77777777"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2.  Cogenerare de înaltă eficiență în termoficare urbană</w:t>
            </w:r>
          </w:p>
          <w:p w14:paraId="6E6D759A" w14:textId="77777777" w:rsidR="00737284" w:rsidRPr="00737284" w:rsidRDefault="00737284" w:rsidP="00737284">
            <w:pPr>
              <w:widowControl w:val="0"/>
              <w:autoSpaceDE w:val="0"/>
              <w:autoSpaceDN w:val="0"/>
              <w:spacing w:before="120" w:after="120" w:line="259" w:lineRule="auto"/>
              <w:jc w:val="both"/>
              <w:rPr>
                <w:rFonts w:eastAsia="Times New Roman"/>
                <w:noProof/>
              </w:rPr>
            </w:pPr>
            <w:r w:rsidRPr="00737284">
              <w:rPr>
                <w:rFonts w:eastAsia="Times New Roman"/>
                <w:noProof/>
              </w:rPr>
              <w:t>3. Construcție rețele noi de distribuție a gazelor naturale doar pentru conectarea noilor centrale pe gaz care inlocuiesc vechile centrale pe carbune</w:t>
            </w:r>
          </w:p>
          <w:p w14:paraId="2D979484" w14:textId="3C29B71D" w:rsidR="00B03BF5" w:rsidRPr="00B03BF5" w:rsidRDefault="00B57AD6" w:rsidP="00B57AD6">
            <w:pPr>
              <w:widowControl w:val="0"/>
              <w:autoSpaceDE w:val="0"/>
              <w:autoSpaceDN w:val="0"/>
              <w:spacing w:before="120" w:after="120" w:line="259" w:lineRule="auto"/>
              <w:jc w:val="both"/>
              <w:rPr>
                <w:rFonts w:eastAsia="Times New Roman"/>
                <w:noProof/>
              </w:rPr>
            </w:pPr>
            <w:r>
              <w:rPr>
                <w:rFonts w:eastAsia="Times New Roman"/>
                <w:noProof/>
              </w:rPr>
              <w:t xml:space="preserve">Potentiali beneficiari: </w:t>
            </w:r>
            <w:r w:rsidR="00737284" w:rsidRPr="00737284">
              <w:rPr>
                <w:rFonts w:eastAsia="Times New Roman"/>
                <w:noProof/>
              </w:rPr>
              <w:t>UAT-uri, concesionari servic</w:t>
            </w:r>
            <w:r>
              <w:rPr>
                <w:rFonts w:eastAsia="Times New Roman"/>
                <w:noProof/>
              </w:rPr>
              <w:t xml:space="preserve">iu public de termoficare urbană, </w:t>
            </w:r>
            <w:r w:rsidR="00737284" w:rsidRPr="00737284">
              <w:rPr>
                <w:rFonts w:eastAsia="Times New Roman"/>
                <w:noProof/>
              </w:rPr>
              <w:t xml:space="preserve">Operatori retele distribuție gaze </w:t>
            </w:r>
          </w:p>
        </w:tc>
      </w:tr>
    </w:tbl>
    <w:p w14:paraId="0E42FA8A" w14:textId="0B1E5F57" w:rsidR="00BC1256" w:rsidRPr="001552C0" w:rsidRDefault="00BC1256" w:rsidP="00BC1256">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lastRenderedPageBreak/>
        <w:t>2.A.2 Specific objective</w:t>
      </w:r>
      <w:r w:rsidRPr="001552C0">
        <w:rPr>
          <w:rFonts w:ascii="Times New Roman" w:eastAsia="Times New Roman" w:hAnsi="Times New Roman" w:cs="Times New Roman"/>
          <w:b/>
          <w:bCs/>
          <w:iCs/>
          <w:noProof/>
          <w:sz w:val="24"/>
          <w:szCs w:val="24"/>
          <w:vertAlign w:val="superscript"/>
        </w:rPr>
        <w:footnoteReference w:id="5"/>
      </w:r>
      <w:r w:rsidRPr="001552C0">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44F8ABF7" w14:textId="77777777" w:rsidR="00C63B08" w:rsidRPr="001552C0" w:rsidRDefault="00C63B08" w:rsidP="00C63B08">
      <w:pPr>
        <w:spacing w:after="120"/>
        <w:jc w:val="both"/>
        <w:rPr>
          <w:rFonts w:cstheme="minorHAnsi"/>
          <w:b/>
          <w:i/>
        </w:rPr>
      </w:pPr>
      <w:r w:rsidRPr="001552C0">
        <w:rPr>
          <w:rFonts w:cstheme="minorHAnsi"/>
          <w:b/>
          <w:i/>
        </w:rPr>
        <w:t>Obiectiv specific FEDR/FC (iii) Dezvoltarea de sisteme inteligente de energie, rețele și stocare în afara TEN-E.</w:t>
      </w:r>
    </w:p>
    <w:p w14:paraId="18006042" w14:textId="273C4BA0" w:rsidR="00BC1256" w:rsidRPr="001552C0" w:rsidRDefault="00BC1256" w:rsidP="00BC1256">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2.A.2.1 Interventions of the Funds</w:t>
      </w:r>
    </w:p>
    <w:p w14:paraId="61797D25" w14:textId="77777777" w:rsidR="00BC1256" w:rsidRPr="001552C0" w:rsidRDefault="00BC1256" w:rsidP="00BC1256">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lastRenderedPageBreak/>
        <w:t>Reference: Article 17(3)(d)(i),(iii),</w:t>
      </w:r>
      <w:r w:rsidRPr="001552C0">
        <w:t xml:space="preserve"> </w:t>
      </w:r>
      <w:r w:rsidRPr="001552C0">
        <w:rPr>
          <w:rFonts w:ascii="Times New Roman" w:eastAsia="Times New Roman" w:hAnsi="Times New Roman" w:cs="Times New Roman"/>
          <w:b/>
          <w:i/>
          <w:noProof/>
          <w:sz w:val="24"/>
          <w:szCs w:val="24"/>
        </w:rPr>
        <w:t>(iiia),</w:t>
      </w:r>
      <w:r w:rsidRPr="001552C0">
        <w:rPr>
          <w:rFonts w:ascii="Times New Roman" w:eastAsia="Times New Roman" w:hAnsi="Times New Roman" w:cs="Times New Roman"/>
          <w:i/>
          <w:noProof/>
          <w:sz w:val="24"/>
          <w:szCs w:val="24"/>
        </w:rPr>
        <w:t xml:space="preserve"> (iv),(v),(vi) </w:t>
      </w:r>
      <w:r w:rsidRPr="001552C0">
        <w:rPr>
          <w:rFonts w:ascii="Times New Roman" w:eastAsia="Times New Roman" w:hAnsi="Times New Roman" w:cs="Times New Roman"/>
          <w:b/>
          <w:i/>
          <w:noProof/>
          <w:sz w:val="24"/>
          <w:szCs w:val="24"/>
        </w:rPr>
        <w:t>CPR</w:t>
      </w:r>
      <w:r w:rsidRPr="001552C0">
        <w:rPr>
          <w:rFonts w:ascii="Times New Roman" w:eastAsia="Times New Roman" w:hAnsi="Times New Roman" w:cs="Times New Roman"/>
          <w:i/>
          <w:noProof/>
          <w:sz w:val="24"/>
          <w:szCs w:val="24"/>
        </w:rPr>
        <w:t>;</w:t>
      </w:r>
    </w:p>
    <w:p w14:paraId="0CC2E4FD" w14:textId="77777777" w:rsidR="00BC1256" w:rsidRPr="001552C0" w:rsidRDefault="00BC1256" w:rsidP="00BC1256">
      <w:pPr>
        <w:bidi/>
        <w:spacing w:before="120" w:after="120" w:line="360" w:lineRule="auto"/>
        <w:jc w:val="right"/>
        <w:rPr>
          <w:rFonts w:ascii="Times New Roman" w:eastAsia="Times New Roman" w:hAnsi="Times New Roman" w:cs="Times New Roman"/>
          <w:b/>
          <w:bCs/>
          <w:i/>
          <w:iCs/>
          <w:noProof/>
          <w:sz w:val="24"/>
          <w:szCs w:val="24"/>
        </w:rPr>
      </w:pPr>
      <w:r w:rsidRPr="001552C0">
        <w:rPr>
          <w:rFonts w:ascii="Times New Roman" w:eastAsia="Times New Roman" w:hAnsi="Times New Roman" w:cs="Times New Roman"/>
          <w:i/>
          <w:noProof/>
          <w:sz w:val="24"/>
          <w:szCs w:val="24"/>
        </w:rPr>
        <w:t>The related types of actions – Article 17(3)(d)(i) CPR; Article 6(2) ESF+</w:t>
      </w:r>
    </w:p>
    <w:tbl>
      <w:tblPr>
        <w:tblStyle w:val="TableGrid"/>
        <w:tblW w:w="0" w:type="auto"/>
        <w:tblLook w:val="04A0" w:firstRow="1" w:lastRow="0" w:firstColumn="1" w:lastColumn="0" w:noHBand="0" w:noVBand="1"/>
      </w:tblPr>
      <w:tblGrid>
        <w:gridCol w:w="9854"/>
      </w:tblGrid>
      <w:tr w:rsidR="00B96B06" w:rsidRPr="001552C0" w14:paraId="414CE4D3" w14:textId="77777777" w:rsidTr="00BC1256">
        <w:tc>
          <w:tcPr>
            <w:tcW w:w="9854" w:type="dxa"/>
          </w:tcPr>
          <w:p w14:paraId="13047A59" w14:textId="671BC022" w:rsidR="00BC1256" w:rsidRPr="001552C0" w:rsidRDefault="00064DE1" w:rsidP="000B33C2">
            <w:pPr>
              <w:spacing w:after="120" w:line="276" w:lineRule="auto"/>
              <w:jc w:val="both"/>
              <w:rPr>
                <w:rFonts w:cstheme="minorHAnsi"/>
                <w:b/>
                <w:i/>
                <w:sz w:val="24"/>
                <w:szCs w:val="24"/>
              </w:rPr>
            </w:pPr>
            <w:r>
              <w:rPr>
                <w:rFonts w:cstheme="minorHAnsi"/>
                <w:b/>
                <w:i/>
                <w:sz w:val="24"/>
                <w:szCs w:val="24"/>
              </w:rPr>
              <w:t xml:space="preserve">Acțiunea </w:t>
            </w:r>
            <w:r w:rsidR="00DC0E0C" w:rsidRPr="001552C0">
              <w:rPr>
                <w:rFonts w:cstheme="minorHAnsi"/>
                <w:b/>
                <w:i/>
                <w:sz w:val="24"/>
                <w:szCs w:val="24"/>
              </w:rPr>
              <w:t xml:space="preserve">1.2. </w:t>
            </w:r>
            <w:r w:rsidR="00BC1256" w:rsidRPr="001552C0">
              <w:rPr>
                <w:rFonts w:cstheme="minorHAnsi"/>
                <w:b/>
                <w:i/>
                <w:sz w:val="24"/>
                <w:szCs w:val="24"/>
              </w:rPr>
              <w:t xml:space="preserve">Sisteme și </w:t>
            </w:r>
            <w:r w:rsidR="001B5B73" w:rsidRPr="001552C0">
              <w:rPr>
                <w:rFonts w:cstheme="minorHAnsi"/>
                <w:b/>
                <w:i/>
                <w:sz w:val="24"/>
                <w:szCs w:val="24"/>
              </w:rPr>
              <w:t>rețele</w:t>
            </w:r>
            <w:r w:rsidR="00BC1256" w:rsidRPr="001552C0">
              <w:rPr>
                <w:rFonts w:cstheme="minorHAnsi"/>
                <w:b/>
                <w:i/>
                <w:sz w:val="24"/>
                <w:szCs w:val="24"/>
              </w:rPr>
              <w:t xml:space="preserve"> inteligente de energie și soluții de stocare</w:t>
            </w:r>
          </w:p>
          <w:p w14:paraId="2DD675E2" w14:textId="77777777" w:rsidR="00BC1256" w:rsidRPr="001552C0" w:rsidRDefault="00BC1256" w:rsidP="000B33C2">
            <w:pPr>
              <w:spacing w:line="276" w:lineRule="auto"/>
              <w:jc w:val="both"/>
              <w:rPr>
                <w:rFonts w:cstheme="minorHAnsi"/>
                <w:iCs/>
                <w:sz w:val="24"/>
                <w:szCs w:val="24"/>
              </w:rPr>
            </w:pPr>
            <w:r w:rsidRPr="001552C0">
              <w:rPr>
                <w:rFonts w:cstheme="minorHAnsi"/>
                <w:iCs/>
                <w:sz w:val="24"/>
                <w:szCs w:val="24"/>
              </w:rPr>
              <w:t xml:space="preserve">Pentru a putea dezvolta capacități de producție de energie din surse regenerabile, în special la sursă, este necesară </w:t>
            </w:r>
            <w:r w:rsidRPr="001552C0">
              <w:rPr>
                <w:rFonts w:cstheme="minorHAnsi"/>
                <w:b/>
                <w:iCs/>
                <w:sz w:val="24"/>
                <w:szCs w:val="24"/>
              </w:rPr>
              <w:t>asigurarea unei infrastructuri inteligente de măsurare și distribuție a energie electrice astfel încât tranziția către sursele regenerabile de energie să se realizeze în condiții optime</w:t>
            </w:r>
            <w:r w:rsidRPr="001552C0">
              <w:rPr>
                <w:rFonts w:cstheme="minorHAnsi"/>
                <w:iCs/>
                <w:sz w:val="24"/>
                <w:szCs w:val="24"/>
              </w:rPr>
              <w:t>.</w:t>
            </w:r>
          </w:p>
          <w:p w14:paraId="177538DE" w14:textId="77777777" w:rsidR="00BC1256" w:rsidRPr="001552C0" w:rsidRDefault="00BC1256" w:rsidP="000B33C2">
            <w:pPr>
              <w:spacing w:line="276" w:lineRule="auto"/>
              <w:jc w:val="both"/>
              <w:rPr>
                <w:rFonts w:cstheme="minorHAnsi"/>
                <w:iCs/>
                <w:sz w:val="24"/>
                <w:szCs w:val="24"/>
              </w:rPr>
            </w:pPr>
            <w:r w:rsidRPr="001552C0">
              <w:rPr>
                <w:rFonts w:cstheme="minorHAnsi"/>
                <w:iCs/>
                <w:sz w:val="24"/>
                <w:szCs w:val="24"/>
              </w:rPr>
              <w:t>Digitalizarea sistemului energetic românesc, inclusiv a rețelelor de transport și distribuție (“smart grids”) joacă un rol important în reducerea consumului propriu tehnologic (CPT), dar și în transformarea pieței de energie românești într-o piață “fit-for-RES” (prin creșterea posibilităților de integrare a producției suplimentare de energie electrică din surse regenerabile). Pentru a atinge acest obiectiv, România urmărește implementarea conceptului de rețele inteligente, inclusiv prin introducerea pe scară largă a contoarelor inteligente.</w:t>
            </w:r>
          </w:p>
          <w:p w14:paraId="0713675B" w14:textId="77777777" w:rsidR="00BC1256" w:rsidRPr="001552C0" w:rsidRDefault="00BC1256" w:rsidP="000B33C2">
            <w:pPr>
              <w:spacing w:line="276" w:lineRule="auto"/>
              <w:jc w:val="both"/>
              <w:rPr>
                <w:rFonts w:cstheme="minorHAnsi"/>
                <w:noProof/>
                <w:sz w:val="24"/>
                <w:szCs w:val="24"/>
              </w:rPr>
            </w:pPr>
            <w:r w:rsidRPr="001552C0">
              <w:rPr>
                <w:rFonts w:cstheme="minorHAnsi"/>
                <w:iCs/>
                <w:sz w:val="24"/>
                <w:szCs w:val="24"/>
              </w:rPr>
              <w:t xml:space="preserve">Introducerea sistemelor de măsurare inteligente în sectorul energetic reprezintă o prioritate națională, ca prim pas în digitalizarea infrastructurii. Contorizarea inteligentă este recunoscută pentru beneficiile pe care le aduce consumatorilor finali, companiilor de utilități și întregului sistem energetic, inclusiv beneficii asupra mediului, prin creșterea eficienței energetice și integrarea SRE în SEN. </w:t>
            </w:r>
          </w:p>
          <w:p w14:paraId="0E70C536" w14:textId="77777777" w:rsidR="00BC1256" w:rsidRPr="001552C0" w:rsidRDefault="00BC1256" w:rsidP="000B33C2">
            <w:pPr>
              <w:spacing w:line="276" w:lineRule="auto"/>
              <w:jc w:val="both"/>
              <w:rPr>
                <w:rFonts w:cstheme="minorHAnsi"/>
                <w:iCs/>
                <w:sz w:val="24"/>
                <w:szCs w:val="24"/>
              </w:rPr>
            </w:pPr>
            <w:r w:rsidRPr="001552C0">
              <w:rPr>
                <w:rFonts w:cstheme="minorHAnsi"/>
                <w:iCs/>
                <w:sz w:val="24"/>
                <w:szCs w:val="24"/>
              </w:rPr>
              <w:t>Implementarea sistemelor de distribuție inteligentă reprezintă un pas intermediar esențial pentru asigurarea flexibilității sistemului energetic, în contextul integrării sporite a SRE în rețea. Sistemele livrează beneficii tangibile atât pentru operatorii sistemului energetic, cât și pentru utilizatorii finali, precum:</w:t>
            </w:r>
          </w:p>
          <w:p w14:paraId="174A501B"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Reducerea pierderilor de rețea;</w:t>
            </w:r>
          </w:p>
          <w:p w14:paraId="18EFEB16"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Diminuarea efortului investițional pentru infrastructura fizică;</w:t>
            </w:r>
          </w:p>
          <w:p w14:paraId="471A6536"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Integrarea componentelor SRE pentru un portofoliu energetic optim;</w:t>
            </w:r>
          </w:p>
          <w:p w14:paraId="5AA9A7A0"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Automatizarea proceselor, care să compenseze problema majoră a penuriei forței de muncă din sectorul energetic;</w:t>
            </w:r>
          </w:p>
          <w:p w14:paraId="39908B41"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Continuitatea în alimentare;</w:t>
            </w:r>
          </w:p>
          <w:p w14:paraId="793B0631"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Reducerea costurilor cu facturile pentru energie;</w:t>
            </w:r>
          </w:p>
          <w:p w14:paraId="68696DE0" w14:textId="77777777" w:rsidR="00BC1256" w:rsidRPr="001552C0" w:rsidRDefault="00BC1256" w:rsidP="007B5B2A">
            <w:pPr>
              <w:numPr>
                <w:ilvl w:val="0"/>
                <w:numId w:val="63"/>
              </w:numPr>
              <w:spacing w:before="120" w:line="276" w:lineRule="auto"/>
              <w:contextualSpacing/>
              <w:jc w:val="both"/>
              <w:rPr>
                <w:rFonts w:cstheme="minorHAnsi"/>
                <w:iCs/>
                <w:sz w:val="24"/>
                <w:szCs w:val="24"/>
              </w:rPr>
            </w:pPr>
            <w:r w:rsidRPr="001552C0">
              <w:rPr>
                <w:rFonts w:cstheme="minorHAnsi"/>
                <w:iCs/>
                <w:sz w:val="24"/>
                <w:szCs w:val="24"/>
              </w:rPr>
              <w:t>Integrarea noilor participanți în sistemul energetic, precum pro-sumatorii și vehiculele electrice.</w:t>
            </w:r>
          </w:p>
          <w:p w14:paraId="03CE2FBD" w14:textId="77777777" w:rsidR="00BC1256" w:rsidRPr="001552C0" w:rsidRDefault="00BC1256" w:rsidP="000B33C2">
            <w:pPr>
              <w:spacing w:line="276" w:lineRule="auto"/>
              <w:jc w:val="both"/>
              <w:rPr>
                <w:rFonts w:cstheme="minorHAnsi"/>
                <w:iCs/>
                <w:sz w:val="24"/>
                <w:szCs w:val="24"/>
              </w:rPr>
            </w:pPr>
            <w:r w:rsidRPr="001552C0">
              <w:rPr>
                <w:rFonts w:cstheme="minorHAnsi"/>
                <w:iCs/>
                <w:sz w:val="24"/>
                <w:szCs w:val="24"/>
              </w:rPr>
              <w:t>Beneficiile implementării infrastructurii inteligente pot fi consolidate prin instalarea complementară a tehnologiilor de stocare. Beneficiul acestora are implicații în eficientizarea consumului și remedierea fluctuațiilor majore de producție sau disponibilitate a energiei, astfel limitând întreruperile sistemului în momentele de avarie.</w:t>
            </w:r>
          </w:p>
          <w:p w14:paraId="180A2A39" w14:textId="1E3E2600" w:rsidR="00BC1256" w:rsidRPr="001552C0" w:rsidRDefault="00BC1256" w:rsidP="000B33C2">
            <w:pPr>
              <w:spacing w:line="276" w:lineRule="auto"/>
              <w:jc w:val="both"/>
              <w:rPr>
                <w:rFonts w:cstheme="minorHAnsi"/>
                <w:iCs/>
                <w:sz w:val="24"/>
                <w:szCs w:val="24"/>
              </w:rPr>
            </w:pPr>
            <w:r w:rsidRPr="001552C0">
              <w:rPr>
                <w:rFonts w:cstheme="minorHAnsi"/>
                <w:iCs/>
                <w:sz w:val="24"/>
                <w:szCs w:val="24"/>
              </w:rPr>
              <w:t xml:space="preserve">Suplimentar, implementarea măsurilor propuse în această categorie aduce beneficii considerabile pentru creșterea eficienței energetice în cadrul sectoarelor rezidențial și terțiar, precum și pentru susținerea infrastructurii necesare pentru tranziția către o pondere în creștere către energia din surse </w:t>
            </w:r>
            <w:r w:rsidR="001B5B73" w:rsidRPr="001552C0">
              <w:rPr>
                <w:rFonts w:cstheme="minorHAnsi"/>
                <w:iCs/>
                <w:sz w:val="24"/>
                <w:szCs w:val="24"/>
              </w:rPr>
              <w:t>regenerabile</w:t>
            </w:r>
            <w:r w:rsidRPr="001552C0">
              <w:rPr>
                <w:rFonts w:cstheme="minorHAnsi"/>
                <w:iCs/>
                <w:sz w:val="24"/>
                <w:szCs w:val="24"/>
              </w:rPr>
              <w:t>:</w:t>
            </w:r>
          </w:p>
          <w:p w14:paraId="590287E6" w14:textId="52BD1B82" w:rsidR="00BC1256" w:rsidRPr="001552C0" w:rsidRDefault="00BC1256" w:rsidP="007B5B2A">
            <w:pPr>
              <w:numPr>
                <w:ilvl w:val="0"/>
                <w:numId w:val="66"/>
              </w:numPr>
              <w:spacing w:line="276" w:lineRule="auto"/>
              <w:jc w:val="both"/>
              <w:rPr>
                <w:rFonts w:cstheme="minorHAnsi"/>
                <w:iCs/>
                <w:sz w:val="24"/>
                <w:szCs w:val="24"/>
              </w:rPr>
            </w:pPr>
            <w:r w:rsidRPr="001552C0">
              <w:rPr>
                <w:rFonts w:cstheme="minorHAnsi"/>
                <w:iCs/>
                <w:sz w:val="24"/>
                <w:szCs w:val="24"/>
              </w:rPr>
              <w:t xml:space="preserve">Digitalizarea sistemului energetic românesc: sistemele de monitorizare inteligente (SMI) </w:t>
            </w:r>
            <w:r w:rsidRPr="001552C0">
              <w:rPr>
                <w:rFonts w:cstheme="minorHAnsi"/>
                <w:iCs/>
                <w:sz w:val="24"/>
                <w:szCs w:val="24"/>
              </w:rPr>
              <w:lastRenderedPageBreak/>
              <w:t>joacă un rol important în observarea caracteristicilor consumatorilor contribuind astfel decisiv la identificarea și prioritizarea nevoilor acestora de implementare de măsuri de eficiență energetică. SMI permit, de asemenea, reducerea considerabilă a pierderilor comerciale în rețelele de distribuție;</w:t>
            </w:r>
          </w:p>
          <w:p w14:paraId="51246F6D" w14:textId="3BD53453" w:rsidR="00BC1256" w:rsidRPr="001552C0" w:rsidRDefault="00BC1256" w:rsidP="007B5B2A">
            <w:pPr>
              <w:numPr>
                <w:ilvl w:val="0"/>
                <w:numId w:val="66"/>
              </w:numPr>
              <w:spacing w:line="276" w:lineRule="auto"/>
              <w:jc w:val="both"/>
              <w:rPr>
                <w:rFonts w:cstheme="minorHAnsi"/>
                <w:iCs/>
                <w:sz w:val="24"/>
                <w:szCs w:val="24"/>
              </w:rPr>
            </w:pPr>
            <w:r w:rsidRPr="001552C0">
              <w:rPr>
                <w:rFonts w:cstheme="minorHAnsi"/>
                <w:iCs/>
                <w:sz w:val="24"/>
                <w:szCs w:val="24"/>
              </w:rPr>
              <w:t>Implementarea măsurilor de consum dispecerizabil (Demand-Response): această măsură presupune implementarea prețurilor dinamice (creșterea prețului simultan cu creșterea cererii și viceversa). Astfel, comportamentul consumatorului se va schimba prin mutarea consumului din orele de vârf de sarcină către cele de gol și/sau reducerea consumului din orele de vârf (fără creșterea concomitentă a acestuia în orele de gol).</w:t>
            </w:r>
          </w:p>
          <w:p w14:paraId="7DD37F83" w14:textId="77777777" w:rsidR="00BC1256" w:rsidRPr="001552C0" w:rsidRDefault="00BC1256" w:rsidP="000B33C2">
            <w:pPr>
              <w:spacing w:line="276" w:lineRule="auto"/>
              <w:jc w:val="both"/>
              <w:rPr>
                <w:rFonts w:cstheme="minorHAnsi"/>
                <w:iCs/>
                <w:sz w:val="24"/>
                <w:szCs w:val="24"/>
              </w:rPr>
            </w:pPr>
            <w:r w:rsidRPr="001552C0">
              <w:rPr>
                <w:rFonts w:cstheme="minorHAnsi"/>
                <w:iCs/>
                <w:sz w:val="24"/>
                <w:szCs w:val="24"/>
              </w:rPr>
              <w:t>Flexibilitatea nu este un concept nou. Este deja aplicat pe scară largă pe piețele forward, intraday și echilibrare, precum și în gestionarea constrângerilor pentru OTS. La nivel individual, flexibilitatea ar putea fi definită ca modificarea modelelor de injecție și / sau consum de generare ca reacție la un semnal extern (semnal de preț sau activare) pentru a furniza un serviciu în cadrul sistemului energetic. Flexibilitatea poate fi asigurată atât de ofertă cât și de cerere pe scară largă, de exemplu de către instalațiile CCGT, consumatorii industriali și comerciali, încărcarea casnică mai mică agregată, generarea distribuită și stocarea de energie. Abordarea ar trebui să fie holistică și să analizeze modul în care flexibilitatea sistemului energetic în ansamblu poate fi valorificată pentru a atinge obiectivele de echilibrare a ofertei / cererii cu cel mai mic cost, pentru a răspunde intereselor variate din lanțul valoric și a păstra drepturile clientului la alegere în piața energiei. Flexibilitatea este intrinsec legată de o serie de termeni sau concepte cheie și cuprinde, răspuns la partea cererii, gestionarea cererii, generarea flexibilă și stocarea energiei din partea ofertei și a cererii.</w:t>
            </w:r>
          </w:p>
          <w:p w14:paraId="35CFB967" w14:textId="77777777" w:rsidR="00BC1256" w:rsidRPr="001552C0" w:rsidRDefault="00BC1256" w:rsidP="000B33C2">
            <w:pPr>
              <w:spacing w:line="276" w:lineRule="auto"/>
              <w:jc w:val="both"/>
              <w:rPr>
                <w:rFonts w:cstheme="minorHAnsi"/>
                <w:iCs/>
                <w:sz w:val="24"/>
                <w:szCs w:val="24"/>
              </w:rPr>
            </w:pPr>
            <w:r w:rsidRPr="001552C0">
              <w:rPr>
                <w:rFonts w:cstheme="minorHAnsi"/>
                <w:iCs/>
                <w:sz w:val="24"/>
                <w:szCs w:val="24"/>
              </w:rPr>
              <w:t>Temele privind flexibilitatea sunt pe agenda agențiilor și a factorilor de decizie europeni. Agenda de flexibilitate 2020 își propune să accelereze introducerea masurilor de flexibilitate, din cauza evoluțiilor recente ale politicii energetice la nivel european. Un rol cheie în conturarea cadrului politic este atribuit Task Force-ului Smart Grids, care a fost creat de Comisia Europeană pentru a consilia cu privire la problemele legate de implementarea și dezvoltarea de rețele inteligente, constând în grupuri de experți concentrați pe domenii specifice. De asemenea, subiectul flexibilității este o livrare continuă pentru CEER, care rezultă din programul de lucru din 2019. Anterior, CEER și respondenții la consultarea sa au identificat achizițiile bazate pe piață drept abordarea preferată pentru a favoriza utilizarea flexibilității la rețeaua de distribuție. Mai mult, Rețeaua europeană a operatorilor de sisteme de transport pentru energie electrică (ENTSO-E), asociația pentru operatorii de sisteme de distribuție europene și asociația europeană de afaceri care integrează soluția descentralizată, publică rapoarte în care subliniază necesitatea flexibilității pentru rețele și stabilesc posibile tehnici viitoare de gestionare a sistemului activ necesare pentru deblocarea acestei flexibilități.</w:t>
            </w:r>
          </w:p>
          <w:p w14:paraId="273EE4FB" w14:textId="775590E3" w:rsidR="00E61A4B" w:rsidRPr="001552C0" w:rsidRDefault="00E61A4B" w:rsidP="00E61A4B">
            <w:pPr>
              <w:jc w:val="both"/>
              <w:rPr>
                <w:rFonts w:cstheme="minorHAnsi"/>
                <w:iCs/>
                <w:sz w:val="24"/>
                <w:szCs w:val="24"/>
              </w:rPr>
            </w:pPr>
            <w:r w:rsidRPr="001552C0">
              <w:rPr>
                <w:rFonts w:cstheme="minorHAnsi"/>
                <w:iCs/>
                <w:sz w:val="24"/>
                <w:szCs w:val="24"/>
              </w:rPr>
              <w:t>Proiectele de energie sprijinite prin PODD vor contribui la menţinerea / dezvoltarea infrastructurii verzi. Se va avea în vedere în principal evitarea / reducerea la minim a impactului asupra ariilor naturale protejate şi a coridoarelor ecologice. Pentru proiectele care vizează transportul, transformarea şi distribuţia energiei electrice, vor fi implementate măsuri care să asigure reducerea / evitarea riscului de coliziune şi electrocutare al animalelor (în special păsări).</w:t>
            </w:r>
          </w:p>
          <w:p w14:paraId="7D088526" w14:textId="1C99ED5B" w:rsidR="00BC1256" w:rsidRPr="001552C0" w:rsidRDefault="00BC1256" w:rsidP="000B33C2">
            <w:pPr>
              <w:spacing w:line="276" w:lineRule="auto"/>
              <w:jc w:val="both"/>
              <w:rPr>
                <w:rFonts w:cstheme="minorHAnsi"/>
                <w:iCs/>
                <w:sz w:val="24"/>
                <w:szCs w:val="24"/>
              </w:rPr>
            </w:pPr>
            <w:r w:rsidRPr="001552C0">
              <w:rPr>
                <w:rFonts w:cstheme="minorHAnsi"/>
                <w:iCs/>
                <w:sz w:val="24"/>
                <w:szCs w:val="24"/>
              </w:rPr>
              <w:t xml:space="preserve">Luând in considerare aspectele mai sus menționate precum și prevederile prezentate în </w:t>
            </w:r>
            <w:r w:rsidRPr="001552C0">
              <w:rPr>
                <w:rFonts w:cstheme="minorHAnsi"/>
                <w:iCs/>
                <w:sz w:val="24"/>
                <w:szCs w:val="24"/>
              </w:rPr>
              <w:lastRenderedPageBreak/>
              <w:t xml:space="preserve">documentele europene, direcțiile de dezvoltare ale SEN/RED/RET descrise în PNAEE precum și țintele asumate de Romania la nivelul PNIESC, au fost identificate următoarele </w:t>
            </w:r>
            <w:r w:rsidRPr="001552C0">
              <w:rPr>
                <w:rFonts w:cstheme="minorHAnsi"/>
                <w:b/>
                <w:iCs/>
                <w:sz w:val="24"/>
                <w:szCs w:val="24"/>
              </w:rPr>
              <w:t xml:space="preserve">posibile </w:t>
            </w:r>
            <w:r w:rsidR="00064DE1">
              <w:rPr>
                <w:rFonts w:cstheme="minorHAnsi"/>
                <w:b/>
                <w:iCs/>
                <w:sz w:val="24"/>
                <w:szCs w:val="24"/>
              </w:rPr>
              <w:t>intervenții</w:t>
            </w:r>
            <w:r w:rsidR="00064DE1" w:rsidRPr="001552C0">
              <w:rPr>
                <w:rFonts w:cstheme="minorHAnsi"/>
                <w:b/>
                <w:iCs/>
                <w:sz w:val="24"/>
                <w:szCs w:val="24"/>
              </w:rPr>
              <w:t>/</w:t>
            </w:r>
            <w:r w:rsidR="00064DE1">
              <w:rPr>
                <w:rFonts w:cstheme="minorHAnsi"/>
                <w:b/>
                <w:iCs/>
                <w:sz w:val="24"/>
                <w:szCs w:val="24"/>
              </w:rPr>
              <w:t>măsuri</w:t>
            </w:r>
            <w:r w:rsidRPr="001552C0">
              <w:rPr>
                <w:rFonts w:cstheme="minorHAnsi"/>
                <w:iCs/>
                <w:sz w:val="24"/>
                <w:szCs w:val="24"/>
              </w:rPr>
              <w:t>:</w:t>
            </w:r>
          </w:p>
          <w:p w14:paraId="4AE8EFC0" w14:textId="2C39E3B5" w:rsidR="00BC1256" w:rsidRPr="001552C0" w:rsidRDefault="00BC1256" w:rsidP="000B33C2">
            <w:pPr>
              <w:spacing w:line="276" w:lineRule="auto"/>
              <w:ind w:left="708"/>
              <w:jc w:val="both"/>
              <w:rPr>
                <w:rFonts w:cstheme="minorHAnsi"/>
                <w:sz w:val="24"/>
                <w:szCs w:val="24"/>
              </w:rPr>
            </w:pPr>
            <w:r w:rsidRPr="001552C0">
              <w:rPr>
                <w:rFonts w:cstheme="minorHAnsi"/>
                <w:sz w:val="24"/>
                <w:szCs w:val="24"/>
              </w:rPr>
              <w:t>1. Promovarea utilizării de echipamente şi sisteme inteligente pentru asigurarea calității energiei electrice</w:t>
            </w:r>
          </w:p>
          <w:p w14:paraId="654276C8" w14:textId="43E166B4" w:rsidR="00BC1256" w:rsidRPr="001552C0" w:rsidRDefault="00BC1256" w:rsidP="000B33C2">
            <w:pPr>
              <w:spacing w:line="276" w:lineRule="auto"/>
              <w:ind w:left="708"/>
              <w:jc w:val="both"/>
              <w:rPr>
                <w:rFonts w:cstheme="minorHAnsi"/>
                <w:sz w:val="24"/>
                <w:szCs w:val="24"/>
              </w:rPr>
            </w:pPr>
            <w:r w:rsidRPr="001552C0">
              <w:rPr>
                <w:rFonts w:cstheme="minorHAnsi"/>
                <w:sz w:val="24"/>
                <w:szCs w:val="24"/>
              </w:rPr>
              <w:t>2.Implementarea  de soluții digitale pentru localizarea/izolarea defectelor și realimentarea cu energie în mediul rural și urban</w:t>
            </w:r>
          </w:p>
          <w:p w14:paraId="41D3D549" w14:textId="77777777" w:rsidR="00BC1256" w:rsidRPr="001552C0" w:rsidRDefault="00BC1256" w:rsidP="000B33C2">
            <w:pPr>
              <w:spacing w:line="276" w:lineRule="auto"/>
              <w:ind w:left="708"/>
              <w:jc w:val="both"/>
              <w:rPr>
                <w:rFonts w:cstheme="minorHAnsi"/>
                <w:sz w:val="24"/>
                <w:szCs w:val="24"/>
              </w:rPr>
            </w:pPr>
            <w:r w:rsidRPr="001552C0">
              <w:rPr>
                <w:rFonts w:cstheme="minorHAnsi"/>
                <w:sz w:val="24"/>
                <w:szCs w:val="24"/>
              </w:rPr>
              <w:t>3. Digitalizarea stațiilor de transformare şi soluții privind controlul rețelei de la distanță - integrare stații în SCADA</w:t>
            </w:r>
          </w:p>
          <w:p w14:paraId="76AA2A4E" w14:textId="38D9DFFB" w:rsidR="00BC1256" w:rsidRPr="001552C0" w:rsidRDefault="00BC1256" w:rsidP="000B33C2">
            <w:pPr>
              <w:spacing w:line="276" w:lineRule="auto"/>
              <w:ind w:left="708"/>
              <w:jc w:val="both"/>
              <w:rPr>
                <w:rFonts w:cstheme="minorHAnsi"/>
                <w:sz w:val="24"/>
                <w:szCs w:val="24"/>
              </w:rPr>
            </w:pPr>
            <w:r w:rsidRPr="001552C0">
              <w:rPr>
                <w:rFonts w:cstheme="minorHAnsi"/>
                <w:sz w:val="24"/>
                <w:szCs w:val="24"/>
              </w:rPr>
              <w:t xml:space="preserve">4. Măsuri de creștere a adecvanței SEN prin investiții în </w:t>
            </w:r>
            <w:r w:rsidR="001B5B73" w:rsidRPr="001552C0">
              <w:rPr>
                <w:rFonts w:cstheme="minorHAnsi"/>
                <w:sz w:val="24"/>
                <w:szCs w:val="24"/>
              </w:rPr>
              <w:t>soluții</w:t>
            </w:r>
            <w:r w:rsidRPr="001552C0">
              <w:rPr>
                <w:rFonts w:cstheme="minorHAnsi"/>
                <w:sz w:val="24"/>
                <w:szCs w:val="24"/>
              </w:rPr>
              <w:t xml:space="preserve"> de flexibilitate</w:t>
            </w:r>
          </w:p>
          <w:p w14:paraId="7925FBE7" w14:textId="54E8CA92" w:rsidR="00BC1256" w:rsidRPr="001552C0" w:rsidRDefault="00BC1256" w:rsidP="000B33C2">
            <w:pPr>
              <w:spacing w:line="276" w:lineRule="auto"/>
              <w:ind w:left="708"/>
              <w:jc w:val="both"/>
              <w:rPr>
                <w:rFonts w:cstheme="minorHAnsi"/>
                <w:iCs/>
                <w:sz w:val="24"/>
                <w:szCs w:val="24"/>
              </w:rPr>
            </w:pPr>
            <w:r w:rsidRPr="001552C0">
              <w:rPr>
                <w:rFonts w:cstheme="minorHAnsi"/>
                <w:iCs/>
                <w:sz w:val="24"/>
                <w:szCs w:val="24"/>
              </w:rPr>
              <w:t>5.</w:t>
            </w:r>
            <w:r w:rsidRPr="001552C0">
              <w:rPr>
                <w:rFonts w:cstheme="minorHAnsi"/>
                <w:sz w:val="24"/>
                <w:szCs w:val="24"/>
              </w:rPr>
              <w:t xml:space="preserve"> </w:t>
            </w:r>
            <w:r w:rsidRPr="001552C0">
              <w:rPr>
                <w:rFonts w:cstheme="minorHAnsi"/>
                <w:iCs/>
                <w:sz w:val="24"/>
                <w:szCs w:val="24"/>
              </w:rPr>
              <w:t xml:space="preserve">Implementarea de </w:t>
            </w:r>
            <w:r w:rsidR="001B5B73" w:rsidRPr="001552C0">
              <w:rPr>
                <w:rFonts w:cstheme="minorHAnsi"/>
                <w:iCs/>
                <w:sz w:val="24"/>
                <w:szCs w:val="24"/>
              </w:rPr>
              <w:t>soluții</w:t>
            </w:r>
            <w:r w:rsidRPr="001552C0">
              <w:rPr>
                <w:rFonts w:cstheme="minorHAnsi"/>
                <w:iCs/>
                <w:sz w:val="24"/>
                <w:szCs w:val="24"/>
              </w:rPr>
              <w:t xml:space="preserve"> privind stocarea energiei “behind the meter”</w:t>
            </w:r>
          </w:p>
          <w:p w14:paraId="4D8EABAB" w14:textId="77777777" w:rsidR="000B33C2" w:rsidRPr="001552C0" w:rsidRDefault="000B33C2" w:rsidP="000B33C2">
            <w:pPr>
              <w:spacing w:line="276" w:lineRule="auto"/>
              <w:jc w:val="both"/>
              <w:rPr>
                <w:rFonts w:cstheme="minorHAnsi"/>
                <w:iCs/>
                <w:sz w:val="24"/>
                <w:szCs w:val="24"/>
              </w:rPr>
            </w:pPr>
          </w:p>
          <w:p w14:paraId="413DB9A4" w14:textId="77777777" w:rsidR="00BC1256" w:rsidRPr="001552C0" w:rsidRDefault="00BC1256" w:rsidP="000B33C2">
            <w:pPr>
              <w:spacing w:before="120" w:after="120" w:line="276" w:lineRule="auto"/>
              <w:jc w:val="both"/>
              <w:rPr>
                <w:rFonts w:eastAsia="Times New Roman" w:cstheme="minorHAnsi"/>
                <w:b/>
                <w:noProof/>
                <w:sz w:val="24"/>
                <w:szCs w:val="24"/>
              </w:rPr>
            </w:pPr>
            <w:r w:rsidRPr="001552C0">
              <w:rPr>
                <w:rFonts w:eastAsia="Times New Roman" w:cstheme="minorHAnsi"/>
                <w:b/>
                <w:noProof/>
                <w:sz w:val="24"/>
                <w:szCs w:val="24"/>
              </w:rPr>
              <w:t xml:space="preserve">Potentiali beneficiari </w:t>
            </w:r>
          </w:p>
          <w:p w14:paraId="780791A1" w14:textId="18681624" w:rsidR="00BC1256" w:rsidRPr="001552C0" w:rsidRDefault="00BC1256" w:rsidP="007B5B2A">
            <w:pPr>
              <w:pStyle w:val="ListParagraph"/>
              <w:numPr>
                <w:ilvl w:val="0"/>
                <w:numId w:val="71"/>
              </w:numPr>
              <w:spacing w:line="276" w:lineRule="auto"/>
              <w:jc w:val="both"/>
              <w:rPr>
                <w:rFonts w:asciiTheme="minorHAnsi" w:eastAsia="Times New Roman" w:hAnsiTheme="minorHAnsi" w:cstheme="minorHAnsi"/>
                <w:noProof/>
                <w:szCs w:val="24"/>
                <w:lang w:val="ro-RO"/>
              </w:rPr>
            </w:pPr>
            <w:r w:rsidRPr="001552C0">
              <w:rPr>
                <w:rFonts w:asciiTheme="minorHAnsi" w:eastAsia="Times New Roman" w:hAnsiTheme="minorHAnsi" w:cstheme="minorHAnsi"/>
                <w:noProof/>
                <w:szCs w:val="24"/>
                <w:lang w:val="ro-RO"/>
              </w:rPr>
              <w:t>Operatori naționali distributie en</w:t>
            </w:r>
            <w:r w:rsidR="00101901" w:rsidRPr="001552C0">
              <w:rPr>
                <w:rFonts w:asciiTheme="minorHAnsi" w:eastAsia="Times New Roman" w:hAnsiTheme="minorHAnsi" w:cstheme="minorHAnsi"/>
                <w:noProof/>
                <w:szCs w:val="24"/>
                <w:lang w:val="ro-RO"/>
              </w:rPr>
              <w:t>ergie, Transelectrica, IMM-uri.</w:t>
            </w:r>
          </w:p>
          <w:p w14:paraId="556AD183" w14:textId="1D239D55" w:rsidR="00BC1256" w:rsidRPr="001552C0" w:rsidRDefault="00BC1256" w:rsidP="007B5B2A">
            <w:pPr>
              <w:pStyle w:val="ListParagraph"/>
              <w:numPr>
                <w:ilvl w:val="0"/>
                <w:numId w:val="71"/>
              </w:numPr>
              <w:spacing w:line="276" w:lineRule="auto"/>
              <w:jc w:val="both"/>
              <w:rPr>
                <w:rFonts w:asciiTheme="minorHAnsi" w:eastAsia="Times New Roman" w:hAnsiTheme="minorHAnsi" w:cstheme="minorHAnsi"/>
                <w:noProof/>
                <w:szCs w:val="24"/>
                <w:lang w:val="ro-RO"/>
              </w:rPr>
            </w:pPr>
            <w:r w:rsidRPr="001552C0">
              <w:rPr>
                <w:rFonts w:asciiTheme="minorHAnsi" w:eastAsia="Times New Roman" w:hAnsiTheme="minorHAnsi" w:cstheme="minorHAnsi"/>
                <w:noProof/>
                <w:szCs w:val="24"/>
                <w:lang w:val="ro-RO"/>
              </w:rPr>
              <w:t>Operatorii de distribuţie concesionari ai serviciului public de energie electrică, care se supun obligaţiilor de implementare a contorizării inteligente în proporţie de 80% până în 2020 (conform Ordinului ANRE nr. 145/2014 privind implementarea sistemelor de măsurare inteligentă a energiei electrice</w:t>
            </w:r>
          </w:p>
          <w:p w14:paraId="4892C2ED" w14:textId="63C993B6" w:rsidR="00BC1256" w:rsidRPr="001552C0" w:rsidRDefault="00BC1256" w:rsidP="000B33C2">
            <w:pPr>
              <w:spacing w:before="120" w:after="120" w:line="276" w:lineRule="auto"/>
              <w:jc w:val="both"/>
              <w:rPr>
                <w:rFonts w:eastAsia="Times New Roman" w:cstheme="minorHAnsi"/>
                <w:i/>
                <w:noProof/>
                <w:sz w:val="24"/>
                <w:szCs w:val="24"/>
              </w:rPr>
            </w:pPr>
            <w:r w:rsidRPr="001552C0">
              <w:rPr>
                <w:rFonts w:eastAsia="Times New Roman" w:cstheme="minorHAnsi"/>
                <w:b/>
                <w:i/>
                <w:noProof/>
                <w:sz w:val="24"/>
                <w:szCs w:val="24"/>
              </w:rPr>
              <w:t>Consolidarea capacității administrative</w:t>
            </w:r>
            <w:r w:rsidRPr="001552C0">
              <w:rPr>
                <w:rFonts w:eastAsia="Times New Roman" w:cstheme="minorHAnsi"/>
                <w:i/>
                <w:noProof/>
                <w:sz w:val="24"/>
                <w:szCs w:val="24"/>
              </w:rPr>
              <w:t xml:space="preserve"> a autorităților cu rol în dezvoltarea și implementarea proiectelor în sectorul energie</w:t>
            </w:r>
            <w:r w:rsidR="007540AF" w:rsidRPr="001552C0">
              <w:rPr>
                <w:rFonts w:eastAsia="Times New Roman" w:cstheme="minorHAnsi"/>
                <w:i/>
                <w:noProof/>
                <w:sz w:val="24"/>
                <w:szCs w:val="24"/>
              </w:rPr>
              <w:t xml:space="preserve"> și a Transelectrica</w:t>
            </w:r>
          </w:p>
        </w:tc>
      </w:tr>
    </w:tbl>
    <w:p w14:paraId="6D1EFAD5" w14:textId="78F88758" w:rsidR="002E744B" w:rsidRPr="001552C0" w:rsidRDefault="009951F5" w:rsidP="002E744B">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lastRenderedPageBreak/>
        <w:t xml:space="preserve"> </w:t>
      </w:r>
      <w:r w:rsidR="002E744B" w:rsidRPr="001552C0">
        <w:rPr>
          <w:rFonts w:ascii="Times New Roman" w:eastAsia="Times New Roman" w:hAnsi="Times New Roman" w:cs="Times New Roman"/>
          <w:i/>
          <w:noProof/>
          <w:sz w:val="24"/>
          <w:szCs w:val="24"/>
        </w:rPr>
        <w:t>The main target groups - Article 17(3)(d)(iii):</w:t>
      </w:r>
    </w:p>
    <w:p w14:paraId="5889A2C1" w14:textId="2563C048" w:rsidR="002E744B" w:rsidRPr="001552C0"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[1 000]</w:t>
      </w:r>
    </w:p>
    <w:p w14:paraId="3335BD2D" w14:textId="77777777" w:rsidR="002E744B" w:rsidRPr="001552C0" w:rsidRDefault="002E744B" w:rsidP="002E744B">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Specific territories tageted, including the planned use of territorial tools – Article 17(3)(d)(iv)</w:t>
      </w:r>
    </w:p>
    <w:p w14:paraId="2FA732E0" w14:textId="77777777" w:rsidR="002E744B" w:rsidRPr="001552C0"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[2 000]</w:t>
      </w:r>
    </w:p>
    <w:p w14:paraId="73FF2ACE" w14:textId="77777777" w:rsidR="002E744B" w:rsidRPr="001552C0" w:rsidRDefault="002E744B" w:rsidP="002E744B">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t>The planned use of financial instruments – Article – 17(3)(d)(vi)</w:t>
      </w:r>
    </w:p>
    <w:p w14:paraId="1F1A2769" w14:textId="77777777" w:rsidR="002E744B" w:rsidRPr="001552C0" w:rsidRDefault="002E744B" w:rsidP="002E744B">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iCs/>
          <w:noProof/>
          <w:sz w:val="24"/>
          <w:szCs w:val="24"/>
        </w:rPr>
      </w:pPr>
      <w:r w:rsidRPr="001552C0">
        <w:rPr>
          <w:rFonts w:ascii="Times New Roman" w:eastAsia="Times New Roman" w:hAnsi="Times New Roman" w:cs="Times New Roman"/>
          <w:i/>
          <w:iCs/>
          <w:noProof/>
          <w:sz w:val="24"/>
          <w:szCs w:val="24"/>
        </w:rPr>
        <w:t>Text field [1 000]</w:t>
      </w:r>
    </w:p>
    <w:p w14:paraId="06E42F84" w14:textId="4695EB0A" w:rsidR="00095866" w:rsidRPr="001552C0" w:rsidRDefault="00095866" w:rsidP="00C16A00">
      <w:pPr>
        <w:pBdr>
          <w:top w:val="single" w:sz="4" w:space="1" w:color="auto"/>
          <w:left w:val="single" w:sz="4" w:space="4" w:color="auto"/>
          <w:bottom w:val="single" w:sz="4" w:space="1" w:color="auto"/>
          <w:right w:val="single" w:sz="4" w:space="4" w:color="auto"/>
        </w:pBdr>
        <w:spacing w:before="120" w:after="120"/>
        <w:jc w:val="both"/>
        <w:rPr>
          <w:rFonts w:eastAsia="Times New Roman" w:cs="Times New Roman"/>
          <w:noProof/>
          <w:sz w:val="24"/>
        </w:rPr>
      </w:pPr>
      <w:r w:rsidRPr="001552C0">
        <w:rPr>
          <w:rFonts w:eastAsia="Times New Roman" w:cs="Times New Roman"/>
          <w:noProof/>
          <w:sz w:val="24"/>
        </w:rPr>
        <w:t>Se are în vedere posibilitatea utilizării instrumentelor f</w:t>
      </w:r>
      <w:r w:rsidR="001A5C24" w:rsidRPr="001552C0">
        <w:rPr>
          <w:rFonts w:eastAsia="Times New Roman" w:cs="Times New Roman"/>
          <w:noProof/>
          <w:sz w:val="24"/>
        </w:rPr>
        <w:t>inanciare pentru investițiile care se vor efectua în cadrul   Obiectivului Specific  (i) Promovarea eficienței energetice și reducerea emisiilor de gaze cu efect de seră.</w:t>
      </w:r>
    </w:p>
    <w:p w14:paraId="528A3D01" w14:textId="77777777" w:rsidR="007D7EF7" w:rsidRDefault="007D7EF7" w:rsidP="008B23AC">
      <w:pPr>
        <w:spacing w:before="120" w:after="120" w:line="240" w:lineRule="auto"/>
        <w:rPr>
          <w:b/>
          <w:iCs/>
        </w:rPr>
      </w:pPr>
    </w:p>
    <w:p w14:paraId="4966A350" w14:textId="2930DC90" w:rsidR="00F000AD" w:rsidRPr="001552C0" w:rsidRDefault="00F000AD" w:rsidP="008B23AC">
      <w:pPr>
        <w:spacing w:before="120" w:after="120" w:line="240" w:lineRule="auto"/>
        <w:rPr>
          <w:b/>
          <w:iCs/>
        </w:rPr>
      </w:pPr>
      <w:r w:rsidRPr="001552C0">
        <w:rPr>
          <w:b/>
          <w:iCs/>
        </w:rPr>
        <w:t>2.A.3.2 Indicators</w:t>
      </w:r>
    </w:p>
    <w:p w14:paraId="01940870" w14:textId="77777777" w:rsidR="00F000AD" w:rsidRPr="001552C0" w:rsidRDefault="00F000AD" w:rsidP="00F000AD">
      <w:pPr>
        <w:rPr>
          <w:b/>
          <w:bCs/>
          <w:i/>
        </w:rPr>
      </w:pPr>
      <w:r w:rsidRPr="001552C0">
        <w:rPr>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249"/>
        <w:gridCol w:w="648"/>
        <w:gridCol w:w="1093"/>
        <w:gridCol w:w="780"/>
        <w:gridCol w:w="1324"/>
        <w:gridCol w:w="1419"/>
        <w:gridCol w:w="1076"/>
        <w:gridCol w:w="764"/>
      </w:tblGrid>
      <w:tr w:rsidR="00B96B06" w:rsidRPr="001552C0" w14:paraId="519BD03A" w14:textId="77777777" w:rsidTr="00F000AD">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27145208" w14:textId="77777777" w:rsidR="00F000AD" w:rsidRPr="001552C0" w:rsidRDefault="00F000AD" w:rsidP="00F000AD">
            <w:pPr>
              <w:rPr>
                <w:b/>
              </w:rPr>
            </w:pPr>
            <w:r w:rsidRPr="001552C0">
              <w:rPr>
                <w:b/>
                <w:iCs/>
              </w:rPr>
              <w:t>Table 2: Output indicators</w:t>
            </w:r>
          </w:p>
        </w:tc>
      </w:tr>
      <w:tr w:rsidR="00B96B06" w:rsidRPr="001552C0" w14:paraId="51EC5EE5" w14:textId="77777777" w:rsidTr="00175CD6">
        <w:trPr>
          <w:trHeight w:val="1647"/>
        </w:trPr>
        <w:tc>
          <w:tcPr>
            <w:tcW w:w="455" w:type="pct"/>
            <w:tcBorders>
              <w:top w:val="single" w:sz="4" w:space="0" w:color="auto"/>
              <w:left w:val="single" w:sz="4" w:space="0" w:color="auto"/>
              <w:bottom w:val="single" w:sz="4" w:space="0" w:color="auto"/>
              <w:right w:val="single" w:sz="4" w:space="0" w:color="auto"/>
            </w:tcBorders>
            <w:hideMark/>
          </w:tcPr>
          <w:p w14:paraId="619025CF" w14:textId="77777777" w:rsidR="00F000AD" w:rsidRPr="001552C0" w:rsidRDefault="00F000AD" w:rsidP="00F000AD">
            <w:pPr>
              <w:rPr>
                <w:b/>
              </w:rPr>
            </w:pPr>
            <w:r w:rsidRPr="001552C0">
              <w:rPr>
                <w:b/>
              </w:rPr>
              <w:lastRenderedPageBreak/>
              <w:t xml:space="preserve">Priority </w:t>
            </w:r>
          </w:p>
        </w:tc>
        <w:tc>
          <w:tcPr>
            <w:tcW w:w="672" w:type="pct"/>
            <w:tcBorders>
              <w:top w:val="single" w:sz="4" w:space="0" w:color="auto"/>
              <w:left w:val="single" w:sz="4" w:space="0" w:color="auto"/>
              <w:bottom w:val="single" w:sz="4" w:space="0" w:color="auto"/>
              <w:right w:val="single" w:sz="4" w:space="0" w:color="auto"/>
            </w:tcBorders>
            <w:hideMark/>
          </w:tcPr>
          <w:p w14:paraId="72076B89" w14:textId="77777777" w:rsidR="00F000AD" w:rsidRPr="001552C0" w:rsidRDefault="00F000AD" w:rsidP="00F000AD">
            <w:pPr>
              <w:rPr>
                <w:b/>
              </w:rPr>
            </w:pPr>
            <w:r w:rsidRPr="001552C0">
              <w:rPr>
                <w:b/>
              </w:rPr>
              <w:t>Specific objective (Investment for Jobs and Growth goal or EMFF)</w:t>
            </w:r>
          </w:p>
        </w:tc>
        <w:tc>
          <w:tcPr>
            <w:tcW w:w="341" w:type="pct"/>
            <w:tcBorders>
              <w:top w:val="single" w:sz="4" w:space="0" w:color="auto"/>
              <w:left w:val="single" w:sz="4" w:space="0" w:color="auto"/>
              <w:bottom w:val="single" w:sz="4" w:space="0" w:color="auto"/>
              <w:right w:val="single" w:sz="4" w:space="0" w:color="auto"/>
            </w:tcBorders>
            <w:hideMark/>
          </w:tcPr>
          <w:p w14:paraId="21B551D8" w14:textId="77777777" w:rsidR="00F000AD" w:rsidRPr="001552C0" w:rsidRDefault="00F000AD" w:rsidP="00F000AD">
            <w:pPr>
              <w:rPr>
                <w:b/>
              </w:rPr>
            </w:pPr>
            <w:r w:rsidRPr="001552C0">
              <w:rPr>
                <w:b/>
              </w:rPr>
              <w:t>Fund</w:t>
            </w:r>
          </w:p>
        </w:tc>
        <w:tc>
          <w:tcPr>
            <w:tcW w:w="525" w:type="pct"/>
            <w:tcBorders>
              <w:top w:val="single" w:sz="4" w:space="0" w:color="auto"/>
              <w:left w:val="single" w:sz="4" w:space="0" w:color="auto"/>
              <w:bottom w:val="single" w:sz="4" w:space="0" w:color="auto"/>
              <w:right w:val="single" w:sz="4" w:space="0" w:color="auto"/>
            </w:tcBorders>
            <w:hideMark/>
          </w:tcPr>
          <w:p w14:paraId="441194AC" w14:textId="77777777" w:rsidR="00F000AD" w:rsidRPr="001552C0" w:rsidRDefault="00F000AD" w:rsidP="00F000AD">
            <w:pPr>
              <w:rPr>
                <w:b/>
              </w:rPr>
            </w:pPr>
            <w:r w:rsidRPr="001552C0">
              <w:rPr>
                <w:b/>
              </w:rPr>
              <w:t>Category of region</w:t>
            </w:r>
          </w:p>
        </w:tc>
        <w:tc>
          <w:tcPr>
            <w:tcW w:w="304" w:type="pct"/>
            <w:tcBorders>
              <w:top w:val="single" w:sz="4" w:space="0" w:color="auto"/>
              <w:left w:val="single" w:sz="4" w:space="0" w:color="auto"/>
              <w:bottom w:val="single" w:sz="4" w:space="0" w:color="auto"/>
              <w:right w:val="single" w:sz="4" w:space="0" w:color="auto"/>
            </w:tcBorders>
            <w:hideMark/>
          </w:tcPr>
          <w:p w14:paraId="71817614" w14:textId="77777777" w:rsidR="00F000AD" w:rsidRPr="001552C0" w:rsidRDefault="00F000AD" w:rsidP="00F000AD">
            <w:pPr>
              <w:rPr>
                <w:b/>
              </w:rPr>
            </w:pPr>
            <w:r w:rsidRPr="001552C0">
              <w:rPr>
                <w:b/>
              </w:rPr>
              <w:t>ID [5]</w:t>
            </w:r>
          </w:p>
        </w:tc>
        <w:tc>
          <w:tcPr>
            <w:tcW w:w="952" w:type="pct"/>
            <w:tcBorders>
              <w:top w:val="single" w:sz="4" w:space="0" w:color="auto"/>
              <w:left w:val="single" w:sz="4" w:space="0" w:color="auto"/>
              <w:bottom w:val="single" w:sz="4" w:space="0" w:color="auto"/>
              <w:right w:val="single" w:sz="4" w:space="0" w:color="auto"/>
            </w:tcBorders>
            <w:hideMark/>
          </w:tcPr>
          <w:p w14:paraId="0E9BD72D" w14:textId="77777777" w:rsidR="00F000AD" w:rsidRPr="001552C0" w:rsidRDefault="00F000AD" w:rsidP="00F000AD">
            <w:pPr>
              <w:rPr>
                <w:b/>
              </w:rPr>
            </w:pPr>
            <w:r w:rsidRPr="001552C0">
              <w:rPr>
                <w:b/>
              </w:rPr>
              <w:t xml:space="preserve">Indicator [255] </w:t>
            </w:r>
          </w:p>
        </w:tc>
        <w:tc>
          <w:tcPr>
            <w:tcW w:w="765" w:type="pct"/>
            <w:tcBorders>
              <w:top w:val="single" w:sz="4" w:space="0" w:color="auto"/>
              <w:left w:val="single" w:sz="4" w:space="0" w:color="auto"/>
              <w:bottom w:val="single" w:sz="4" w:space="0" w:color="auto"/>
              <w:right w:val="single" w:sz="4" w:space="0" w:color="auto"/>
            </w:tcBorders>
            <w:hideMark/>
          </w:tcPr>
          <w:p w14:paraId="0B9AA135" w14:textId="77777777" w:rsidR="00F000AD" w:rsidRPr="001552C0" w:rsidRDefault="00F000AD" w:rsidP="00F000AD">
            <w:pPr>
              <w:rPr>
                <w:b/>
              </w:rPr>
            </w:pPr>
            <w:r w:rsidRPr="001552C0">
              <w:rPr>
                <w:b/>
              </w:rPr>
              <w:t>Measurement unit</w:t>
            </w:r>
          </w:p>
        </w:tc>
        <w:tc>
          <w:tcPr>
            <w:tcW w:w="578" w:type="pct"/>
            <w:tcBorders>
              <w:top w:val="single" w:sz="4" w:space="0" w:color="auto"/>
              <w:left w:val="single" w:sz="4" w:space="0" w:color="auto"/>
              <w:bottom w:val="single" w:sz="4" w:space="0" w:color="auto"/>
              <w:right w:val="single" w:sz="4" w:space="0" w:color="auto"/>
            </w:tcBorders>
          </w:tcPr>
          <w:p w14:paraId="46272926" w14:textId="77777777" w:rsidR="00F000AD" w:rsidRPr="001552C0" w:rsidRDefault="00F000AD" w:rsidP="00F000AD">
            <w:pPr>
              <w:rPr>
                <w:b/>
              </w:rPr>
            </w:pPr>
            <w:r w:rsidRPr="001552C0">
              <w:rPr>
                <w:b/>
              </w:rPr>
              <w:t>Milestone (2024)</w:t>
            </w:r>
          </w:p>
          <w:p w14:paraId="676267CD" w14:textId="77777777" w:rsidR="00F000AD" w:rsidRPr="001552C0" w:rsidRDefault="00F000AD" w:rsidP="00F000AD">
            <w:pPr>
              <w:rPr>
                <w:b/>
              </w:rPr>
            </w:pPr>
          </w:p>
        </w:tc>
        <w:tc>
          <w:tcPr>
            <w:tcW w:w="408" w:type="pct"/>
            <w:tcBorders>
              <w:top w:val="single" w:sz="4" w:space="0" w:color="auto"/>
              <w:left w:val="single" w:sz="4" w:space="0" w:color="auto"/>
              <w:bottom w:val="single" w:sz="4" w:space="0" w:color="auto"/>
              <w:right w:val="single" w:sz="4" w:space="0" w:color="auto"/>
            </w:tcBorders>
          </w:tcPr>
          <w:p w14:paraId="45350AE0" w14:textId="77777777" w:rsidR="00F000AD" w:rsidRPr="001552C0" w:rsidRDefault="00F000AD" w:rsidP="00F000AD">
            <w:pPr>
              <w:rPr>
                <w:b/>
              </w:rPr>
            </w:pPr>
            <w:r w:rsidRPr="001552C0">
              <w:rPr>
                <w:b/>
              </w:rPr>
              <w:t>Target (2029)</w:t>
            </w:r>
          </w:p>
          <w:p w14:paraId="1EEF0054" w14:textId="77777777" w:rsidR="00F000AD" w:rsidRPr="001552C0" w:rsidRDefault="00F000AD" w:rsidP="00F000AD">
            <w:pPr>
              <w:rPr>
                <w:b/>
              </w:rPr>
            </w:pPr>
          </w:p>
        </w:tc>
      </w:tr>
      <w:tr w:rsidR="00B96B06" w:rsidRPr="001552C0" w14:paraId="789FB7B2" w14:textId="77777777" w:rsidTr="00175CD6">
        <w:trPr>
          <w:trHeight w:val="340"/>
        </w:trPr>
        <w:tc>
          <w:tcPr>
            <w:tcW w:w="455" w:type="pct"/>
            <w:tcBorders>
              <w:top w:val="single" w:sz="4" w:space="0" w:color="auto"/>
              <w:left w:val="single" w:sz="4" w:space="0" w:color="auto"/>
              <w:bottom w:val="single" w:sz="4" w:space="0" w:color="auto"/>
              <w:right w:val="single" w:sz="4" w:space="0" w:color="auto"/>
            </w:tcBorders>
          </w:tcPr>
          <w:p w14:paraId="667C9003" w14:textId="20044277" w:rsidR="0015409C" w:rsidRPr="001552C0" w:rsidRDefault="00F37836">
            <w:r w:rsidRPr="001552C0">
              <w:t xml:space="preserve">1-Promovarea eficienței energetice, a sistemelor și rețelelor inteligente de energie și a soluțiilor de stocare </w:t>
            </w:r>
            <w:r w:rsidR="007D7EF7" w:rsidRPr="007D7EF7">
              <w:t>și reducerea emisiilor de gaze cu efect de seră.</w:t>
            </w:r>
            <w:r w:rsidR="00B25060" w:rsidRPr="001552C0">
              <w:t>1.1. Îmbunătățirea eficienței energetice a IMM-urilor și a întreprinderilor mari</w:t>
            </w:r>
          </w:p>
        </w:tc>
        <w:tc>
          <w:tcPr>
            <w:tcW w:w="672" w:type="pct"/>
            <w:tcBorders>
              <w:top w:val="single" w:sz="4" w:space="0" w:color="auto"/>
              <w:left w:val="single" w:sz="4" w:space="0" w:color="auto"/>
              <w:bottom w:val="single" w:sz="4" w:space="0" w:color="auto"/>
              <w:right w:val="single" w:sz="4" w:space="0" w:color="auto"/>
            </w:tcBorders>
          </w:tcPr>
          <w:p w14:paraId="53ADB1D5" w14:textId="31515B38" w:rsidR="0015409C" w:rsidRPr="001552C0" w:rsidRDefault="00B25060">
            <w:r w:rsidRPr="001552C0">
              <w:t xml:space="preserve"> (i) </w:t>
            </w:r>
            <w:r w:rsidR="00F1578A" w:rsidRPr="001552C0">
              <w:t>P</w:t>
            </w:r>
            <w:r w:rsidRPr="001552C0">
              <w:t>romovarea eficienței energetice și reducerea emisiilor de gaze cu efect de seră</w:t>
            </w:r>
          </w:p>
        </w:tc>
        <w:tc>
          <w:tcPr>
            <w:tcW w:w="341" w:type="pct"/>
            <w:tcBorders>
              <w:top w:val="single" w:sz="4" w:space="0" w:color="auto"/>
              <w:left w:val="single" w:sz="4" w:space="0" w:color="auto"/>
              <w:bottom w:val="single" w:sz="4" w:space="0" w:color="auto"/>
              <w:right w:val="single" w:sz="4" w:space="0" w:color="auto"/>
            </w:tcBorders>
          </w:tcPr>
          <w:p w14:paraId="5087530E" w14:textId="77777777" w:rsidR="0015409C" w:rsidRPr="001552C0" w:rsidRDefault="00B25060" w:rsidP="00F000AD">
            <w:r w:rsidRPr="001552C0">
              <w:t>FEDR</w:t>
            </w:r>
          </w:p>
          <w:p w14:paraId="498C240D" w14:textId="3A0288E3" w:rsidR="00B25060" w:rsidRPr="001552C0" w:rsidRDefault="00B25060" w:rsidP="00F000AD">
            <w:r w:rsidRPr="001552C0">
              <w:t>FC</w:t>
            </w:r>
          </w:p>
        </w:tc>
        <w:tc>
          <w:tcPr>
            <w:tcW w:w="525" w:type="pct"/>
            <w:tcBorders>
              <w:top w:val="single" w:sz="4" w:space="0" w:color="auto"/>
              <w:left w:val="single" w:sz="4" w:space="0" w:color="auto"/>
              <w:bottom w:val="single" w:sz="4" w:space="0" w:color="auto"/>
              <w:right w:val="single" w:sz="4" w:space="0" w:color="auto"/>
            </w:tcBorders>
          </w:tcPr>
          <w:p w14:paraId="2A6CB081" w14:textId="77777777" w:rsidR="0015409C" w:rsidRPr="001552C0" w:rsidRDefault="00F37836" w:rsidP="00F000AD">
            <w:r w:rsidRPr="001552C0">
              <w:t>Mai dezvoltate</w:t>
            </w:r>
          </w:p>
          <w:p w14:paraId="204FE13D" w14:textId="1597633E" w:rsidR="00F37836" w:rsidRPr="001552C0" w:rsidRDefault="00F37836" w:rsidP="00F000AD">
            <w:pPr>
              <w:rPr>
                <w:b/>
                <w:i/>
              </w:rPr>
            </w:pPr>
            <w:r w:rsidRPr="001552C0">
              <w:t>Mai puțin dezvoltate</w:t>
            </w:r>
          </w:p>
        </w:tc>
        <w:tc>
          <w:tcPr>
            <w:tcW w:w="304" w:type="pct"/>
            <w:tcBorders>
              <w:top w:val="single" w:sz="4" w:space="0" w:color="auto"/>
              <w:left w:val="single" w:sz="4" w:space="0" w:color="auto"/>
              <w:bottom w:val="single" w:sz="4" w:space="0" w:color="auto"/>
              <w:right w:val="single" w:sz="4" w:space="0" w:color="auto"/>
            </w:tcBorders>
          </w:tcPr>
          <w:p w14:paraId="6A2D6BD1" w14:textId="77777777" w:rsidR="0015409C" w:rsidRDefault="00C44806" w:rsidP="00141D71">
            <w:pPr>
              <w:spacing w:before="120" w:after="120" w:line="240" w:lineRule="auto"/>
              <w:jc w:val="both"/>
              <w:rPr>
                <w:rFonts w:eastAsia="Times New Roman" w:cstheme="minorHAnsi"/>
                <w:iCs/>
                <w:noProof/>
              </w:rPr>
            </w:pPr>
            <w:r w:rsidRPr="001552C0">
              <w:rPr>
                <w:rFonts w:eastAsia="Times New Roman" w:cstheme="minorHAnsi"/>
                <w:iCs/>
                <w:noProof/>
              </w:rPr>
              <w:t>RCO 1</w:t>
            </w:r>
          </w:p>
          <w:p w14:paraId="6B8E1627" w14:textId="77777777" w:rsidR="00496B4A" w:rsidRDefault="00496B4A" w:rsidP="00141D71">
            <w:pPr>
              <w:spacing w:before="120" w:after="120" w:line="240" w:lineRule="auto"/>
              <w:jc w:val="both"/>
              <w:rPr>
                <w:rFonts w:eastAsia="Times New Roman" w:cstheme="minorHAnsi"/>
                <w:iCs/>
                <w:noProof/>
              </w:rPr>
            </w:pPr>
          </w:p>
          <w:p w14:paraId="5656E527" w14:textId="77777777" w:rsidR="00496B4A" w:rsidRDefault="00496B4A" w:rsidP="00141D71">
            <w:pPr>
              <w:spacing w:before="120" w:after="120" w:line="240" w:lineRule="auto"/>
              <w:jc w:val="both"/>
              <w:rPr>
                <w:rFonts w:eastAsia="Times New Roman" w:cstheme="minorHAnsi"/>
                <w:iCs/>
                <w:noProof/>
              </w:rPr>
            </w:pPr>
            <w:r w:rsidRPr="00496B4A">
              <w:rPr>
                <w:rFonts w:eastAsia="Times New Roman" w:cstheme="minorHAnsi"/>
                <w:iCs/>
                <w:noProof/>
              </w:rPr>
              <w:t>RCO 20</w:t>
            </w:r>
          </w:p>
          <w:p w14:paraId="5EA1F1FE" w14:textId="77777777" w:rsidR="00E3613F" w:rsidRDefault="00E3613F" w:rsidP="00141D71">
            <w:pPr>
              <w:spacing w:before="120" w:after="120" w:line="240" w:lineRule="auto"/>
              <w:jc w:val="both"/>
              <w:rPr>
                <w:rFonts w:eastAsia="Times New Roman" w:cstheme="minorHAnsi"/>
                <w:iCs/>
                <w:noProof/>
              </w:rPr>
            </w:pPr>
          </w:p>
          <w:p w14:paraId="05CD7B89" w14:textId="77777777" w:rsidR="00E3613F" w:rsidRDefault="00E3613F" w:rsidP="00141D71">
            <w:pPr>
              <w:spacing w:before="120" w:after="120" w:line="240" w:lineRule="auto"/>
              <w:jc w:val="both"/>
              <w:rPr>
                <w:rFonts w:eastAsia="Times New Roman" w:cstheme="minorHAnsi"/>
                <w:iCs/>
                <w:noProof/>
              </w:rPr>
            </w:pPr>
          </w:p>
          <w:p w14:paraId="3708FD94" w14:textId="77777777" w:rsidR="00E3613F" w:rsidRDefault="00E3613F" w:rsidP="00141D71">
            <w:pPr>
              <w:spacing w:before="120" w:after="120" w:line="240" w:lineRule="auto"/>
              <w:jc w:val="both"/>
              <w:rPr>
                <w:rFonts w:eastAsia="Times New Roman" w:cstheme="minorHAnsi"/>
                <w:iCs/>
                <w:noProof/>
              </w:rPr>
            </w:pPr>
          </w:p>
          <w:p w14:paraId="6EF4E331" w14:textId="77777777" w:rsidR="00E3613F" w:rsidRDefault="00E3613F" w:rsidP="00141D71">
            <w:pPr>
              <w:spacing w:before="120" w:after="120" w:line="240" w:lineRule="auto"/>
              <w:jc w:val="both"/>
              <w:rPr>
                <w:rFonts w:eastAsia="Times New Roman" w:cstheme="minorHAnsi"/>
                <w:iCs/>
                <w:noProof/>
              </w:rPr>
            </w:pPr>
          </w:p>
          <w:p w14:paraId="46D3CFB0" w14:textId="77777777" w:rsidR="00E3613F" w:rsidRDefault="00E3613F" w:rsidP="00141D71">
            <w:pPr>
              <w:spacing w:before="120" w:after="120" w:line="240" w:lineRule="auto"/>
              <w:jc w:val="both"/>
              <w:rPr>
                <w:rFonts w:eastAsia="Times New Roman" w:cstheme="minorHAnsi"/>
                <w:iCs/>
                <w:noProof/>
              </w:rPr>
            </w:pPr>
          </w:p>
          <w:p w14:paraId="5D0E74A0" w14:textId="77777777" w:rsidR="00666157" w:rsidRDefault="00666157" w:rsidP="00141D71">
            <w:pPr>
              <w:spacing w:before="120" w:after="120" w:line="240" w:lineRule="auto"/>
              <w:jc w:val="both"/>
              <w:rPr>
                <w:rFonts w:eastAsia="Times New Roman" w:cstheme="minorHAnsi"/>
                <w:iCs/>
                <w:noProof/>
              </w:rPr>
            </w:pPr>
          </w:p>
          <w:p w14:paraId="43BCB321" w14:textId="50DC97A6" w:rsidR="00E3613F" w:rsidRDefault="00E3613F" w:rsidP="00141D71">
            <w:pPr>
              <w:spacing w:before="120" w:after="120" w:line="240" w:lineRule="auto"/>
              <w:jc w:val="both"/>
              <w:rPr>
                <w:rFonts w:eastAsia="Times New Roman" w:cstheme="minorHAnsi"/>
                <w:iCs/>
                <w:noProof/>
              </w:rPr>
            </w:pPr>
            <w:r w:rsidRPr="00E3613F">
              <w:rPr>
                <w:rFonts w:eastAsia="Times New Roman" w:cstheme="minorHAnsi"/>
                <w:iCs/>
                <w:noProof/>
              </w:rPr>
              <w:t>RCO 104</w:t>
            </w:r>
          </w:p>
          <w:p w14:paraId="3380A4D2" w14:textId="600DAB3C" w:rsidR="00E3613F" w:rsidRPr="001552C0" w:rsidRDefault="00E3613F" w:rsidP="00141D71">
            <w:pPr>
              <w:spacing w:before="120" w:after="120" w:line="240" w:lineRule="auto"/>
              <w:jc w:val="both"/>
              <w:rPr>
                <w:rFonts w:eastAsia="Times New Roman" w:cstheme="minorHAnsi"/>
                <w:iCs/>
                <w:noProof/>
              </w:rPr>
            </w:pPr>
          </w:p>
        </w:tc>
        <w:tc>
          <w:tcPr>
            <w:tcW w:w="952" w:type="pct"/>
            <w:tcBorders>
              <w:top w:val="single" w:sz="4" w:space="0" w:color="auto"/>
              <w:left w:val="single" w:sz="4" w:space="0" w:color="auto"/>
              <w:bottom w:val="single" w:sz="4" w:space="0" w:color="auto"/>
              <w:right w:val="single" w:sz="4" w:space="0" w:color="auto"/>
            </w:tcBorders>
          </w:tcPr>
          <w:p w14:paraId="4BA746F5" w14:textId="77777777" w:rsidR="00D50849" w:rsidRDefault="0015409C" w:rsidP="00175CD6">
            <w:pPr>
              <w:spacing w:before="120" w:after="120" w:line="240" w:lineRule="auto"/>
              <w:jc w:val="both"/>
              <w:rPr>
                <w:rFonts w:eastAsia="Times New Roman" w:cstheme="minorHAnsi"/>
                <w:iCs/>
                <w:noProof/>
              </w:rPr>
            </w:pPr>
            <w:r w:rsidRPr="001552C0">
              <w:rPr>
                <w:rFonts w:eastAsia="Times New Roman" w:cstheme="minorHAnsi"/>
                <w:iCs/>
                <w:noProof/>
              </w:rPr>
              <w:t>Întreprinderi sprijinite</w:t>
            </w:r>
            <w:r w:rsidR="00D50849" w:rsidRPr="001552C0">
              <w:rPr>
                <w:rFonts w:eastAsia="Times New Roman" w:cstheme="minorHAnsi"/>
                <w:iCs/>
                <w:noProof/>
              </w:rPr>
              <w:t xml:space="preserve"> </w:t>
            </w:r>
          </w:p>
          <w:p w14:paraId="02BBDF81" w14:textId="77777777" w:rsidR="00496B4A" w:rsidRDefault="00496B4A" w:rsidP="00175CD6">
            <w:pPr>
              <w:spacing w:before="120" w:after="120" w:line="240" w:lineRule="auto"/>
              <w:jc w:val="both"/>
              <w:rPr>
                <w:rFonts w:eastAsia="Times New Roman" w:cstheme="minorHAnsi"/>
                <w:iCs/>
                <w:noProof/>
              </w:rPr>
            </w:pPr>
            <w:r w:rsidRPr="00496B4A">
              <w:rPr>
                <w:rFonts w:eastAsia="Times New Roman" w:cstheme="minorHAnsi"/>
                <w:iCs/>
                <w:noProof/>
              </w:rPr>
              <w:t>Conducte de rețea pentru încălzirea urbană nou construite sau modernizate</w:t>
            </w:r>
          </w:p>
          <w:p w14:paraId="46D37146" w14:textId="77777777" w:rsidR="00E3613F" w:rsidRDefault="00E3613F" w:rsidP="00175CD6">
            <w:pPr>
              <w:spacing w:before="120" w:after="120" w:line="240" w:lineRule="auto"/>
              <w:jc w:val="both"/>
              <w:rPr>
                <w:rFonts w:eastAsia="Times New Roman" w:cstheme="minorHAnsi"/>
                <w:iCs/>
                <w:noProof/>
              </w:rPr>
            </w:pPr>
          </w:p>
          <w:p w14:paraId="693FE6F3" w14:textId="4D0EAB70" w:rsidR="00E3613F" w:rsidRPr="001552C0" w:rsidRDefault="00E3613F" w:rsidP="00175CD6">
            <w:pPr>
              <w:spacing w:before="120" w:after="120" w:line="240" w:lineRule="auto"/>
              <w:jc w:val="both"/>
              <w:rPr>
                <w:rFonts w:eastAsia="Times New Roman" w:cstheme="minorHAnsi"/>
                <w:iCs/>
                <w:noProof/>
              </w:rPr>
            </w:pPr>
            <w:r w:rsidRPr="00E3613F">
              <w:rPr>
                <w:rFonts w:eastAsia="Times New Roman" w:cstheme="minorHAnsi"/>
                <w:iCs/>
                <w:noProof/>
              </w:rPr>
              <w:t>Număr de unități de cogenerare de înaltă eficiență;</w:t>
            </w:r>
          </w:p>
        </w:tc>
        <w:tc>
          <w:tcPr>
            <w:tcW w:w="765" w:type="pct"/>
            <w:tcBorders>
              <w:top w:val="single" w:sz="4" w:space="0" w:color="auto"/>
              <w:left w:val="single" w:sz="4" w:space="0" w:color="auto"/>
              <w:bottom w:val="single" w:sz="4" w:space="0" w:color="auto"/>
              <w:right w:val="single" w:sz="4" w:space="0" w:color="auto"/>
            </w:tcBorders>
          </w:tcPr>
          <w:p w14:paraId="538BF03D" w14:textId="77777777" w:rsidR="0015409C" w:rsidRPr="001552C0" w:rsidRDefault="0015409C" w:rsidP="00F000AD">
            <w:pPr>
              <w:rPr>
                <w:b/>
                <w:i/>
              </w:rPr>
            </w:pPr>
          </w:p>
        </w:tc>
        <w:tc>
          <w:tcPr>
            <w:tcW w:w="578" w:type="pct"/>
            <w:tcBorders>
              <w:top w:val="single" w:sz="4" w:space="0" w:color="auto"/>
              <w:left w:val="single" w:sz="4" w:space="0" w:color="auto"/>
              <w:bottom w:val="single" w:sz="4" w:space="0" w:color="auto"/>
              <w:right w:val="single" w:sz="4" w:space="0" w:color="auto"/>
            </w:tcBorders>
          </w:tcPr>
          <w:p w14:paraId="3A8C2695" w14:textId="77777777" w:rsidR="0015409C" w:rsidRPr="001552C0" w:rsidRDefault="0015409C" w:rsidP="00F000AD">
            <w:pPr>
              <w:rPr>
                <w:b/>
                <w:i/>
              </w:rPr>
            </w:pPr>
          </w:p>
        </w:tc>
        <w:tc>
          <w:tcPr>
            <w:tcW w:w="408" w:type="pct"/>
            <w:tcBorders>
              <w:top w:val="single" w:sz="4" w:space="0" w:color="auto"/>
              <w:left w:val="single" w:sz="4" w:space="0" w:color="auto"/>
              <w:bottom w:val="single" w:sz="4" w:space="0" w:color="auto"/>
              <w:right w:val="single" w:sz="4" w:space="0" w:color="auto"/>
            </w:tcBorders>
          </w:tcPr>
          <w:p w14:paraId="2DB0F47A" w14:textId="77777777" w:rsidR="0015409C" w:rsidRPr="001552C0" w:rsidRDefault="0015409C" w:rsidP="00F000AD">
            <w:pPr>
              <w:rPr>
                <w:b/>
                <w:i/>
              </w:rPr>
            </w:pPr>
          </w:p>
        </w:tc>
      </w:tr>
      <w:tr w:rsidR="00F37836" w:rsidRPr="001552C0" w14:paraId="7B8F315B" w14:textId="77777777" w:rsidTr="00175CD6">
        <w:trPr>
          <w:trHeight w:val="332"/>
        </w:trPr>
        <w:tc>
          <w:tcPr>
            <w:tcW w:w="455" w:type="pct"/>
            <w:tcBorders>
              <w:top w:val="single" w:sz="4" w:space="0" w:color="auto"/>
              <w:left w:val="single" w:sz="4" w:space="0" w:color="auto"/>
              <w:bottom w:val="single" w:sz="4" w:space="0" w:color="auto"/>
              <w:right w:val="single" w:sz="4" w:space="0" w:color="auto"/>
            </w:tcBorders>
          </w:tcPr>
          <w:p w14:paraId="1EE206ED" w14:textId="5700CA5F" w:rsidR="007242AC" w:rsidRPr="001552C0" w:rsidRDefault="00F37836" w:rsidP="00F000AD">
            <w:r w:rsidRPr="001552C0">
              <w:t>1-Promovarea eficienței energetice, a sistemelor și rețelelor inteligente de energie și a soluțiilor de stocare</w:t>
            </w:r>
            <w:r w:rsidR="007D7EF7">
              <w:t xml:space="preserve"> </w:t>
            </w:r>
            <w:r w:rsidR="007D7EF7" w:rsidRPr="007D7EF7">
              <w:t>și reducerea emisiilor de gaze cu efect de seră.</w:t>
            </w:r>
            <w:r w:rsidRPr="001552C0">
              <w:t xml:space="preserve"> </w:t>
            </w:r>
            <w:r w:rsidR="00B25060" w:rsidRPr="001552C0">
              <w:t xml:space="preserve">1.2. Sisteme de distribuție inteligentă a </w:t>
            </w:r>
            <w:r w:rsidR="00B25060" w:rsidRPr="001552C0">
              <w:lastRenderedPageBreak/>
              <w:t>energiei electrice si solutii de stocarea  SAU  Sisteme  și retele inteligente de energie și soluții de stocare</w:t>
            </w:r>
          </w:p>
        </w:tc>
        <w:tc>
          <w:tcPr>
            <w:tcW w:w="672" w:type="pct"/>
            <w:tcBorders>
              <w:top w:val="single" w:sz="4" w:space="0" w:color="auto"/>
              <w:left w:val="single" w:sz="4" w:space="0" w:color="auto"/>
              <w:bottom w:val="single" w:sz="4" w:space="0" w:color="auto"/>
              <w:right w:val="single" w:sz="4" w:space="0" w:color="auto"/>
            </w:tcBorders>
          </w:tcPr>
          <w:p w14:paraId="60306EB7" w14:textId="19253655" w:rsidR="007242AC" w:rsidRPr="001552C0" w:rsidRDefault="00B25060" w:rsidP="00F000AD">
            <w:r w:rsidRPr="001552C0">
              <w:lastRenderedPageBreak/>
              <w:t xml:space="preserve"> (iii) Dezvoltarea de sisteme inteligente de energie, rețele și stocare în afara TEN-E.</w:t>
            </w:r>
          </w:p>
        </w:tc>
        <w:tc>
          <w:tcPr>
            <w:tcW w:w="341" w:type="pct"/>
            <w:tcBorders>
              <w:top w:val="single" w:sz="4" w:space="0" w:color="auto"/>
              <w:left w:val="single" w:sz="4" w:space="0" w:color="auto"/>
              <w:bottom w:val="single" w:sz="4" w:space="0" w:color="auto"/>
              <w:right w:val="single" w:sz="4" w:space="0" w:color="auto"/>
            </w:tcBorders>
          </w:tcPr>
          <w:p w14:paraId="7B570121" w14:textId="77777777" w:rsidR="007242AC" w:rsidRPr="001552C0" w:rsidRDefault="00B25060" w:rsidP="00F000AD">
            <w:r w:rsidRPr="001552C0">
              <w:t>FEDR</w:t>
            </w:r>
          </w:p>
          <w:p w14:paraId="3D143A4C" w14:textId="6AFC8EB5" w:rsidR="00B25060" w:rsidRPr="001552C0" w:rsidRDefault="00B25060" w:rsidP="00F000AD">
            <w:r w:rsidRPr="001552C0">
              <w:t>FC</w:t>
            </w:r>
          </w:p>
        </w:tc>
        <w:tc>
          <w:tcPr>
            <w:tcW w:w="525" w:type="pct"/>
            <w:tcBorders>
              <w:top w:val="single" w:sz="4" w:space="0" w:color="auto"/>
              <w:left w:val="single" w:sz="4" w:space="0" w:color="auto"/>
              <w:bottom w:val="single" w:sz="4" w:space="0" w:color="auto"/>
              <w:right w:val="single" w:sz="4" w:space="0" w:color="auto"/>
            </w:tcBorders>
          </w:tcPr>
          <w:p w14:paraId="56B4319E" w14:textId="77777777" w:rsidR="00F37836" w:rsidRPr="001552C0" w:rsidRDefault="00F37836" w:rsidP="00F37836">
            <w:r w:rsidRPr="001552C0">
              <w:t>Mai dezvoltate</w:t>
            </w:r>
          </w:p>
          <w:p w14:paraId="4C0D4AF4" w14:textId="59E06997" w:rsidR="007242AC" w:rsidRPr="001552C0" w:rsidRDefault="00F37836" w:rsidP="00F37836">
            <w:pPr>
              <w:rPr>
                <w:b/>
                <w:i/>
              </w:rPr>
            </w:pPr>
            <w:r w:rsidRPr="001552C0">
              <w:t>Mai puțin dezvoltate</w:t>
            </w:r>
          </w:p>
        </w:tc>
        <w:tc>
          <w:tcPr>
            <w:tcW w:w="304" w:type="pct"/>
            <w:tcBorders>
              <w:top w:val="single" w:sz="4" w:space="0" w:color="auto"/>
              <w:left w:val="single" w:sz="4" w:space="0" w:color="auto"/>
              <w:bottom w:val="single" w:sz="4" w:space="0" w:color="auto"/>
              <w:right w:val="single" w:sz="4" w:space="0" w:color="auto"/>
            </w:tcBorders>
          </w:tcPr>
          <w:p w14:paraId="38AD5835" w14:textId="16A61034" w:rsidR="00E3613F" w:rsidRDefault="00E3613F" w:rsidP="00141D71">
            <w:pPr>
              <w:spacing w:before="120" w:after="120" w:line="240" w:lineRule="auto"/>
              <w:jc w:val="both"/>
              <w:rPr>
                <w:rFonts w:eastAsia="Times New Roman" w:cstheme="minorHAnsi"/>
                <w:iCs/>
                <w:noProof/>
              </w:rPr>
            </w:pPr>
            <w:r w:rsidRPr="00E3613F">
              <w:rPr>
                <w:rFonts w:eastAsia="Times New Roman" w:cstheme="minorHAnsi"/>
                <w:iCs/>
                <w:noProof/>
              </w:rPr>
              <w:t>RCO01</w:t>
            </w:r>
          </w:p>
          <w:p w14:paraId="438C1E3C" w14:textId="77777777" w:rsidR="00E3613F" w:rsidRDefault="00E3613F" w:rsidP="00141D71">
            <w:pPr>
              <w:spacing w:before="120" w:after="120" w:line="240" w:lineRule="auto"/>
              <w:jc w:val="both"/>
              <w:rPr>
                <w:rFonts w:eastAsia="Times New Roman" w:cstheme="minorHAnsi"/>
                <w:iCs/>
                <w:noProof/>
              </w:rPr>
            </w:pPr>
          </w:p>
          <w:p w14:paraId="7170B10C" w14:textId="77777777" w:rsidR="00E3613F" w:rsidRDefault="00E3613F" w:rsidP="00141D71">
            <w:pPr>
              <w:spacing w:before="120" w:after="120" w:line="240" w:lineRule="auto"/>
              <w:jc w:val="both"/>
              <w:rPr>
                <w:rFonts w:eastAsia="Times New Roman" w:cstheme="minorHAnsi"/>
                <w:iCs/>
                <w:noProof/>
              </w:rPr>
            </w:pPr>
          </w:p>
          <w:p w14:paraId="0B44FD9E" w14:textId="77777777" w:rsidR="00E3613F" w:rsidRDefault="00E3613F" w:rsidP="00141D71">
            <w:pPr>
              <w:spacing w:before="120" w:after="120" w:line="240" w:lineRule="auto"/>
              <w:jc w:val="both"/>
              <w:rPr>
                <w:rFonts w:eastAsia="Times New Roman" w:cstheme="minorHAnsi"/>
                <w:iCs/>
                <w:noProof/>
              </w:rPr>
            </w:pPr>
          </w:p>
          <w:p w14:paraId="72DD11A4" w14:textId="77777777" w:rsidR="00E3613F" w:rsidRDefault="00E3613F" w:rsidP="00141D71">
            <w:pPr>
              <w:spacing w:before="120" w:after="120" w:line="240" w:lineRule="auto"/>
              <w:jc w:val="both"/>
              <w:rPr>
                <w:rFonts w:eastAsia="Times New Roman" w:cstheme="minorHAnsi"/>
                <w:iCs/>
                <w:noProof/>
              </w:rPr>
            </w:pPr>
          </w:p>
          <w:p w14:paraId="0DFE5FC9" w14:textId="3C9D1FE3" w:rsidR="00E3613F" w:rsidRDefault="00E3613F" w:rsidP="00141D71">
            <w:pPr>
              <w:spacing w:before="120" w:after="120" w:line="240" w:lineRule="auto"/>
              <w:jc w:val="both"/>
              <w:rPr>
                <w:rFonts w:eastAsia="Times New Roman" w:cstheme="minorHAnsi"/>
                <w:iCs/>
                <w:noProof/>
              </w:rPr>
            </w:pPr>
            <w:r w:rsidRPr="00E3613F">
              <w:rPr>
                <w:rFonts w:eastAsia="Times New Roman" w:cstheme="minorHAnsi"/>
                <w:iCs/>
                <w:noProof/>
              </w:rPr>
              <w:t>RCO23</w:t>
            </w:r>
          </w:p>
          <w:p w14:paraId="46A98E29" w14:textId="77777777" w:rsidR="00E3613F" w:rsidRDefault="00E3613F" w:rsidP="00141D71">
            <w:pPr>
              <w:spacing w:before="120" w:after="120" w:line="240" w:lineRule="auto"/>
              <w:jc w:val="both"/>
              <w:rPr>
                <w:rFonts w:eastAsia="Times New Roman" w:cstheme="minorHAnsi"/>
                <w:iCs/>
                <w:noProof/>
              </w:rPr>
            </w:pPr>
          </w:p>
          <w:p w14:paraId="71BF8D9D" w14:textId="77777777" w:rsidR="00E3613F" w:rsidRDefault="00E3613F" w:rsidP="00141D71">
            <w:pPr>
              <w:spacing w:before="120" w:after="120" w:line="240" w:lineRule="auto"/>
              <w:jc w:val="both"/>
              <w:rPr>
                <w:rFonts w:eastAsia="Times New Roman" w:cstheme="minorHAnsi"/>
                <w:iCs/>
                <w:noProof/>
              </w:rPr>
            </w:pPr>
          </w:p>
          <w:p w14:paraId="5CA8C542" w14:textId="77777777" w:rsidR="00E3613F" w:rsidRDefault="00E3613F" w:rsidP="00141D71">
            <w:pPr>
              <w:spacing w:before="120" w:after="120" w:line="240" w:lineRule="auto"/>
              <w:jc w:val="both"/>
              <w:rPr>
                <w:rFonts w:eastAsia="Times New Roman" w:cstheme="minorHAnsi"/>
                <w:iCs/>
                <w:noProof/>
              </w:rPr>
            </w:pPr>
          </w:p>
          <w:p w14:paraId="51A44D2B" w14:textId="08A4BE51" w:rsidR="00E3613F" w:rsidRDefault="00666157" w:rsidP="00141D71">
            <w:pPr>
              <w:spacing w:before="120" w:after="120" w:line="240" w:lineRule="auto"/>
              <w:jc w:val="both"/>
              <w:rPr>
                <w:rFonts w:eastAsia="Times New Roman" w:cstheme="minorHAnsi"/>
                <w:iCs/>
                <w:noProof/>
              </w:rPr>
            </w:pPr>
            <w:r w:rsidRPr="00E3613F">
              <w:rPr>
                <w:rFonts w:eastAsia="Times New Roman" w:cstheme="minorHAnsi"/>
                <w:iCs/>
                <w:noProof/>
              </w:rPr>
              <w:t>2S2</w:t>
            </w:r>
          </w:p>
          <w:p w14:paraId="26E8A261" w14:textId="77777777" w:rsidR="00E3613F" w:rsidRDefault="00E3613F" w:rsidP="00141D71">
            <w:pPr>
              <w:spacing w:before="120" w:after="120" w:line="240" w:lineRule="auto"/>
              <w:jc w:val="both"/>
              <w:rPr>
                <w:rFonts w:eastAsia="Times New Roman" w:cstheme="minorHAnsi"/>
                <w:iCs/>
                <w:noProof/>
              </w:rPr>
            </w:pPr>
          </w:p>
          <w:p w14:paraId="2BFC3C36" w14:textId="77777777" w:rsidR="007242AC" w:rsidRDefault="007242AC" w:rsidP="00141D71">
            <w:pPr>
              <w:spacing w:before="120" w:after="120" w:line="240" w:lineRule="auto"/>
              <w:jc w:val="both"/>
              <w:rPr>
                <w:rFonts w:eastAsia="Times New Roman" w:cstheme="minorHAnsi"/>
                <w:iCs/>
                <w:noProof/>
              </w:rPr>
            </w:pPr>
            <w:r w:rsidRPr="001552C0">
              <w:rPr>
                <w:rFonts w:eastAsia="Times New Roman" w:cstheme="minorHAnsi"/>
                <w:iCs/>
                <w:noProof/>
              </w:rPr>
              <w:lastRenderedPageBreak/>
              <w:t>RCO 105</w:t>
            </w:r>
          </w:p>
          <w:p w14:paraId="069EA88E" w14:textId="77777777" w:rsidR="00E3613F" w:rsidRDefault="00E3613F" w:rsidP="00141D71">
            <w:pPr>
              <w:spacing w:before="120" w:after="120" w:line="240" w:lineRule="auto"/>
              <w:jc w:val="both"/>
              <w:rPr>
                <w:rFonts w:eastAsia="Times New Roman" w:cstheme="minorHAnsi"/>
                <w:iCs/>
                <w:noProof/>
              </w:rPr>
            </w:pPr>
          </w:p>
          <w:p w14:paraId="0FB50743" w14:textId="77777777" w:rsidR="00E3613F" w:rsidRDefault="00E3613F" w:rsidP="00141D71">
            <w:pPr>
              <w:spacing w:before="120" w:after="120" w:line="240" w:lineRule="auto"/>
              <w:jc w:val="both"/>
              <w:rPr>
                <w:rFonts w:eastAsia="Times New Roman" w:cstheme="minorHAnsi"/>
                <w:iCs/>
                <w:noProof/>
              </w:rPr>
            </w:pPr>
          </w:p>
          <w:p w14:paraId="35014836" w14:textId="538AA33A" w:rsidR="00E3613F" w:rsidRPr="001552C0" w:rsidRDefault="00E3613F" w:rsidP="00141D71">
            <w:pPr>
              <w:spacing w:before="120" w:after="120" w:line="240" w:lineRule="auto"/>
              <w:jc w:val="both"/>
              <w:rPr>
                <w:rFonts w:eastAsia="Times New Roman" w:cstheme="minorHAnsi"/>
                <w:iCs/>
                <w:noProof/>
              </w:rPr>
            </w:pPr>
          </w:p>
        </w:tc>
        <w:tc>
          <w:tcPr>
            <w:tcW w:w="952" w:type="pct"/>
            <w:tcBorders>
              <w:top w:val="single" w:sz="4" w:space="0" w:color="auto"/>
              <w:left w:val="single" w:sz="4" w:space="0" w:color="auto"/>
              <w:bottom w:val="single" w:sz="4" w:space="0" w:color="auto"/>
              <w:right w:val="single" w:sz="4" w:space="0" w:color="auto"/>
            </w:tcBorders>
          </w:tcPr>
          <w:p w14:paraId="6D1DB18F" w14:textId="60F21E95" w:rsidR="00E3613F" w:rsidRDefault="00E3613F" w:rsidP="00141D71">
            <w:pPr>
              <w:spacing w:before="120" w:after="120" w:line="240" w:lineRule="auto"/>
              <w:jc w:val="both"/>
              <w:rPr>
                <w:rFonts w:eastAsia="Times New Roman" w:cstheme="minorHAnsi"/>
                <w:iCs/>
                <w:noProof/>
              </w:rPr>
            </w:pPr>
            <w:r w:rsidRPr="00E3613F">
              <w:rPr>
                <w:rFonts w:eastAsia="Times New Roman" w:cstheme="minorHAnsi"/>
                <w:iCs/>
                <w:noProof/>
              </w:rPr>
              <w:lastRenderedPageBreak/>
              <w:t>Enterprises supported (of which: micro, small, medium, large)</w:t>
            </w:r>
          </w:p>
          <w:p w14:paraId="68CCA5B8" w14:textId="77777777" w:rsidR="00E3613F" w:rsidRDefault="00E3613F" w:rsidP="00141D71">
            <w:pPr>
              <w:spacing w:before="120" w:after="120" w:line="240" w:lineRule="auto"/>
              <w:jc w:val="both"/>
              <w:rPr>
                <w:rFonts w:eastAsia="Times New Roman" w:cstheme="minorHAnsi"/>
                <w:iCs/>
                <w:noProof/>
              </w:rPr>
            </w:pPr>
          </w:p>
          <w:p w14:paraId="25FABA0A" w14:textId="0300898D" w:rsidR="00E3613F" w:rsidRDefault="00E3613F" w:rsidP="00141D71">
            <w:pPr>
              <w:spacing w:before="120" w:after="120" w:line="240" w:lineRule="auto"/>
              <w:jc w:val="both"/>
              <w:rPr>
                <w:rFonts w:eastAsia="Times New Roman" w:cstheme="minorHAnsi"/>
                <w:iCs/>
                <w:noProof/>
              </w:rPr>
            </w:pPr>
            <w:r w:rsidRPr="00E3613F">
              <w:rPr>
                <w:rFonts w:eastAsia="Times New Roman" w:cstheme="minorHAnsi"/>
                <w:iCs/>
                <w:noProof/>
              </w:rPr>
              <w:t>Digital management systems for smart energy systems</w:t>
            </w:r>
          </w:p>
          <w:p w14:paraId="27313C72" w14:textId="2A7353D8" w:rsidR="00E3613F" w:rsidRDefault="00666157" w:rsidP="00141D71">
            <w:pPr>
              <w:spacing w:before="120" w:after="120" w:line="240" w:lineRule="auto"/>
              <w:jc w:val="both"/>
              <w:rPr>
                <w:rFonts w:eastAsia="Times New Roman" w:cstheme="minorHAnsi"/>
                <w:iCs/>
                <w:noProof/>
              </w:rPr>
            </w:pPr>
            <w:r w:rsidRPr="00E3613F">
              <w:rPr>
                <w:rFonts w:eastAsia="Times New Roman" w:cstheme="minorHAnsi"/>
                <w:iCs/>
                <w:noProof/>
              </w:rPr>
              <w:t>Authorities supported</w:t>
            </w:r>
          </w:p>
          <w:p w14:paraId="38B7B6BA" w14:textId="77777777" w:rsidR="007242AC" w:rsidRDefault="007242AC" w:rsidP="00141D71">
            <w:pPr>
              <w:spacing w:before="120" w:after="120" w:line="240" w:lineRule="auto"/>
              <w:jc w:val="both"/>
              <w:rPr>
                <w:rFonts w:eastAsia="Times New Roman" w:cstheme="minorHAnsi"/>
                <w:iCs/>
                <w:noProof/>
              </w:rPr>
            </w:pPr>
            <w:r w:rsidRPr="001552C0">
              <w:rPr>
                <w:rFonts w:eastAsia="Times New Roman" w:cstheme="minorHAnsi"/>
                <w:iCs/>
                <w:noProof/>
              </w:rPr>
              <w:lastRenderedPageBreak/>
              <w:t>Soluții pentru stocarea energiei electrice</w:t>
            </w:r>
          </w:p>
          <w:p w14:paraId="7AE9DD66" w14:textId="77777777" w:rsidR="00E3613F" w:rsidRDefault="00E3613F" w:rsidP="00141D71">
            <w:pPr>
              <w:spacing w:before="120" w:after="120" w:line="240" w:lineRule="auto"/>
              <w:jc w:val="both"/>
              <w:rPr>
                <w:rFonts w:eastAsia="Times New Roman" w:cstheme="minorHAnsi"/>
                <w:iCs/>
                <w:noProof/>
              </w:rPr>
            </w:pPr>
          </w:p>
          <w:p w14:paraId="0D3C03BB" w14:textId="6E0755CC" w:rsidR="00E3613F" w:rsidRPr="001552C0" w:rsidRDefault="00E3613F" w:rsidP="00141D71">
            <w:pPr>
              <w:spacing w:before="120" w:after="120" w:line="240" w:lineRule="auto"/>
              <w:jc w:val="both"/>
              <w:rPr>
                <w:rFonts w:eastAsia="Times New Roman" w:cstheme="minorHAnsi"/>
                <w:iCs/>
                <w:noProof/>
              </w:rPr>
            </w:pPr>
          </w:p>
        </w:tc>
        <w:tc>
          <w:tcPr>
            <w:tcW w:w="765" w:type="pct"/>
            <w:tcBorders>
              <w:top w:val="single" w:sz="4" w:space="0" w:color="auto"/>
              <w:left w:val="single" w:sz="4" w:space="0" w:color="auto"/>
              <w:bottom w:val="single" w:sz="4" w:space="0" w:color="auto"/>
              <w:right w:val="single" w:sz="4" w:space="0" w:color="auto"/>
            </w:tcBorders>
          </w:tcPr>
          <w:p w14:paraId="5267D4AE" w14:textId="77777777" w:rsidR="007242AC" w:rsidRPr="001552C0" w:rsidRDefault="007242AC" w:rsidP="00F000AD">
            <w:pPr>
              <w:rPr>
                <w:b/>
                <w:i/>
              </w:rPr>
            </w:pPr>
          </w:p>
        </w:tc>
        <w:tc>
          <w:tcPr>
            <w:tcW w:w="578" w:type="pct"/>
            <w:tcBorders>
              <w:top w:val="single" w:sz="4" w:space="0" w:color="auto"/>
              <w:left w:val="single" w:sz="4" w:space="0" w:color="auto"/>
              <w:bottom w:val="single" w:sz="4" w:space="0" w:color="auto"/>
              <w:right w:val="single" w:sz="4" w:space="0" w:color="auto"/>
            </w:tcBorders>
          </w:tcPr>
          <w:p w14:paraId="7456F671" w14:textId="77777777" w:rsidR="007242AC" w:rsidRPr="001552C0" w:rsidRDefault="007242AC" w:rsidP="00F000AD">
            <w:pPr>
              <w:rPr>
                <w:b/>
              </w:rPr>
            </w:pPr>
          </w:p>
        </w:tc>
        <w:tc>
          <w:tcPr>
            <w:tcW w:w="408" w:type="pct"/>
            <w:tcBorders>
              <w:top w:val="single" w:sz="4" w:space="0" w:color="auto"/>
              <w:left w:val="single" w:sz="4" w:space="0" w:color="auto"/>
              <w:bottom w:val="single" w:sz="4" w:space="0" w:color="auto"/>
              <w:right w:val="single" w:sz="4" w:space="0" w:color="auto"/>
            </w:tcBorders>
          </w:tcPr>
          <w:p w14:paraId="47394815" w14:textId="77777777" w:rsidR="007242AC" w:rsidRPr="001552C0" w:rsidRDefault="007242AC" w:rsidP="00F000AD">
            <w:pPr>
              <w:rPr>
                <w:b/>
              </w:rPr>
            </w:pPr>
          </w:p>
        </w:tc>
      </w:tr>
    </w:tbl>
    <w:p w14:paraId="6F1D36AD" w14:textId="53D344A0" w:rsidR="00F000AD" w:rsidRPr="001552C0" w:rsidRDefault="00F000AD" w:rsidP="00F000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973"/>
        <w:gridCol w:w="533"/>
        <w:gridCol w:w="858"/>
        <w:gridCol w:w="460"/>
        <w:gridCol w:w="984"/>
        <w:gridCol w:w="1097"/>
        <w:gridCol w:w="817"/>
        <w:gridCol w:w="847"/>
        <w:gridCol w:w="617"/>
        <w:gridCol w:w="640"/>
        <w:gridCol w:w="889"/>
      </w:tblGrid>
      <w:tr w:rsidR="00B96B06" w:rsidRPr="001552C0" w14:paraId="575C6CFC" w14:textId="77777777" w:rsidTr="00F000AD">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4EC78594" w14:textId="77777777" w:rsidR="00F000AD" w:rsidRPr="001552C0" w:rsidRDefault="00F000AD" w:rsidP="00F000AD">
            <w:pPr>
              <w:rPr>
                <w:b/>
              </w:rPr>
            </w:pPr>
            <w:r w:rsidRPr="001552C0">
              <w:rPr>
                <w:b/>
                <w:iCs/>
              </w:rPr>
              <w:t>Table 3: Result indicators</w:t>
            </w:r>
          </w:p>
        </w:tc>
      </w:tr>
      <w:tr w:rsidR="00B96B06" w:rsidRPr="001552C0" w14:paraId="6411266B" w14:textId="77777777" w:rsidTr="00F1578A">
        <w:trPr>
          <w:trHeight w:val="1768"/>
        </w:trPr>
        <w:tc>
          <w:tcPr>
            <w:tcW w:w="569" w:type="pct"/>
            <w:tcBorders>
              <w:top w:val="single" w:sz="4" w:space="0" w:color="auto"/>
              <w:left w:val="single" w:sz="4" w:space="0" w:color="auto"/>
              <w:bottom w:val="single" w:sz="4" w:space="0" w:color="auto"/>
              <w:right w:val="single" w:sz="4" w:space="0" w:color="auto"/>
            </w:tcBorders>
            <w:hideMark/>
          </w:tcPr>
          <w:p w14:paraId="0FCDE0CF" w14:textId="77777777" w:rsidR="00F000AD" w:rsidRPr="001552C0" w:rsidRDefault="00F000AD" w:rsidP="00F000AD">
            <w:pPr>
              <w:rPr>
                <w:b/>
              </w:rPr>
            </w:pPr>
            <w:r w:rsidRPr="001552C0">
              <w:rPr>
                <w:b/>
              </w:rPr>
              <w:t xml:space="preserve">Priority </w:t>
            </w:r>
          </w:p>
        </w:tc>
        <w:tc>
          <w:tcPr>
            <w:tcW w:w="486" w:type="pct"/>
            <w:tcBorders>
              <w:top w:val="single" w:sz="4" w:space="0" w:color="auto"/>
              <w:left w:val="single" w:sz="4" w:space="0" w:color="auto"/>
              <w:bottom w:val="single" w:sz="4" w:space="0" w:color="auto"/>
              <w:right w:val="single" w:sz="4" w:space="0" w:color="auto"/>
            </w:tcBorders>
            <w:hideMark/>
          </w:tcPr>
          <w:p w14:paraId="68360FD5" w14:textId="77777777" w:rsidR="00F000AD" w:rsidRPr="001552C0" w:rsidRDefault="00F000AD" w:rsidP="00F000AD">
            <w:pPr>
              <w:rPr>
                <w:b/>
              </w:rPr>
            </w:pPr>
            <w:r w:rsidRPr="001552C0">
              <w:rPr>
                <w:b/>
              </w:rPr>
              <w:t>Specific objective (Investment for Jobs and Growth goal or EMFF)</w:t>
            </w:r>
          </w:p>
        </w:tc>
        <w:tc>
          <w:tcPr>
            <w:tcW w:w="267" w:type="pct"/>
            <w:tcBorders>
              <w:top w:val="single" w:sz="4" w:space="0" w:color="auto"/>
              <w:left w:val="single" w:sz="4" w:space="0" w:color="auto"/>
              <w:bottom w:val="single" w:sz="4" w:space="0" w:color="auto"/>
              <w:right w:val="single" w:sz="4" w:space="0" w:color="auto"/>
            </w:tcBorders>
            <w:hideMark/>
          </w:tcPr>
          <w:p w14:paraId="7D0A45C7" w14:textId="77777777" w:rsidR="00F000AD" w:rsidRPr="001552C0" w:rsidRDefault="00F000AD" w:rsidP="00F000AD">
            <w:pPr>
              <w:rPr>
                <w:b/>
              </w:rPr>
            </w:pPr>
            <w:r w:rsidRPr="001552C0">
              <w:rPr>
                <w:b/>
              </w:rPr>
              <w:t>Fund</w:t>
            </w:r>
          </w:p>
        </w:tc>
        <w:tc>
          <w:tcPr>
            <w:tcW w:w="421" w:type="pct"/>
            <w:tcBorders>
              <w:top w:val="single" w:sz="4" w:space="0" w:color="auto"/>
              <w:left w:val="single" w:sz="4" w:space="0" w:color="auto"/>
              <w:bottom w:val="single" w:sz="4" w:space="0" w:color="auto"/>
              <w:right w:val="single" w:sz="4" w:space="0" w:color="auto"/>
            </w:tcBorders>
            <w:hideMark/>
          </w:tcPr>
          <w:p w14:paraId="0E23D69C" w14:textId="77777777" w:rsidR="00F000AD" w:rsidRPr="001552C0" w:rsidRDefault="00F000AD" w:rsidP="00F000AD">
            <w:pPr>
              <w:rPr>
                <w:b/>
              </w:rPr>
            </w:pPr>
            <w:r w:rsidRPr="001552C0">
              <w:rPr>
                <w:b/>
              </w:rPr>
              <w:t>Category of region</w:t>
            </w:r>
            <w:r w:rsidRPr="001552C0">
              <w:t xml:space="preserve"> </w:t>
            </w:r>
          </w:p>
        </w:tc>
        <w:tc>
          <w:tcPr>
            <w:tcW w:w="307" w:type="pct"/>
            <w:tcBorders>
              <w:top w:val="single" w:sz="4" w:space="0" w:color="auto"/>
              <w:left w:val="single" w:sz="4" w:space="0" w:color="auto"/>
              <w:bottom w:val="single" w:sz="4" w:space="0" w:color="auto"/>
              <w:right w:val="single" w:sz="4" w:space="0" w:color="auto"/>
            </w:tcBorders>
            <w:hideMark/>
          </w:tcPr>
          <w:p w14:paraId="0FECE721" w14:textId="77777777" w:rsidR="00F000AD" w:rsidRPr="001552C0" w:rsidRDefault="00F000AD" w:rsidP="00F000AD">
            <w:pPr>
              <w:rPr>
                <w:b/>
              </w:rPr>
            </w:pPr>
            <w:r w:rsidRPr="001552C0">
              <w:rPr>
                <w:b/>
              </w:rPr>
              <w:t>ID [5]</w:t>
            </w:r>
          </w:p>
        </w:tc>
        <w:tc>
          <w:tcPr>
            <w:tcW w:w="492" w:type="pct"/>
            <w:tcBorders>
              <w:top w:val="single" w:sz="4" w:space="0" w:color="auto"/>
              <w:left w:val="single" w:sz="4" w:space="0" w:color="auto"/>
              <w:bottom w:val="single" w:sz="4" w:space="0" w:color="auto"/>
              <w:right w:val="single" w:sz="4" w:space="0" w:color="auto"/>
            </w:tcBorders>
            <w:hideMark/>
          </w:tcPr>
          <w:p w14:paraId="0E6BA945" w14:textId="77777777" w:rsidR="00F000AD" w:rsidRPr="001552C0" w:rsidRDefault="00F000AD" w:rsidP="00F000AD">
            <w:pPr>
              <w:rPr>
                <w:b/>
              </w:rPr>
            </w:pPr>
            <w:r w:rsidRPr="001552C0">
              <w:rPr>
                <w:b/>
              </w:rPr>
              <w:t>Indicator [255]</w:t>
            </w:r>
          </w:p>
        </w:tc>
        <w:tc>
          <w:tcPr>
            <w:tcW w:w="549" w:type="pct"/>
            <w:tcBorders>
              <w:top w:val="single" w:sz="4" w:space="0" w:color="auto"/>
              <w:left w:val="single" w:sz="4" w:space="0" w:color="auto"/>
              <w:bottom w:val="single" w:sz="4" w:space="0" w:color="auto"/>
              <w:right w:val="single" w:sz="4" w:space="0" w:color="auto"/>
            </w:tcBorders>
            <w:hideMark/>
          </w:tcPr>
          <w:p w14:paraId="53496C18" w14:textId="77777777" w:rsidR="00F000AD" w:rsidRPr="001552C0" w:rsidRDefault="00F000AD" w:rsidP="00F000AD">
            <w:pPr>
              <w:rPr>
                <w:b/>
              </w:rPr>
            </w:pPr>
            <w:r w:rsidRPr="001552C0">
              <w:rPr>
                <w:b/>
              </w:rPr>
              <w:t>Measurement unit</w:t>
            </w:r>
          </w:p>
        </w:tc>
        <w:tc>
          <w:tcPr>
            <w:tcW w:w="409" w:type="pct"/>
            <w:tcBorders>
              <w:top w:val="single" w:sz="4" w:space="0" w:color="auto"/>
              <w:left w:val="single" w:sz="4" w:space="0" w:color="auto"/>
              <w:bottom w:val="single" w:sz="4" w:space="0" w:color="auto"/>
              <w:right w:val="single" w:sz="4" w:space="0" w:color="auto"/>
            </w:tcBorders>
            <w:hideMark/>
          </w:tcPr>
          <w:p w14:paraId="42C4BF1E" w14:textId="77777777" w:rsidR="00F000AD" w:rsidRPr="001552C0" w:rsidRDefault="00F000AD" w:rsidP="00F000AD">
            <w:pPr>
              <w:rPr>
                <w:b/>
              </w:rPr>
            </w:pPr>
            <w:r w:rsidRPr="001552C0">
              <w:rPr>
                <w:b/>
              </w:rPr>
              <w:t>Baseline or reference value</w:t>
            </w:r>
          </w:p>
        </w:tc>
        <w:tc>
          <w:tcPr>
            <w:tcW w:w="424" w:type="pct"/>
            <w:tcBorders>
              <w:top w:val="single" w:sz="4" w:space="0" w:color="auto"/>
              <w:left w:val="single" w:sz="4" w:space="0" w:color="auto"/>
              <w:bottom w:val="single" w:sz="4" w:space="0" w:color="auto"/>
              <w:right w:val="single" w:sz="4" w:space="0" w:color="auto"/>
            </w:tcBorders>
            <w:hideMark/>
          </w:tcPr>
          <w:p w14:paraId="10E4B90B" w14:textId="77777777" w:rsidR="00F000AD" w:rsidRPr="001552C0" w:rsidRDefault="00F000AD" w:rsidP="00F000AD">
            <w:pPr>
              <w:rPr>
                <w:b/>
              </w:rPr>
            </w:pPr>
            <w:r w:rsidRPr="001552C0">
              <w:rPr>
                <w:b/>
              </w:rPr>
              <w:t>Reference year</w:t>
            </w:r>
          </w:p>
        </w:tc>
        <w:tc>
          <w:tcPr>
            <w:tcW w:w="310" w:type="pct"/>
            <w:tcBorders>
              <w:top w:val="single" w:sz="4" w:space="0" w:color="auto"/>
              <w:left w:val="single" w:sz="4" w:space="0" w:color="auto"/>
              <w:bottom w:val="single" w:sz="4" w:space="0" w:color="auto"/>
              <w:right w:val="single" w:sz="4" w:space="0" w:color="auto"/>
            </w:tcBorders>
          </w:tcPr>
          <w:p w14:paraId="319B97FD" w14:textId="77777777" w:rsidR="00F000AD" w:rsidRPr="001552C0" w:rsidRDefault="00F000AD" w:rsidP="00F000AD">
            <w:pPr>
              <w:rPr>
                <w:b/>
              </w:rPr>
            </w:pPr>
            <w:r w:rsidRPr="001552C0">
              <w:rPr>
                <w:b/>
              </w:rPr>
              <w:t>Target (2029)</w:t>
            </w:r>
          </w:p>
          <w:p w14:paraId="39229935" w14:textId="77777777" w:rsidR="00F000AD" w:rsidRPr="001552C0" w:rsidRDefault="00F000AD" w:rsidP="00F000AD">
            <w:pPr>
              <w:rPr>
                <w:b/>
              </w:rPr>
            </w:pPr>
          </w:p>
        </w:tc>
        <w:tc>
          <w:tcPr>
            <w:tcW w:w="321" w:type="pct"/>
            <w:tcBorders>
              <w:top w:val="single" w:sz="4" w:space="0" w:color="auto"/>
              <w:left w:val="single" w:sz="4" w:space="0" w:color="auto"/>
              <w:bottom w:val="single" w:sz="4" w:space="0" w:color="auto"/>
              <w:right w:val="single" w:sz="4" w:space="0" w:color="auto"/>
            </w:tcBorders>
            <w:hideMark/>
          </w:tcPr>
          <w:p w14:paraId="7F5C46FD" w14:textId="77777777" w:rsidR="00F000AD" w:rsidRPr="001552C0" w:rsidRDefault="00F000AD" w:rsidP="00F000AD">
            <w:pPr>
              <w:rPr>
                <w:b/>
              </w:rPr>
            </w:pPr>
            <w:r w:rsidRPr="001552C0">
              <w:rPr>
                <w:b/>
              </w:rPr>
              <w:t>Source of data [200]</w:t>
            </w:r>
          </w:p>
        </w:tc>
        <w:tc>
          <w:tcPr>
            <w:tcW w:w="445" w:type="pct"/>
            <w:tcBorders>
              <w:top w:val="single" w:sz="4" w:space="0" w:color="auto"/>
              <w:left w:val="single" w:sz="4" w:space="0" w:color="auto"/>
              <w:bottom w:val="single" w:sz="4" w:space="0" w:color="auto"/>
              <w:right w:val="single" w:sz="4" w:space="0" w:color="auto"/>
            </w:tcBorders>
            <w:hideMark/>
          </w:tcPr>
          <w:p w14:paraId="121C55B8" w14:textId="77777777" w:rsidR="00F000AD" w:rsidRPr="001552C0" w:rsidRDefault="00F000AD" w:rsidP="00F000AD">
            <w:pPr>
              <w:rPr>
                <w:b/>
              </w:rPr>
            </w:pPr>
            <w:r w:rsidRPr="001552C0">
              <w:rPr>
                <w:b/>
              </w:rPr>
              <w:t>Comments [200]</w:t>
            </w:r>
          </w:p>
        </w:tc>
      </w:tr>
      <w:tr w:rsidR="00B96B06" w:rsidRPr="001552C0" w14:paraId="5862702E" w14:textId="77777777" w:rsidTr="00F1578A">
        <w:trPr>
          <w:trHeight w:val="286"/>
        </w:trPr>
        <w:tc>
          <w:tcPr>
            <w:tcW w:w="569" w:type="pct"/>
            <w:tcBorders>
              <w:top w:val="single" w:sz="4" w:space="0" w:color="auto"/>
              <w:left w:val="single" w:sz="4" w:space="0" w:color="auto"/>
              <w:bottom w:val="single" w:sz="4" w:space="0" w:color="auto"/>
              <w:right w:val="single" w:sz="4" w:space="0" w:color="auto"/>
            </w:tcBorders>
          </w:tcPr>
          <w:p w14:paraId="4E802E99" w14:textId="3C27A16C" w:rsidR="00F000AD" w:rsidRPr="001552C0" w:rsidRDefault="00F37836" w:rsidP="00F000AD">
            <w:pPr>
              <w:rPr>
                <w:i/>
              </w:rPr>
            </w:pPr>
            <w:r w:rsidRPr="001552C0">
              <w:rPr>
                <w:i/>
              </w:rPr>
              <w:t xml:space="preserve">1-Promovarea eficienței energetice, a sistemelor și rețelelor inteligente de energie și a soluțiilor de stocare </w:t>
            </w:r>
            <w:r w:rsidR="00F1578A" w:rsidRPr="001552C0">
              <w:rPr>
                <w:i/>
              </w:rPr>
              <w:t xml:space="preserve">1.1. Îmbunătățirea eficienței </w:t>
            </w:r>
            <w:r w:rsidR="00F1578A" w:rsidRPr="001552C0">
              <w:rPr>
                <w:i/>
              </w:rPr>
              <w:lastRenderedPageBreak/>
              <w:t>energetice a IMM-urilor și a întreprinderilor mari</w:t>
            </w:r>
          </w:p>
        </w:tc>
        <w:tc>
          <w:tcPr>
            <w:tcW w:w="486" w:type="pct"/>
            <w:tcBorders>
              <w:top w:val="single" w:sz="4" w:space="0" w:color="auto"/>
              <w:left w:val="single" w:sz="4" w:space="0" w:color="auto"/>
              <w:bottom w:val="single" w:sz="4" w:space="0" w:color="auto"/>
              <w:right w:val="single" w:sz="4" w:space="0" w:color="auto"/>
            </w:tcBorders>
          </w:tcPr>
          <w:p w14:paraId="268878C7" w14:textId="43A21D31" w:rsidR="00F000AD" w:rsidRPr="001552C0" w:rsidRDefault="00F1578A" w:rsidP="00F000AD">
            <w:pPr>
              <w:rPr>
                <w:i/>
              </w:rPr>
            </w:pPr>
            <w:r w:rsidRPr="001552C0">
              <w:rPr>
                <w:i/>
              </w:rPr>
              <w:lastRenderedPageBreak/>
              <w:t xml:space="preserve"> (i) Promovarea eficienței energetice și reducerea emisiilor de gaze cu efect de seră</w:t>
            </w:r>
          </w:p>
        </w:tc>
        <w:tc>
          <w:tcPr>
            <w:tcW w:w="267" w:type="pct"/>
            <w:tcBorders>
              <w:top w:val="single" w:sz="4" w:space="0" w:color="auto"/>
              <w:left w:val="single" w:sz="4" w:space="0" w:color="auto"/>
              <w:bottom w:val="single" w:sz="4" w:space="0" w:color="auto"/>
              <w:right w:val="single" w:sz="4" w:space="0" w:color="auto"/>
            </w:tcBorders>
          </w:tcPr>
          <w:p w14:paraId="74D5F2F9" w14:textId="77777777" w:rsidR="00F000AD" w:rsidRPr="001552C0" w:rsidRDefault="00F1578A" w:rsidP="00F000AD">
            <w:pPr>
              <w:rPr>
                <w:i/>
              </w:rPr>
            </w:pPr>
            <w:r w:rsidRPr="001552C0">
              <w:rPr>
                <w:i/>
              </w:rPr>
              <w:t xml:space="preserve">FEDR </w:t>
            </w:r>
          </w:p>
          <w:p w14:paraId="5C8E31EC" w14:textId="3090A6FA" w:rsidR="00F1578A" w:rsidRPr="001552C0" w:rsidRDefault="00F1578A" w:rsidP="00F000AD">
            <w:pPr>
              <w:rPr>
                <w:i/>
              </w:rPr>
            </w:pPr>
            <w:r w:rsidRPr="001552C0">
              <w:rPr>
                <w:i/>
              </w:rPr>
              <w:t>FC</w:t>
            </w:r>
          </w:p>
        </w:tc>
        <w:tc>
          <w:tcPr>
            <w:tcW w:w="421" w:type="pct"/>
            <w:tcBorders>
              <w:top w:val="single" w:sz="4" w:space="0" w:color="auto"/>
              <w:left w:val="single" w:sz="4" w:space="0" w:color="auto"/>
              <w:bottom w:val="single" w:sz="4" w:space="0" w:color="auto"/>
              <w:right w:val="single" w:sz="4" w:space="0" w:color="auto"/>
            </w:tcBorders>
          </w:tcPr>
          <w:p w14:paraId="018D63AB" w14:textId="77777777" w:rsidR="00F37836" w:rsidRPr="001552C0" w:rsidRDefault="00F37836" w:rsidP="00F37836">
            <w:r w:rsidRPr="001552C0">
              <w:t>Mai dezvoltate</w:t>
            </w:r>
          </w:p>
          <w:p w14:paraId="561E1D73" w14:textId="283539D1" w:rsidR="00F1578A" w:rsidRPr="001552C0" w:rsidRDefault="00F37836" w:rsidP="00F37836">
            <w:pPr>
              <w:rPr>
                <w:i/>
              </w:rPr>
            </w:pPr>
            <w:r w:rsidRPr="001552C0">
              <w:t>Mai puțin dezvoltate</w:t>
            </w:r>
          </w:p>
        </w:tc>
        <w:tc>
          <w:tcPr>
            <w:tcW w:w="307" w:type="pct"/>
            <w:tcBorders>
              <w:top w:val="single" w:sz="4" w:space="0" w:color="auto"/>
              <w:left w:val="single" w:sz="4" w:space="0" w:color="auto"/>
              <w:bottom w:val="single" w:sz="4" w:space="0" w:color="auto"/>
              <w:right w:val="single" w:sz="4" w:space="0" w:color="auto"/>
            </w:tcBorders>
          </w:tcPr>
          <w:p w14:paraId="13C94C7B" w14:textId="10238C0B" w:rsidR="00666157" w:rsidRDefault="00666157" w:rsidP="00F000AD">
            <w:r w:rsidRPr="00666157">
              <w:t>2S1</w:t>
            </w:r>
          </w:p>
          <w:p w14:paraId="06E682D8" w14:textId="5833906D" w:rsidR="00F000AD" w:rsidRDefault="00F000AD" w:rsidP="00F000AD"/>
          <w:p w14:paraId="54365F6D" w14:textId="77777777" w:rsidR="00E248EA" w:rsidRDefault="00E248EA" w:rsidP="00F000AD"/>
          <w:p w14:paraId="44F7B2F6" w14:textId="77777777" w:rsidR="00E248EA" w:rsidRDefault="00E248EA" w:rsidP="00F000AD"/>
          <w:p w14:paraId="6D996374" w14:textId="77777777" w:rsidR="00E248EA" w:rsidRDefault="00E248EA" w:rsidP="00F000AD"/>
          <w:p w14:paraId="30893C0C" w14:textId="77777777" w:rsidR="00E248EA" w:rsidRDefault="00E248EA" w:rsidP="00F000AD"/>
          <w:p w14:paraId="1BD16936" w14:textId="77777777" w:rsidR="00E248EA" w:rsidRDefault="00E248EA" w:rsidP="00F000AD"/>
          <w:p w14:paraId="4BBDEFB8" w14:textId="77777777" w:rsidR="00E248EA" w:rsidRDefault="00E248EA" w:rsidP="00F000AD"/>
          <w:p w14:paraId="6B4D9BD0" w14:textId="77777777" w:rsidR="00E248EA" w:rsidRDefault="00E248EA" w:rsidP="00F000AD">
            <w:r w:rsidRPr="00E248EA">
              <w:t>RCR 26</w:t>
            </w:r>
          </w:p>
          <w:p w14:paraId="1B5F62CA" w14:textId="77777777" w:rsidR="00E248EA" w:rsidRDefault="00E248EA" w:rsidP="00F000AD"/>
          <w:p w14:paraId="355DAC56" w14:textId="77777777" w:rsidR="00E248EA" w:rsidRDefault="00E248EA" w:rsidP="00F000AD"/>
          <w:p w14:paraId="65A9279F" w14:textId="77777777" w:rsidR="00E248EA" w:rsidRDefault="00E248EA" w:rsidP="00F000AD"/>
          <w:p w14:paraId="5C5CA223" w14:textId="1940711B" w:rsidR="00E248EA" w:rsidRPr="001552C0" w:rsidRDefault="00E248EA" w:rsidP="00F000AD">
            <w:r w:rsidRPr="00E248EA">
              <w:t>RCR 29</w:t>
            </w:r>
          </w:p>
        </w:tc>
        <w:tc>
          <w:tcPr>
            <w:tcW w:w="492" w:type="pct"/>
            <w:tcBorders>
              <w:top w:val="single" w:sz="4" w:space="0" w:color="auto"/>
              <w:left w:val="single" w:sz="4" w:space="0" w:color="auto"/>
              <w:bottom w:val="single" w:sz="4" w:space="0" w:color="auto"/>
              <w:right w:val="single" w:sz="4" w:space="0" w:color="auto"/>
            </w:tcBorders>
          </w:tcPr>
          <w:p w14:paraId="5F78F5E5" w14:textId="530F7B4B" w:rsidR="00666157" w:rsidRDefault="00666157" w:rsidP="00F000AD">
            <w:r w:rsidRPr="00666157">
              <w:lastRenderedPageBreak/>
              <w:t>Energy intensity in supported enterprises</w:t>
            </w:r>
          </w:p>
          <w:p w14:paraId="4A791772" w14:textId="4D3893AB" w:rsidR="00F000AD" w:rsidRDefault="00F000AD" w:rsidP="00666157"/>
          <w:p w14:paraId="25C58FCE" w14:textId="77777777" w:rsidR="00E248EA" w:rsidRDefault="00E248EA" w:rsidP="00666157">
            <w:r w:rsidRPr="00E248EA">
              <w:t>Economii în consumul anual de energie primară</w:t>
            </w:r>
          </w:p>
          <w:p w14:paraId="632730B0" w14:textId="77777777" w:rsidR="00E248EA" w:rsidRDefault="00E248EA" w:rsidP="00666157">
            <w:r w:rsidRPr="00E248EA">
              <w:t xml:space="preserve">Consum final anual de </w:t>
            </w:r>
            <w:r w:rsidRPr="00E248EA">
              <w:lastRenderedPageBreak/>
              <w:t>energie</w:t>
            </w:r>
          </w:p>
          <w:p w14:paraId="68C4FEFD" w14:textId="6AB1E146" w:rsidR="00E248EA" w:rsidRPr="001552C0" w:rsidRDefault="00E248EA" w:rsidP="00666157">
            <w:r w:rsidRPr="00E248EA">
              <w:t>Emisii de gaze cu efect de seră estimate</w:t>
            </w:r>
          </w:p>
        </w:tc>
        <w:tc>
          <w:tcPr>
            <w:tcW w:w="549" w:type="pct"/>
            <w:tcBorders>
              <w:top w:val="single" w:sz="4" w:space="0" w:color="auto"/>
              <w:left w:val="single" w:sz="4" w:space="0" w:color="auto"/>
              <w:bottom w:val="single" w:sz="4" w:space="0" w:color="auto"/>
              <w:right w:val="single" w:sz="4" w:space="0" w:color="auto"/>
            </w:tcBorders>
          </w:tcPr>
          <w:p w14:paraId="68772DCA" w14:textId="77777777" w:rsidR="00F000AD" w:rsidRPr="001552C0" w:rsidRDefault="00F000AD" w:rsidP="00F000AD"/>
        </w:tc>
        <w:tc>
          <w:tcPr>
            <w:tcW w:w="409" w:type="pct"/>
            <w:tcBorders>
              <w:top w:val="single" w:sz="4" w:space="0" w:color="auto"/>
              <w:left w:val="single" w:sz="4" w:space="0" w:color="auto"/>
              <w:bottom w:val="single" w:sz="4" w:space="0" w:color="auto"/>
              <w:right w:val="single" w:sz="4" w:space="0" w:color="auto"/>
            </w:tcBorders>
          </w:tcPr>
          <w:p w14:paraId="3F247E37" w14:textId="77777777" w:rsidR="00F000AD" w:rsidRPr="001552C0" w:rsidRDefault="00F000AD" w:rsidP="00F000AD">
            <w:pPr>
              <w:rPr>
                <w:i/>
              </w:rPr>
            </w:pPr>
          </w:p>
        </w:tc>
        <w:tc>
          <w:tcPr>
            <w:tcW w:w="424" w:type="pct"/>
            <w:tcBorders>
              <w:top w:val="single" w:sz="4" w:space="0" w:color="auto"/>
              <w:left w:val="single" w:sz="4" w:space="0" w:color="auto"/>
              <w:bottom w:val="single" w:sz="4" w:space="0" w:color="auto"/>
              <w:right w:val="single" w:sz="4" w:space="0" w:color="auto"/>
            </w:tcBorders>
          </w:tcPr>
          <w:p w14:paraId="760AEA08" w14:textId="77777777" w:rsidR="00F000AD" w:rsidRPr="001552C0" w:rsidRDefault="00F000AD" w:rsidP="00F000AD">
            <w:pPr>
              <w:rPr>
                <w:b/>
              </w:rPr>
            </w:pPr>
          </w:p>
        </w:tc>
        <w:tc>
          <w:tcPr>
            <w:tcW w:w="310" w:type="pct"/>
            <w:tcBorders>
              <w:top w:val="single" w:sz="4" w:space="0" w:color="auto"/>
              <w:left w:val="single" w:sz="4" w:space="0" w:color="auto"/>
              <w:bottom w:val="single" w:sz="4" w:space="0" w:color="auto"/>
              <w:right w:val="single" w:sz="4" w:space="0" w:color="auto"/>
            </w:tcBorders>
          </w:tcPr>
          <w:p w14:paraId="1BC11DE2" w14:textId="77777777" w:rsidR="00F000AD" w:rsidRPr="001552C0" w:rsidRDefault="00F000AD" w:rsidP="00F000AD">
            <w:pPr>
              <w:rPr>
                <w:b/>
              </w:rPr>
            </w:pPr>
          </w:p>
        </w:tc>
        <w:tc>
          <w:tcPr>
            <w:tcW w:w="321" w:type="pct"/>
            <w:tcBorders>
              <w:top w:val="single" w:sz="4" w:space="0" w:color="auto"/>
              <w:left w:val="single" w:sz="4" w:space="0" w:color="auto"/>
              <w:bottom w:val="single" w:sz="4" w:space="0" w:color="auto"/>
              <w:right w:val="single" w:sz="4" w:space="0" w:color="auto"/>
            </w:tcBorders>
          </w:tcPr>
          <w:p w14:paraId="5AA42D02" w14:textId="77777777" w:rsidR="00F000AD" w:rsidRPr="001552C0" w:rsidRDefault="00F000AD" w:rsidP="00F000AD">
            <w:pPr>
              <w:rPr>
                <w:i/>
              </w:rPr>
            </w:pPr>
          </w:p>
        </w:tc>
        <w:tc>
          <w:tcPr>
            <w:tcW w:w="445" w:type="pct"/>
            <w:tcBorders>
              <w:top w:val="single" w:sz="4" w:space="0" w:color="auto"/>
              <w:left w:val="single" w:sz="4" w:space="0" w:color="auto"/>
              <w:bottom w:val="single" w:sz="4" w:space="0" w:color="auto"/>
              <w:right w:val="single" w:sz="4" w:space="0" w:color="auto"/>
            </w:tcBorders>
          </w:tcPr>
          <w:p w14:paraId="675F919F" w14:textId="77777777" w:rsidR="00F000AD" w:rsidRPr="001552C0" w:rsidRDefault="00F000AD" w:rsidP="00F000AD">
            <w:pPr>
              <w:rPr>
                <w:i/>
              </w:rPr>
            </w:pPr>
          </w:p>
        </w:tc>
      </w:tr>
      <w:tr w:rsidR="00B96B06" w:rsidRPr="001552C0" w14:paraId="5399AC98" w14:textId="77777777" w:rsidTr="00F1578A">
        <w:trPr>
          <w:trHeight w:val="286"/>
        </w:trPr>
        <w:tc>
          <w:tcPr>
            <w:tcW w:w="569" w:type="pct"/>
            <w:tcBorders>
              <w:top w:val="single" w:sz="4" w:space="0" w:color="auto"/>
              <w:left w:val="single" w:sz="4" w:space="0" w:color="auto"/>
              <w:bottom w:val="single" w:sz="4" w:space="0" w:color="auto"/>
              <w:right w:val="single" w:sz="4" w:space="0" w:color="auto"/>
            </w:tcBorders>
          </w:tcPr>
          <w:p w14:paraId="5376725F" w14:textId="4019FA4A" w:rsidR="00F1578A" w:rsidRPr="001552C0" w:rsidRDefault="00F1578A" w:rsidP="00F000AD">
            <w:pPr>
              <w:rPr>
                <w:i/>
              </w:rPr>
            </w:pPr>
          </w:p>
        </w:tc>
        <w:tc>
          <w:tcPr>
            <w:tcW w:w="486" w:type="pct"/>
            <w:tcBorders>
              <w:top w:val="single" w:sz="4" w:space="0" w:color="auto"/>
              <w:left w:val="single" w:sz="4" w:space="0" w:color="auto"/>
              <w:bottom w:val="single" w:sz="4" w:space="0" w:color="auto"/>
              <w:right w:val="single" w:sz="4" w:space="0" w:color="auto"/>
            </w:tcBorders>
          </w:tcPr>
          <w:p w14:paraId="020E824E" w14:textId="0A5D8EC5" w:rsidR="00F1578A" w:rsidRPr="001552C0" w:rsidRDefault="00F1578A" w:rsidP="00F000AD">
            <w:pPr>
              <w:rPr>
                <w:i/>
              </w:rPr>
            </w:pPr>
          </w:p>
        </w:tc>
        <w:tc>
          <w:tcPr>
            <w:tcW w:w="267" w:type="pct"/>
            <w:tcBorders>
              <w:top w:val="single" w:sz="4" w:space="0" w:color="auto"/>
              <w:left w:val="single" w:sz="4" w:space="0" w:color="auto"/>
              <w:bottom w:val="single" w:sz="4" w:space="0" w:color="auto"/>
              <w:right w:val="single" w:sz="4" w:space="0" w:color="auto"/>
            </w:tcBorders>
          </w:tcPr>
          <w:p w14:paraId="01A98B02" w14:textId="423AC06E" w:rsidR="00F1578A" w:rsidRPr="001552C0" w:rsidRDefault="00F1578A" w:rsidP="00F000AD">
            <w:pPr>
              <w:rPr>
                <w:i/>
              </w:rPr>
            </w:pPr>
          </w:p>
        </w:tc>
        <w:tc>
          <w:tcPr>
            <w:tcW w:w="421" w:type="pct"/>
            <w:tcBorders>
              <w:top w:val="single" w:sz="4" w:space="0" w:color="auto"/>
              <w:left w:val="single" w:sz="4" w:space="0" w:color="auto"/>
              <w:bottom w:val="single" w:sz="4" w:space="0" w:color="auto"/>
              <w:right w:val="single" w:sz="4" w:space="0" w:color="auto"/>
            </w:tcBorders>
          </w:tcPr>
          <w:p w14:paraId="604686B2" w14:textId="62F523E2" w:rsidR="00F1578A" w:rsidRPr="001552C0" w:rsidRDefault="00F1578A" w:rsidP="00F37836">
            <w:pPr>
              <w:rPr>
                <w:i/>
              </w:rPr>
            </w:pPr>
          </w:p>
        </w:tc>
        <w:tc>
          <w:tcPr>
            <w:tcW w:w="307" w:type="pct"/>
            <w:tcBorders>
              <w:top w:val="single" w:sz="4" w:space="0" w:color="auto"/>
              <w:left w:val="single" w:sz="4" w:space="0" w:color="auto"/>
              <w:bottom w:val="single" w:sz="4" w:space="0" w:color="auto"/>
              <w:right w:val="single" w:sz="4" w:space="0" w:color="auto"/>
            </w:tcBorders>
          </w:tcPr>
          <w:p w14:paraId="0CAA49A1" w14:textId="716E92D4" w:rsidR="00F1578A" w:rsidRPr="001552C0" w:rsidRDefault="00F1578A" w:rsidP="00F000AD"/>
        </w:tc>
        <w:tc>
          <w:tcPr>
            <w:tcW w:w="492" w:type="pct"/>
            <w:tcBorders>
              <w:top w:val="single" w:sz="4" w:space="0" w:color="auto"/>
              <w:left w:val="single" w:sz="4" w:space="0" w:color="auto"/>
              <w:bottom w:val="single" w:sz="4" w:space="0" w:color="auto"/>
              <w:right w:val="single" w:sz="4" w:space="0" w:color="auto"/>
            </w:tcBorders>
          </w:tcPr>
          <w:p w14:paraId="7BD76C98" w14:textId="3A03C747" w:rsidR="00F1578A" w:rsidRPr="001552C0" w:rsidRDefault="00F1578A" w:rsidP="00F000AD"/>
        </w:tc>
        <w:tc>
          <w:tcPr>
            <w:tcW w:w="549" w:type="pct"/>
            <w:tcBorders>
              <w:top w:val="single" w:sz="4" w:space="0" w:color="auto"/>
              <w:left w:val="single" w:sz="4" w:space="0" w:color="auto"/>
              <w:bottom w:val="single" w:sz="4" w:space="0" w:color="auto"/>
              <w:right w:val="single" w:sz="4" w:space="0" w:color="auto"/>
            </w:tcBorders>
          </w:tcPr>
          <w:p w14:paraId="126DEB86" w14:textId="77777777" w:rsidR="00F1578A" w:rsidRPr="001552C0" w:rsidRDefault="00F1578A" w:rsidP="00F000AD"/>
        </w:tc>
        <w:tc>
          <w:tcPr>
            <w:tcW w:w="409" w:type="pct"/>
            <w:tcBorders>
              <w:top w:val="single" w:sz="4" w:space="0" w:color="auto"/>
              <w:left w:val="single" w:sz="4" w:space="0" w:color="auto"/>
              <w:bottom w:val="single" w:sz="4" w:space="0" w:color="auto"/>
              <w:right w:val="single" w:sz="4" w:space="0" w:color="auto"/>
            </w:tcBorders>
          </w:tcPr>
          <w:p w14:paraId="1DF1212A" w14:textId="77777777" w:rsidR="00F1578A" w:rsidRPr="001552C0" w:rsidRDefault="00F1578A" w:rsidP="00F000AD">
            <w:pPr>
              <w:rPr>
                <w:i/>
              </w:rPr>
            </w:pPr>
          </w:p>
        </w:tc>
        <w:tc>
          <w:tcPr>
            <w:tcW w:w="424" w:type="pct"/>
            <w:tcBorders>
              <w:top w:val="single" w:sz="4" w:space="0" w:color="auto"/>
              <w:left w:val="single" w:sz="4" w:space="0" w:color="auto"/>
              <w:bottom w:val="single" w:sz="4" w:space="0" w:color="auto"/>
              <w:right w:val="single" w:sz="4" w:space="0" w:color="auto"/>
            </w:tcBorders>
          </w:tcPr>
          <w:p w14:paraId="4692058D" w14:textId="77777777" w:rsidR="00F1578A" w:rsidRPr="001552C0" w:rsidRDefault="00F1578A" w:rsidP="00F000AD">
            <w:pPr>
              <w:rPr>
                <w:b/>
              </w:rPr>
            </w:pPr>
          </w:p>
        </w:tc>
        <w:tc>
          <w:tcPr>
            <w:tcW w:w="310" w:type="pct"/>
            <w:tcBorders>
              <w:top w:val="single" w:sz="4" w:space="0" w:color="auto"/>
              <w:left w:val="single" w:sz="4" w:space="0" w:color="auto"/>
              <w:bottom w:val="single" w:sz="4" w:space="0" w:color="auto"/>
              <w:right w:val="single" w:sz="4" w:space="0" w:color="auto"/>
            </w:tcBorders>
          </w:tcPr>
          <w:p w14:paraId="6AEBBC06" w14:textId="77777777" w:rsidR="00F1578A" w:rsidRPr="001552C0" w:rsidRDefault="00F1578A" w:rsidP="00F000AD">
            <w:pPr>
              <w:rPr>
                <w:b/>
              </w:rPr>
            </w:pPr>
          </w:p>
        </w:tc>
        <w:tc>
          <w:tcPr>
            <w:tcW w:w="321" w:type="pct"/>
            <w:tcBorders>
              <w:top w:val="single" w:sz="4" w:space="0" w:color="auto"/>
              <w:left w:val="single" w:sz="4" w:space="0" w:color="auto"/>
              <w:bottom w:val="single" w:sz="4" w:space="0" w:color="auto"/>
              <w:right w:val="single" w:sz="4" w:space="0" w:color="auto"/>
            </w:tcBorders>
          </w:tcPr>
          <w:p w14:paraId="70992F28" w14:textId="77777777" w:rsidR="00F1578A" w:rsidRPr="001552C0" w:rsidRDefault="00F1578A" w:rsidP="00F000AD">
            <w:pPr>
              <w:rPr>
                <w:i/>
              </w:rPr>
            </w:pPr>
          </w:p>
        </w:tc>
        <w:tc>
          <w:tcPr>
            <w:tcW w:w="445" w:type="pct"/>
            <w:tcBorders>
              <w:top w:val="single" w:sz="4" w:space="0" w:color="auto"/>
              <w:left w:val="single" w:sz="4" w:space="0" w:color="auto"/>
              <w:bottom w:val="single" w:sz="4" w:space="0" w:color="auto"/>
              <w:right w:val="single" w:sz="4" w:space="0" w:color="auto"/>
            </w:tcBorders>
          </w:tcPr>
          <w:p w14:paraId="3FB310D6" w14:textId="77777777" w:rsidR="00F1578A" w:rsidRPr="001552C0" w:rsidRDefault="00F1578A" w:rsidP="00F000AD">
            <w:pPr>
              <w:rPr>
                <w:i/>
              </w:rPr>
            </w:pPr>
          </w:p>
        </w:tc>
      </w:tr>
      <w:tr w:rsidR="00B96B06" w:rsidRPr="001552C0" w14:paraId="00BD1940" w14:textId="77777777" w:rsidTr="00F1578A">
        <w:trPr>
          <w:trHeight w:val="286"/>
        </w:trPr>
        <w:tc>
          <w:tcPr>
            <w:tcW w:w="569" w:type="pct"/>
            <w:tcBorders>
              <w:top w:val="single" w:sz="4" w:space="0" w:color="auto"/>
              <w:left w:val="single" w:sz="4" w:space="0" w:color="auto"/>
              <w:bottom w:val="single" w:sz="4" w:space="0" w:color="auto"/>
              <w:right w:val="single" w:sz="4" w:space="0" w:color="auto"/>
            </w:tcBorders>
          </w:tcPr>
          <w:p w14:paraId="775FC2A7" w14:textId="54ACEE32" w:rsidR="00C054C4" w:rsidRPr="001552C0" w:rsidRDefault="00F37836" w:rsidP="00F000AD">
            <w:pPr>
              <w:rPr>
                <w:i/>
              </w:rPr>
            </w:pPr>
            <w:r w:rsidRPr="001552C0">
              <w:rPr>
                <w:i/>
              </w:rPr>
              <w:t xml:space="preserve">1-Promovarea eficienței energetice, a sistemelor și rețelelor inteligente de energie și a soluțiilor de stocare </w:t>
            </w:r>
            <w:r w:rsidR="00F1578A" w:rsidRPr="001552C0">
              <w:rPr>
                <w:i/>
              </w:rPr>
              <w:t xml:space="preserve">1.2. Sisteme de distribuție inteligentă a energiei electrice si solutii de stocarea  SAU  Sisteme  și retele inteligente de energie și soluții de </w:t>
            </w:r>
            <w:r w:rsidR="00F1578A" w:rsidRPr="001552C0">
              <w:rPr>
                <w:i/>
              </w:rPr>
              <w:lastRenderedPageBreak/>
              <w:t>stocare</w:t>
            </w:r>
          </w:p>
        </w:tc>
        <w:tc>
          <w:tcPr>
            <w:tcW w:w="486" w:type="pct"/>
            <w:tcBorders>
              <w:top w:val="single" w:sz="4" w:space="0" w:color="auto"/>
              <w:left w:val="single" w:sz="4" w:space="0" w:color="auto"/>
              <w:bottom w:val="single" w:sz="4" w:space="0" w:color="auto"/>
              <w:right w:val="single" w:sz="4" w:space="0" w:color="auto"/>
            </w:tcBorders>
          </w:tcPr>
          <w:p w14:paraId="2FBB7482" w14:textId="527A6660" w:rsidR="00C054C4" w:rsidRPr="001552C0" w:rsidRDefault="00F1578A" w:rsidP="00F000AD">
            <w:pPr>
              <w:rPr>
                <w:i/>
              </w:rPr>
            </w:pPr>
            <w:r w:rsidRPr="001552C0">
              <w:rPr>
                <w:i/>
              </w:rPr>
              <w:lastRenderedPageBreak/>
              <w:t>(iii) Dezvoltarea de sisteme inteligente de energie, rețele și stocare în afara TEN-E.</w:t>
            </w:r>
          </w:p>
        </w:tc>
        <w:tc>
          <w:tcPr>
            <w:tcW w:w="267" w:type="pct"/>
            <w:tcBorders>
              <w:top w:val="single" w:sz="4" w:space="0" w:color="auto"/>
              <w:left w:val="single" w:sz="4" w:space="0" w:color="auto"/>
              <w:bottom w:val="single" w:sz="4" w:space="0" w:color="auto"/>
              <w:right w:val="single" w:sz="4" w:space="0" w:color="auto"/>
            </w:tcBorders>
          </w:tcPr>
          <w:p w14:paraId="3CB65C53" w14:textId="77777777" w:rsidR="00C054C4" w:rsidRPr="001552C0" w:rsidRDefault="00F1578A" w:rsidP="00F000AD">
            <w:pPr>
              <w:rPr>
                <w:i/>
              </w:rPr>
            </w:pPr>
            <w:r w:rsidRPr="001552C0">
              <w:rPr>
                <w:i/>
              </w:rPr>
              <w:t>FEDR</w:t>
            </w:r>
          </w:p>
          <w:p w14:paraId="4571722C" w14:textId="224A85DE" w:rsidR="00F1578A" w:rsidRPr="001552C0" w:rsidRDefault="00F1578A" w:rsidP="00F000AD">
            <w:pPr>
              <w:rPr>
                <w:i/>
              </w:rPr>
            </w:pPr>
            <w:r w:rsidRPr="001552C0">
              <w:rPr>
                <w:i/>
              </w:rPr>
              <w:t>FC</w:t>
            </w:r>
          </w:p>
        </w:tc>
        <w:tc>
          <w:tcPr>
            <w:tcW w:w="421" w:type="pct"/>
            <w:tcBorders>
              <w:top w:val="single" w:sz="4" w:space="0" w:color="auto"/>
              <w:left w:val="single" w:sz="4" w:space="0" w:color="auto"/>
              <w:bottom w:val="single" w:sz="4" w:space="0" w:color="auto"/>
              <w:right w:val="single" w:sz="4" w:space="0" w:color="auto"/>
            </w:tcBorders>
          </w:tcPr>
          <w:p w14:paraId="63147A6B" w14:textId="77777777" w:rsidR="00F37836" w:rsidRPr="001552C0" w:rsidRDefault="00F37836" w:rsidP="00F37836">
            <w:r w:rsidRPr="001552C0">
              <w:t>Mai dezvoltate</w:t>
            </w:r>
          </w:p>
          <w:p w14:paraId="2C35DEBF" w14:textId="23A95754" w:rsidR="00C054C4" w:rsidRPr="001552C0" w:rsidRDefault="00F37836" w:rsidP="00F37836">
            <w:pPr>
              <w:rPr>
                <w:i/>
              </w:rPr>
            </w:pPr>
            <w:r w:rsidRPr="001552C0">
              <w:t>Mai puțin dezvoltate</w:t>
            </w:r>
          </w:p>
        </w:tc>
        <w:tc>
          <w:tcPr>
            <w:tcW w:w="307" w:type="pct"/>
            <w:tcBorders>
              <w:top w:val="single" w:sz="4" w:space="0" w:color="auto"/>
              <w:left w:val="single" w:sz="4" w:space="0" w:color="auto"/>
              <w:bottom w:val="single" w:sz="4" w:space="0" w:color="auto"/>
              <w:right w:val="single" w:sz="4" w:space="0" w:color="auto"/>
            </w:tcBorders>
          </w:tcPr>
          <w:p w14:paraId="53F78A8D" w14:textId="77777777" w:rsidR="00C054C4" w:rsidRDefault="00C054C4" w:rsidP="00F000AD">
            <w:r w:rsidRPr="001552C0">
              <w:t>RCR 33</w:t>
            </w:r>
          </w:p>
          <w:p w14:paraId="5A8B19B0" w14:textId="77777777" w:rsidR="00E248EA" w:rsidRDefault="00E248EA" w:rsidP="00F000AD"/>
          <w:p w14:paraId="2565664E" w14:textId="77777777" w:rsidR="00E248EA" w:rsidRDefault="00E248EA" w:rsidP="00F000AD"/>
          <w:p w14:paraId="40B96E8B" w14:textId="77777777" w:rsidR="00E248EA" w:rsidRDefault="00E248EA" w:rsidP="00E248EA">
            <w:r>
              <w:t>RCR 34</w:t>
            </w:r>
          </w:p>
          <w:p w14:paraId="24D2ACF4" w14:textId="77777777" w:rsidR="00E248EA" w:rsidRDefault="00E248EA" w:rsidP="00E248EA"/>
          <w:p w14:paraId="4141DA0B" w14:textId="77777777" w:rsidR="00E248EA" w:rsidRDefault="00E248EA" w:rsidP="00E248EA"/>
          <w:p w14:paraId="1656A3D4" w14:textId="77777777" w:rsidR="00E248EA" w:rsidRDefault="00E248EA" w:rsidP="00E248EA"/>
          <w:p w14:paraId="14D7A89A" w14:textId="77777777" w:rsidR="00E248EA" w:rsidRDefault="00E248EA" w:rsidP="00E248EA"/>
          <w:p w14:paraId="306BD258" w14:textId="77777777" w:rsidR="00E248EA" w:rsidRDefault="00E248EA" w:rsidP="00E248EA"/>
          <w:p w14:paraId="29AF1A48" w14:textId="33714EDD" w:rsidR="00E248EA" w:rsidRPr="001552C0" w:rsidRDefault="00E248EA" w:rsidP="00E248EA">
            <w:r>
              <w:t>RCR 07</w:t>
            </w:r>
          </w:p>
        </w:tc>
        <w:tc>
          <w:tcPr>
            <w:tcW w:w="492" w:type="pct"/>
            <w:tcBorders>
              <w:top w:val="single" w:sz="4" w:space="0" w:color="auto"/>
              <w:left w:val="single" w:sz="4" w:space="0" w:color="auto"/>
              <w:bottom w:val="single" w:sz="4" w:space="0" w:color="auto"/>
              <w:right w:val="single" w:sz="4" w:space="0" w:color="auto"/>
            </w:tcBorders>
          </w:tcPr>
          <w:p w14:paraId="6050DD27" w14:textId="77777777" w:rsidR="00C054C4" w:rsidRDefault="00C054C4" w:rsidP="00141D71">
            <w:r w:rsidRPr="001552C0">
              <w:t>Utilizatori conectați la rețele inteligente</w:t>
            </w:r>
          </w:p>
          <w:p w14:paraId="09565074" w14:textId="77777777" w:rsidR="00E248EA" w:rsidRDefault="00E248EA" w:rsidP="00E248EA">
            <w:r>
              <w:t>Lansarea de proiecte pentru rețele inteligente</w:t>
            </w:r>
          </w:p>
          <w:p w14:paraId="4F5915A9" w14:textId="77777777" w:rsidR="00E248EA" w:rsidRDefault="00E248EA" w:rsidP="00E248EA"/>
          <w:p w14:paraId="3D900E47" w14:textId="27A0C29D" w:rsidR="00E248EA" w:rsidRPr="001552C0" w:rsidRDefault="00E248EA" w:rsidP="00E248EA">
            <w:r>
              <w:t>Utilizatori suplimentari conectați la sisteme inteligente de energie</w:t>
            </w:r>
          </w:p>
        </w:tc>
        <w:tc>
          <w:tcPr>
            <w:tcW w:w="549" w:type="pct"/>
            <w:tcBorders>
              <w:top w:val="single" w:sz="4" w:space="0" w:color="auto"/>
              <w:left w:val="single" w:sz="4" w:space="0" w:color="auto"/>
              <w:bottom w:val="single" w:sz="4" w:space="0" w:color="auto"/>
              <w:right w:val="single" w:sz="4" w:space="0" w:color="auto"/>
            </w:tcBorders>
          </w:tcPr>
          <w:p w14:paraId="5A8096A1" w14:textId="77777777" w:rsidR="00C054C4" w:rsidRPr="001552C0" w:rsidRDefault="00C054C4" w:rsidP="00F000AD"/>
        </w:tc>
        <w:tc>
          <w:tcPr>
            <w:tcW w:w="409" w:type="pct"/>
            <w:tcBorders>
              <w:top w:val="single" w:sz="4" w:space="0" w:color="auto"/>
              <w:left w:val="single" w:sz="4" w:space="0" w:color="auto"/>
              <w:bottom w:val="single" w:sz="4" w:space="0" w:color="auto"/>
              <w:right w:val="single" w:sz="4" w:space="0" w:color="auto"/>
            </w:tcBorders>
          </w:tcPr>
          <w:p w14:paraId="121F7A5A" w14:textId="77777777" w:rsidR="00C054C4" w:rsidRPr="001552C0" w:rsidRDefault="00C054C4" w:rsidP="00F000AD">
            <w:pPr>
              <w:rPr>
                <w:i/>
              </w:rPr>
            </w:pPr>
          </w:p>
        </w:tc>
        <w:tc>
          <w:tcPr>
            <w:tcW w:w="424" w:type="pct"/>
            <w:tcBorders>
              <w:top w:val="single" w:sz="4" w:space="0" w:color="auto"/>
              <w:left w:val="single" w:sz="4" w:space="0" w:color="auto"/>
              <w:bottom w:val="single" w:sz="4" w:space="0" w:color="auto"/>
              <w:right w:val="single" w:sz="4" w:space="0" w:color="auto"/>
            </w:tcBorders>
          </w:tcPr>
          <w:p w14:paraId="5CA59CB2" w14:textId="77777777" w:rsidR="00C054C4" w:rsidRPr="001552C0" w:rsidRDefault="00C054C4" w:rsidP="00F000AD">
            <w:pPr>
              <w:rPr>
                <w:b/>
              </w:rPr>
            </w:pPr>
          </w:p>
        </w:tc>
        <w:tc>
          <w:tcPr>
            <w:tcW w:w="310" w:type="pct"/>
            <w:tcBorders>
              <w:top w:val="single" w:sz="4" w:space="0" w:color="auto"/>
              <w:left w:val="single" w:sz="4" w:space="0" w:color="auto"/>
              <w:bottom w:val="single" w:sz="4" w:space="0" w:color="auto"/>
              <w:right w:val="single" w:sz="4" w:space="0" w:color="auto"/>
            </w:tcBorders>
          </w:tcPr>
          <w:p w14:paraId="587935E0" w14:textId="77777777" w:rsidR="00C054C4" w:rsidRPr="001552C0" w:rsidRDefault="00C054C4" w:rsidP="00F000AD">
            <w:pPr>
              <w:rPr>
                <w:b/>
              </w:rPr>
            </w:pPr>
          </w:p>
        </w:tc>
        <w:tc>
          <w:tcPr>
            <w:tcW w:w="321" w:type="pct"/>
            <w:tcBorders>
              <w:top w:val="single" w:sz="4" w:space="0" w:color="auto"/>
              <w:left w:val="single" w:sz="4" w:space="0" w:color="auto"/>
              <w:bottom w:val="single" w:sz="4" w:space="0" w:color="auto"/>
              <w:right w:val="single" w:sz="4" w:space="0" w:color="auto"/>
            </w:tcBorders>
          </w:tcPr>
          <w:p w14:paraId="3D14AAB7" w14:textId="77777777" w:rsidR="00C054C4" w:rsidRPr="001552C0" w:rsidRDefault="00C054C4" w:rsidP="00F000AD">
            <w:pPr>
              <w:rPr>
                <w:i/>
              </w:rPr>
            </w:pPr>
          </w:p>
        </w:tc>
        <w:tc>
          <w:tcPr>
            <w:tcW w:w="445" w:type="pct"/>
            <w:tcBorders>
              <w:top w:val="single" w:sz="4" w:space="0" w:color="auto"/>
              <w:left w:val="single" w:sz="4" w:space="0" w:color="auto"/>
              <w:bottom w:val="single" w:sz="4" w:space="0" w:color="auto"/>
              <w:right w:val="single" w:sz="4" w:space="0" w:color="auto"/>
            </w:tcBorders>
          </w:tcPr>
          <w:p w14:paraId="5CE60E3D" w14:textId="77777777" w:rsidR="00C054C4" w:rsidRPr="001552C0" w:rsidRDefault="00C054C4" w:rsidP="00F000AD">
            <w:pPr>
              <w:rPr>
                <w:i/>
              </w:rPr>
            </w:pPr>
          </w:p>
        </w:tc>
      </w:tr>
      <w:tr w:rsidR="00B96B06" w:rsidRPr="001552C0" w14:paraId="74F5960B" w14:textId="77777777" w:rsidTr="00F1578A">
        <w:trPr>
          <w:trHeight w:val="286"/>
        </w:trPr>
        <w:tc>
          <w:tcPr>
            <w:tcW w:w="569" w:type="pct"/>
            <w:tcBorders>
              <w:top w:val="single" w:sz="4" w:space="0" w:color="auto"/>
              <w:left w:val="single" w:sz="4" w:space="0" w:color="auto"/>
              <w:bottom w:val="single" w:sz="4" w:space="0" w:color="auto"/>
              <w:right w:val="single" w:sz="4" w:space="0" w:color="auto"/>
            </w:tcBorders>
          </w:tcPr>
          <w:p w14:paraId="717E4C9E" w14:textId="6DF93C17" w:rsidR="00F1578A" w:rsidRPr="001552C0" w:rsidRDefault="00F1578A" w:rsidP="00F000AD">
            <w:pPr>
              <w:rPr>
                <w:i/>
              </w:rPr>
            </w:pPr>
          </w:p>
        </w:tc>
        <w:tc>
          <w:tcPr>
            <w:tcW w:w="486" w:type="pct"/>
            <w:tcBorders>
              <w:top w:val="single" w:sz="4" w:space="0" w:color="auto"/>
              <w:left w:val="single" w:sz="4" w:space="0" w:color="auto"/>
              <w:bottom w:val="single" w:sz="4" w:space="0" w:color="auto"/>
              <w:right w:val="single" w:sz="4" w:space="0" w:color="auto"/>
            </w:tcBorders>
          </w:tcPr>
          <w:p w14:paraId="154E3539" w14:textId="0D832682" w:rsidR="00F1578A" w:rsidRPr="001552C0" w:rsidRDefault="00F1578A" w:rsidP="00F000AD">
            <w:pPr>
              <w:rPr>
                <w:i/>
              </w:rPr>
            </w:pPr>
          </w:p>
        </w:tc>
        <w:tc>
          <w:tcPr>
            <w:tcW w:w="267" w:type="pct"/>
            <w:tcBorders>
              <w:top w:val="single" w:sz="4" w:space="0" w:color="auto"/>
              <w:left w:val="single" w:sz="4" w:space="0" w:color="auto"/>
              <w:bottom w:val="single" w:sz="4" w:space="0" w:color="auto"/>
              <w:right w:val="single" w:sz="4" w:space="0" w:color="auto"/>
            </w:tcBorders>
          </w:tcPr>
          <w:p w14:paraId="745C9968" w14:textId="7B690F22" w:rsidR="00F1578A" w:rsidRPr="001552C0" w:rsidRDefault="00F1578A" w:rsidP="00F000AD">
            <w:pPr>
              <w:rPr>
                <w:i/>
              </w:rPr>
            </w:pPr>
          </w:p>
        </w:tc>
        <w:tc>
          <w:tcPr>
            <w:tcW w:w="421" w:type="pct"/>
            <w:tcBorders>
              <w:top w:val="single" w:sz="4" w:space="0" w:color="auto"/>
              <w:left w:val="single" w:sz="4" w:space="0" w:color="auto"/>
              <w:bottom w:val="single" w:sz="4" w:space="0" w:color="auto"/>
              <w:right w:val="single" w:sz="4" w:space="0" w:color="auto"/>
            </w:tcBorders>
          </w:tcPr>
          <w:p w14:paraId="1F76127C" w14:textId="08767741" w:rsidR="00F1578A" w:rsidRPr="001552C0" w:rsidRDefault="00F1578A" w:rsidP="00F37836">
            <w:pPr>
              <w:rPr>
                <w:i/>
              </w:rPr>
            </w:pPr>
          </w:p>
        </w:tc>
        <w:tc>
          <w:tcPr>
            <w:tcW w:w="307" w:type="pct"/>
            <w:tcBorders>
              <w:top w:val="single" w:sz="4" w:space="0" w:color="auto"/>
              <w:left w:val="single" w:sz="4" w:space="0" w:color="auto"/>
              <w:bottom w:val="single" w:sz="4" w:space="0" w:color="auto"/>
              <w:right w:val="single" w:sz="4" w:space="0" w:color="auto"/>
            </w:tcBorders>
          </w:tcPr>
          <w:p w14:paraId="0FAFE183" w14:textId="43C99B4E" w:rsidR="00F1578A" w:rsidRPr="001552C0" w:rsidRDefault="00F1578A" w:rsidP="00F000AD"/>
        </w:tc>
        <w:tc>
          <w:tcPr>
            <w:tcW w:w="492" w:type="pct"/>
            <w:tcBorders>
              <w:top w:val="single" w:sz="4" w:space="0" w:color="auto"/>
              <w:left w:val="single" w:sz="4" w:space="0" w:color="auto"/>
              <w:bottom w:val="single" w:sz="4" w:space="0" w:color="auto"/>
              <w:right w:val="single" w:sz="4" w:space="0" w:color="auto"/>
            </w:tcBorders>
          </w:tcPr>
          <w:p w14:paraId="696B167C" w14:textId="2857DD00" w:rsidR="00F1578A" w:rsidRPr="001552C0" w:rsidRDefault="00F1578A" w:rsidP="00141D71"/>
        </w:tc>
        <w:tc>
          <w:tcPr>
            <w:tcW w:w="549" w:type="pct"/>
            <w:tcBorders>
              <w:top w:val="single" w:sz="4" w:space="0" w:color="auto"/>
              <w:left w:val="single" w:sz="4" w:space="0" w:color="auto"/>
              <w:bottom w:val="single" w:sz="4" w:space="0" w:color="auto"/>
              <w:right w:val="single" w:sz="4" w:space="0" w:color="auto"/>
            </w:tcBorders>
          </w:tcPr>
          <w:p w14:paraId="4C4A8038" w14:textId="77777777" w:rsidR="00F1578A" w:rsidRPr="001552C0" w:rsidRDefault="00F1578A" w:rsidP="00F000AD"/>
        </w:tc>
        <w:tc>
          <w:tcPr>
            <w:tcW w:w="409" w:type="pct"/>
            <w:tcBorders>
              <w:top w:val="single" w:sz="4" w:space="0" w:color="auto"/>
              <w:left w:val="single" w:sz="4" w:space="0" w:color="auto"/>
              <w:bottom w:val="single" w:sz="4" w:space="0" w:color="auto"/>
              <w:right w:val="single" w:sz="4" w:space="0" w:color="auto"/>
            </w:tcBorders>
          </w:tcPr>
          <w:p w14:paraId="6125B0C5" w14:textId="77777777" w:rsidR="00F1578A" w:rsidRPr="001552C0" w:rsidRDefault="00F1578A" w:rsidP="00F000AD">
            <w:pPr>
              <w:rPr>
                <w:i/>
              </w:rPr>
            </w:pPr>
          </w:p>
        </w:tc>
        <w:tc>
          <w:tcPr>
            <w:tcW w:w="424" w:type="pct"/>
            <w:tcBorders>
              <w:top w:val="single" w:sz="4" w:space="0" w:color="auto"/>
              <w:left w:val="single" w:sz="4" w:space="0" w:color="auto"/>
              <w:bottom w:val="single" w:sz="4" w:space="0" w:color="auto"/>
              <w:right w:val="single" w:sz="4" w:space="0" w:color="auto"/>
            </w:tcBorders>
          </w:tcPr>
          <w:p w14:paraId="7DFB59E4" w14:textId="77777777" w:rsidR="00F1578A" w:rsidRPr="001552C0" w:rsidRDefault="00F1578A" w:rsidP="00F000AD">
            <w:pPr>
              <w:rPr>
                <w:b/>
              </w:rPr>
            </w:pPr>
          </w:p>
        </w:tc>
        <w:tc>
          <w:tcPr>
            <w:tcW w:w="310" w:type="pct"/>
            <w:tcBorders>
              <w:top w:val="single" w:sz="4" w:space="0" w:color="auto"/>
              <w:left w:val="single" w:sz="4" w:space="0" w:color="auto"/>
              <w:bottom w:val="single" w:sz="4" w:space="0" w:color="auto"/>
              <w:right w:val="single" w:sz="4" w:space="0" w:color="auto"/>
            </w:tcBorders>
          </w:tcPr>
          <w:p w14:paraId="2EB48859" w14:textId="77777777" w:rsidR="00F1578A" w:rsidRPr="001552C0" w:rsidRDefault="00F1578A" w:rsidP="00F000AD">
            <w:pPr>
              <w:rPr>
                <w:b/>
              </w:rPr>
            </w:pPr>
          </w:p>
        </w:tc>
        <w:tc>
          <w:tcPr>
            <w:tcW w:w="321" w:type="pct"/>
            <w:tcBorders>
              <w:top w:val="single" w:sz="4" w:space="0" w:color="auto"/>
              <w:left w:val="single" w:sz="4" w:space="0" w:color="auto"/>
              <w:bottom w:val="single" w:sz="4" w:space="0" w:color="auto"/>
              <w:right w:val="single" w:sz="4" w:space="0" w:color="auto"/>
            </w:tcBorders>
          </w:tcPr>
          <w:p w14:paraId="5EDF965F" w14:textId="77777777" w:rsidR="00F1578A" w:rsidRPr="001552C0" w:rsidRDefault="00F1578A" w:rsidP="00F000AD">
            <w:pPr>
              <w:rPr>
                <w:i/>
              </w:rPr>
            </w:pPr>
          </w:p>
        </w:tc>
        <w:tc>
          <w:tcPr>
            <w:tcW w:w="445" w:type="pct"/>
            <w:tcBorders>
              <w:top w:val="single" w:sz="4" w:space="0" w:color="auto"/>
              <w:left w:val="single" w:sz="4" w:space="0" w:color="auto"/>
              <w:bottom w:val="single" w:sz="4" w:space="0" w:color="auto"/>
              <w:right w:val="single" w:sz="4" w:space="0" w:color="auto"/>
            </w:tcBorders>
          </w:tcPr>
          <w:p w14:paraId="4298A4C3" w14:textId="77777777" w:rsidR="00F1578A" w:rsidRPr="001552C0" w:rsidRDefault="00F1578A" w:rsidP="00F000AD">
            <w:pPr>
              <w:rPr>
                <w:i/>
              </w:rPr>
            </w:pPr>
          </w:p>
        </w:tc>
      </w:tr>
      <w:tr w:rsidR="00B96B06" w:rsidRPr="001552C0" w14:paraId="26F3A1E9" w14:textId="77777777" w:rsidTr="00F1578A">
        <w:trPr>
          <w:trHeight w:val="286"/>
        </w:trPr>
        <w:tc>
          <w:tcPr>
            <w:tcW w:w="569" w:type="pct"/>
            <w:tcBorders>
              <w:top w:val="single" w:sz="4" w:space="0" w:color="auto"/>
              <w:left w:val="single" w:sz="4" w:space="0" w:color="auto"/>
              <w:bottom w:val="single" w:sz="4" w:space="0" w:color="auto"/>
              <w:right w:val="single" w:sz="4" w:space="0" w:color="auto"/>
            </w:tcBorders>
          </w:tcPr>
          <w:p w14:paraId="0C8A0F99" w14:textId="05DA9BD3" w:rsidR="00F1578A" w:rsidRPr="001552C0" w:rsidRDefault="00F1578A" w:rsidP="00F000AD">
            <w:pPr>
              <w:rPr>
                <w:i/>
              </w:rPr>
            </w:pPr>
          </w:p>
        </w:tc>
        <w:tc>
          <w:tcPr>
            <w:tcW w:w="486" w:type="pct"/>
            <w:tcBorders>
              <w:top w:val="single" w:sz="4" w:space="0" w:color="auto"/>
              <w:left w:val="single" w:sz="4" w:space="0" w:color="auto"/>
              <w:bottom w:val="single" w:sz="4" w:space="0" w:color="auto"/>
              <w:right w:val="single" w:sz="4" w:space="0" w:color="auto"/>
            </w:tcBorders>
          </w:tcPr>
          <w:p w14:paraId="27850DC4" w14:textId="302263E5" w:rsidR="00F1578A" w:rsidRPr="001552C0" w:rsidRDefault="00F1578A" w:rsidP="00F000AD">
            <w:pPr>
              <w:rPr>
                <w:i/>
              </w:rPr>
            </w:pPr>
          </w:p>
        </w:tc>
        <w:tc>
          <w:tcPr>
            <w:tcW w:w="267" w:type="pct"/>
            <w:tcBorders>
              <w:top w:val="single" w:sz="4" w:space="0" w:color="auto"/>
              <w:left w:val="single" w:sz="4" w:space="0" w:color="auto"/>
              <w:bottom w:val="single" w:sz="4" w:space="0" w:color="auto"/>
              <w:right w:val="single" w:sz="4" w:space="0" w:color="auto"/>
            </w:tcBorders>
          </w:tcPr>
          <w:p w14:paraId="366DDFFC" w14:textId="325F1585" w:rsidR="00F1578A" w:rsidRPr="001552C0" w:rsidRDefault="00F1578A" w:rsidP="00F000AD">
            <w:pPr>
              <w:rPr>
                <w:i/>
              </w:rPr>
            </w:pPr>
          </w:p>
        </w:tc>
        <w:tc>
          <w:tcPr>
            <w:tcW w:w="421" w:type="pct"/>
            <w:tcBorders>
              <w:top w:val="single" w:sz="4" w:space="0" w:color="auto"/>
              <w:left w:val="single" w:sz="4" w:space="0" w:color="auto"/>
              <w:bottom w:val="single" w:sz="4" w:space="0" w:color="auto"/>
              <w:right w:val="single" w:sz="4" w:space="0" w:color="auto"/>
            </w:tcBorders>
          </w:tcPr>
          <w:p w14:paraId="3036A0D6" w14:textId="04C9542E" w:rsidR="00F1578A" w:rsidRPr="001552C0" w:rsidRDefault="00F1578A" w:rsidP="00F37836">
            <w:pPr>
              <w:rPr>
                <w:i/>
              </w:rPr>
            </w:pPr>
          </w:p>
        </w:tc>
        <w:tc>
          <w:tcPr>
            <w:tcW w:w="307" w:type="pct"/>
            <w:tcBorders>
              <w:top w:val="single" w:sz="4" w:space="0" w:color="auto"/>
              <w:left w:val="single" w:sz="4" w:space="0" w:color="auto"/>
              <w:bottom w:val="single" w:sz="4" w:space="0" w:color="auto"/>
              <w:right w:val="single" w:sz="4" w:space="0" w:color="auto"/>
            </w:tcBorders>
          </w:tcPr>
          <w:p w14:paraId="3AC506DD" w14:textId="3AAF196A" w:rsidR="00F1578A" w:rsidRPr="001552C0" w:rsidRDefault="00F1578A" w:rsidP="00F000AD"/>
        </w:tc>
        <w:tc>
          <w:tcPr>
            <w:tcW w:w="492" w:type="pct"/>
            <w:tcBorders>
              <w:top w:val="single" w:sz="4" w:space="0" w:color="auto"/>
              <w:left w:val="single" w:sz="4" w:space="0" w:color="auto"/>
              <w:bottom w:val="single" w:sz="4" w:space="0" w:color="auto"/>
              <w:right w:val="single" w:sz="4" w:space="0" w:color="auto"/>
            </w:tcBorders>
          </w:tcPr>
          <w:p w14:paraId="33A50CF3" w14:textId="6A6ED3E4" w:rsidR="00F1578A" w:rsidRPr="001552C0" w:rsidRDefault="00F1578A" w:rsidP="00C054C4"/>
        </w:tc>
        <w:tc>
          <w:tcPr>
            <w:tcW w:w="549" w:type="pct"/>
            <w:tcBorders>
              <w:top w:val="single" w:sz="4" w:space="0" w:color="auto"/>
              <w:left w:val="single" w:sz="4" w:space="0" w:color="auto"/>
              <w:bottom w:val="single" w:sz="4" w:space="0" w:color="auto"/>
              <w:right w:val="single" w:sz="4" w:space="0" w:color="auto"/>
            </w:tcBorders>
          </w:tcPr>
          <w:p w14:paraId="5DEE96C0" w14:textId="77777777" w:rsidR="00F1578A" w:rsidRPr="001552C0" w:rsidRDefault="00F1578A" w:rsidP="00F000AD"/>
        </w:tc>
        <w:tc>
          <w:tcPr>
            <w:tcW w:w="409" w:type="pct"/>
            <w:tcBorders>
              <w:top w:val="single" w:sz="4" w:space="0" w:color="auto"/>
              <w:left w:val="single" w:sz="4" w:space="0" w:color="auto"/>
              <w:bottom w:val="single" w:sz="4" w:space="0" w:color="auto"/>
              <w:right w:val="single" w:sz="4" w:space="0" w:color="auto"/>
            </w:tcBorders>
          </w:tcPr>
          <w:p w14:paraId="251A20BD" w14:textId="77777777" w:rsidR="00F1578A" w:rsidRPr="001552C0" w:rsidRDefault="00F1578A" w:rsidP="00F000AD">
            <w:pPr>
              <w:rPr>
                <w:i/>
              </w:rPr>
            </w:pPr>
          </w:p>
        </w:tc>
        <w:tc>
          <w:tcPr>
            <w:tcW w:w="424" w:type="pct"/>
            <w:tcBorders>
              <w:top w:val="single" w:sz="4" w:space="0" w:color="auto"/>
              <w:left w:val="single" w:sz="4" w:space="0" w:color="auto"/>
              <w:bottom w:val="single" w:sz="4" w:space="0" w:color="auto"/>
              <w:right w:val="single" w:sz="4" w:space="0" w:color="auto"/>
            </w:tcBorders>
          </w:tcPr>
          <w:p w14:paraId="7666B618" w14:textId="77777777" w:rsidR="00F1578A" w:rsidRPr="001552C0" w:rsidRDefault="00F1578A" w:rsidP="00F000AD">
            <w:pPr>
              <w:rPr>
                <w:b/>
              </w:rPr>
            </w:pPr>
          </w:p>
        </w:tc>
        <w:tc>
          <w:tcPr>
            <w:tcW w:w="310" w:type="pct"/>
            <w:tcBorders>
              <w:top w:val="single" w:sz="4" w:space="0" w:color="auto"/>
              <w:left w:val="single" w:sz="4" w:space="0" w:color="auto"/>
              <w:bottom w:val="single" w:sz="4" w:space="0" w:color="auto"/>
              <w:right w:val="single" w:sz="4" w:space="0" w:color="auto"/>
            </w:tcBorders>
          </w:tcPr>
          <w:p w14:paraId="5D64A2D7" w14:textId="77777777" w:rsidR="00F1578A" w:rsidRPr="001552C0" w:rsidRDefault="00F1578A" w:rsidP="00F000AD">
            <w:pPr>
              <w:rPr>
                <w:b/>
              </w:rPr>
            </w:pPr>
          </w:p>
        </w:tc>
        <w:tc>
          <w:tcPr>
            <w:tcW w:w="321" w:type="pct"/>
            <w:tcBorders>
              <w:top w:val="single" w:sz="4" w:space="0" w:color="auto"/>
              <w:left w:val="single" w:sz="4" w:space="0" w:color="auto"/>
              <w:bottom w:val="single" w:sz="4" w:space="0" w:color="auto"/>
              <w:right w:val="single" w:sz="4" w:space="0" w:color="auto"/>
            </w:tcBorders>
          </w:tcPr>
          <w:p w14:paraId="78C7F023" w14:textId="77777777" w:rsidR="00F1578A" w:rsidRPr="001552C0" w:rsidRDefault="00F1578A" w:rsidP="00F000AD">
            <w:pPr>
              <w:rPr>
                <w:i/>
              </w:rPr>
            </w:pPr>
          </w:p>
        </w:tc>
        <w:tc>
          <w:tcPr>
            <w:tcW w:w="445" w:type="pct"/>
            <w:tcBorders>
              <w:top w:val="single" w:sz="4" w:space="0" w:color="auto"/>
              <w:left w:val="single" w:sz="4" w:space="0" w:color="auto"/>
              <w:bottom w:val="single" w:sz="4" w:space="0" w:color="auto"/>
              <w:right w:val="single" w:sz="4" w:space="0" w:color="auto"/>
            </w:tcBorders>
          </w:tcPr>
          <w:p w14:paraId="29546D58" w14:textId="77777777" w:rsidR="00F1578A" w:rsidRPr="001552C0" w:rsidRDefault="00F1578A" w:rsidP="00F000AD">
            <w:pPr>
              <w:rPr>
                <w:i/>
              </w:rPr>
            </w:pPr>
          </w:p>
        </w:tc>
      </w:tr>
      <w:tr w:rsidR="007D7EF7" w:rsidRPr="001552C0" w14:paraId="056C61FD" w14:textId="77777777" w:rsidTr="00F1578A">
        <w:trPr>
          <w:trHeight w:val="286"/>
        </w:trPr>
        <w:tc>
          <w:tcPr>
            <w:tcW w:w="569" w:type="pct"/>
            <w:tcBorders>
              <w:top w:val="single" w:sz="4" w:space="0" w:color="auto"/>
              <w:left w:val="single" w:sz="4" w:space="0" w:color="auto"/>
              <w:bottom w:val="single" w:sz="4" w:space="0" w:color="auto"/>
              <w:right w:val="single" w:sz="4" w:space="0" w:color="auto"/>
            </w:tcBorders>
          </w:tcPr>
          <w:p w14:paraId="2CCF22FB" w14:textId="4B26B109" w:rsidR="007D7EF7" w:rsidRPr="001552C0" w:rsidRDefault="007D7EF7" w:rsidP="00F000AD">
            <w:pPr>
              <w:rPr>
                <w:i/>
              </w:rPr>
            </w:pPr>
          </w:p>
        </w:tc>
        <w:tc>
          <w:tcPr>
            <w:tcW w:w="486" w:type="pct"/>
            <w:tcBorders>
              <w:top w:val="single" w:sz="4" w:space="0" w:color="auto"/>
              <w:left w:val="single" w:sz="4" w:space="0" w:color="auto"/>
              <w:bottom w:val="single" w:sz="4" w:space="0" w:color="auto"/>
              <w:right w:val="single" w:sz="4" w:space="0" w:color="auto"/>
            </w:tcBorders>
          </w:tcPr>
          <w:p w14:paraId="217DC39D" w14:textId="2C04A1E8" w:rsidR="007D7EF7" w:rsidRPr="001552C0" w:rsidRDefault="007D7EF7" w:rsidP="00F000AD">
            <w:pPr>
              <w:rPr>
                <w:i/>
              </w:rPr>
            </w:pPr>
          </w:p>
        </w:tc>
        <w:tc>
          <w:tcPr>
            <w:tcW w:w="267" w:type="pct"/>
            <w:tcBorders>
              <w:top w:val="single" w:sz="4" w:space="0" w:color="auto"/>
              <w:left w:val="single" w:sz="4" w:space="0" w:color="auto"/>
              <w:bottom w:val="single" w:sz="4" w:space="0" w:color="auto"/>
              <w:right w:val="single" w:sz="4" w:space="0" w:color="auto"/>
            </w:tcBorders>
          </w:tcPr>
          <w:p w14:paraId="70C61C00" w14:textId="48C40338" w:rsidR="007D7EF7" w:rsidRPr="001552C0" w:rsidRDefault="007D7EF7" w:rsidP="00A446DA">
            <w:pPr>
              <w:rPr>
                <w:i/>
              </w:rPr>
            </w:pPr>
          </w:p>
        </w:tc>
        <w:tc>
          <w:tcPr>
            <w:tcW w:w="421" w:type="pct"/>
            <w:tcBorders>
              <w:top w:val="single" w:sz="4" w:space="0" w:color="auto"/>
              <w:left w:val="single" w:sz="4" w:space="0" w:color="auto"/>
              <w:bottom w:val="single" w:sz="4" w:space="0" w:color="auto"/>
              <w:right w:val="single" w:sz="4" w:space="0" w:color="auto"/>
            </w:tcBorders>
          </w:tcPr>
          <w:p w14:paraId="7B2D0E27" w14:textId="22BC4F31" w:rsidR="007D7EF7" w:rsidRPr="001552C0" w:rsidRDefault="007D7EF7" w:rsidP="007D7EF7"/>
        </w:tc>
        <w:tc>
          <w:tcPr>
            <w:tcW w:w="307" w:type="pct"/>
            <w:tcBorders>
              <w:top w:val="single" w:sz="4" w:space="0" w:color="auto"/>
              <w:left w:val="single" w:sz="4" w:space="0" w:color="auto"/>
              <w:bottom w:val="single" w:sz="4" w:space="0" w:color="auto"/>
              <w:right w:val="single" w:sz="4" w:space="0" w:color="auto"/>
            </w:tcBorders>
          </w:tcPr>
          <w:p w14:paraId="0A84EC93" w14:textId="1236B2BD" w:rsidR="007D7EF7" w:rsidRPr="001552C0" w:rsidRDefault="007D7EF7" w:rsidP="00F000AD"/>
        </w:tc>
        <w:tc>
          <w:tcPr>
            <w:tcW w:w="492" w:type="pct"/>
            <w:tcBorders>
              <w:top w:val="single" w:sz="4" w:space="0" w:color="auto"/>
              <w:left w:val="single" w:sz="4" w:space="0" w:color="auto"/>
              <w:bottom w:val="single" w:sz="4" w:space="0" w:color="auto"/>
              <w:right w:val="single" w:sz="4" w:space="0" w:color="auto"/>
            </w:tcBorders>
          </w:tcPr>
          <w:p w14:paraId="2874875D" w14:textId="29CC00C6" w:rsidR="007D7EF7" w:rsidRPr="001552C0" w:rsidRDefault="007D7EF7" w:rsidP="00C054C4"/>
        </w:tc>
        <w:tc>
          <w:tcPr>
            <w:tcW w:w="549" w:type="pct"/>
            <w:tcBorders>
              <w:top w:val="single" w:sz="4" w:space="0" w:color="auto"/>
              <w:left w:val="single" w:sz="4" w:space="0" w:color="auto"/>
              <w:bottom w:val="single" w:sz="4" w:space="0" w:color="auto"/>
              <w:right w:val="single" w:sz="4" w:space="0" w:color="auto"/>
            </w:tcBorders>
          </w:tcPr>
          <w:p w14:paraId="1979CAF6" w14:textId="77777777" w:rsidR="007D7EF7" w:rsidRPr="001552C0" w:rsidRDefault="007D7EF7" w:rsidP="00F000AD"/>
        </w:tc>
        <w:tc>
          <w:tcPr>
            <w:tcW w:w="409" w:type="pct"/>
            <w:tcBorders>
              <w:top w:val="single" w:sz="4" w:space="0" w:color="auto"/>
              <w:left w:val="single" w:sz="4" w:space="0" w:color="auto"/>
              <w:bottom w:val="single" w:sz="4" w:space="0" w:color="auto"/>
              <w:right w:val="single" w:sz="4" w:space="0" w:color="auto"/>
            </w:tcBorders>
          </w:tcPr>
          <w:p w14:paraId="706C007A" w14:textId="77777777" w:rsidR="007D7EF7" w:rsidRPr="001552C0" w:rsidRDefault="007D7EF7" w:rsidP="00F000AD">
            <w:pPr>
              <w:rPr>
                <w:i/>
              </w:rPr>
            </w:pPr>
          </w:p>
        </w:tc>
        <w:tc>
          <w:tcPr>
            <w:tcW w:w="424" w:type="pct"/>
            <w:tcBorders>
              <w:top w:val="single" w:sz="4" w:space="0" w:color="auto"/>
              <w:left w:val="single" w:sz="4" w:space="0" w:color="auto"/>
              <w:bottom w:val="single" w:sz="4" w:space="0" w:color="auto"/>
              <w:right w:val="single" w:sz="4" w:space="0" w:color="auto"/>
            </w:tcBorders>
          </w:tcPr>
          <w:p w14:paraId="7A5B429A" w14:textId="77777777" w:rsidR="007D7EF7" w:rsidRPr="001552C0" w:rsidRDefault="007D7EF7" w:rsidP="00F000AD">
            <w:pPr>
              <w:rPr>
                <w:b/>
              </w:rPr>
            </w:pPr>
          </w:p>
        </w:tc>
        <w:tc>
          <w:tcPr>
            <w:tcW w:w="310" w:type="pct"/>
            <w:tcBorders>
              <w:top w:val="single" w:sz="4" w:space="0" w:color="auto"/>
              <w:left w:val="single" w:sz="4" w:space="0" w:color="auto"/>
              <w:bottom w:val="single" w:sz="4" w:space="0" w:color="auto"/>
              <w:right w:val="single" w:sz="4" w:space="0" w:color="auto"/>
            </w:tcBorders>
          </w:tcPr>
          <w:p w14:paraId="1A16F892" w14:textId="77777777" w:rsidR="007D7EF7" w:rsidRPr="001552C0" w:rsidRDefault="007D7EF7" w:rsidP="00F000AD">
            <w:pPr>
              <w:rPr>
                <w:b/>
              </w:rPr>
            </w:pPr>
          </w:p>
        </w:tc>
        <w:tc>
          <w:tcPr>
            <w:tcW w:w="321" w:type="pct"/>
            <w:tcBorders>
              <w:top w:val="single" w:sz="4" w:space="0" w:color="auto"/>
              <w:left w:val="single" w:sz="4" w:space="0" w:color="auto"/>
              <w:bottom w:val="single" w:sz="4" w:space="0" w:color="auto"/>
              <w:right w:val="single" w:sz="4" w:space="0" w:color="auto"/>
            </w:tcBorders>
          </w:tcPr>
          <w:p w14:paraId="7E4ABECB" w14:textId="77777777" w:rsidR="007D7EF7" w:rsidRPr="001552C0" w:rsidRDefault="007D7EF7" w:rsidP="00F000AD">
            <w:pPr>
              <w:rPr>
                <w:i/>
              </w:rPr>
            </w:pPr>
          </w:p>
        </w:tc>
        <w:tc>
          <w:tcPr>
            <w:tcW w:w="445" w:type="pct"/>
            <w:tcBorders>
              <w:top w:val="single" w:sz="4" w:space="0" w:color="auto"/>
              <w:left w:val="single" w:sz="4" w:space="0" w:color="auto"/>
              <w:bottom w:val="single" w:sz="4" w:space="0" w:color="auto"/>
              <w:right w:val="single" w:sz="4" w:space="0" w:color="auto"/>
            </w:tcBorders>
          </w:tcPr>
          <w:p w14:paraId="14867613" w14:textId="77777777" w:rsidR="007D7EF7" w:rsidRPr="001552C0" w:rsidRDefault="007D7EF7" w:rsidP="00F000AD">
            <w:pPr>
              <w:rPr>
                <w:i/>
              </w:rPr>
            </w:pPr>
          </w:p>
        </w:tc>
      </w:tr>
    </w:tbl>
    <w:p w14:paraId="539DD1F8" w14:textId="77777777" w:rsidR="007D7EF7" w:rsidRDefault="007D7EF7" w:rsidP="00F000AD">
      <w:pPr>
        <w:rPr>
          <w:i/>
        </w:rPr>
      </w:pPr>
    </w:p>
    <w:p w14:paraId="6B97326C" w14:textId="30F21F0C" w:rsidR="00F000AD" w:rsidRPr="001552C0" w:rsidRDefault="00F000AD" w:rsidP="00F000AD">
      <w:pPr>
        <w:rPr>
          <w:b/>
          <w:iCs/>
        </w:rPr>
      </w:pPr>
      <w:r w:rsidRPr="001552C0">
        <w:rPr>
          <w:i/>
        </w:rPr>
        <w:t>[Point 2.1.1.3 in the Commission proposal has been moved up following changes in Article 17(3)(c) CPR and it is now point 2.1.1.bis]</w:t>
      </w:r>
    </w:p>
    <w:p w14:paraId="4650457B" w14:textId="77777777" w:rsidR="007A5E59" w:rsidRPr="001552C0" w:rsidRDefault="007A5E59" w:rsidP="007A5E59">
      <w:pPr>
        <w:rPr>
          <w:b/>
        </w:rPr>
      </w:pPr>
      <w:r w:rsidRPr="001552C0">
        <w:rPr>
          <w:b/>
        </w:rPr>
        <w:t>2.A Priorities other than technical assistance</w:t>
      </w:r>
    </w:p>
    <w:p w14:paraId="10864D9D" w14:textId="77777777" w:rsidR="007A5E59" w:rsidRPr="001552C0" w:rsidRDefault="007A5E59" w:rsidP="007A5E59">
      <w:r w:rsidRPr="001552C0">
        <w:rPr>
          <w:b/>
        </w:rPr>
        <w:t xml:space="preserve">2.A.1 Title of the priority [300] </w:t>
      </w:r>
      <w:r w:rsidRPr="001552C0">
        <w:t>(repeated for each priority)*</w:t>
      </w:r>
    </w:p>
    <w:p w14:paraId="4B4756B7" w14:textId="77777777" w:rsidR="00175CD6" w:rsidRPr="001552C0" w:rsidRDefault="00175CD6" w:rsidP="00175CD6">
      <w:pPr>
        <w:spacing w:before="120" w:after="120" w:line="360" w:lineRule="auto"/>
        <w:rPr>
          <w:rFonts w:ascii="Times New Roman" w:eastAsia="Times New Roman" w:hAnsi="Times New Roman" w:cs="Times New Roman"/>
          <w:b/>
          <w:i/>
          <w:iCs/>
          <w:noProof/>
          <w:szCs w:val="24"/>
        </w:rPr>
      </w:pPr>
      <w:r w:rsidRPr="001552C0">
        <w:rPr>
          <w:rFonts w:ascii="Times New Roman" w:eastAsia="Times New Roman" w:hAnsi="Times New Roman" w:cs="Times New Roman"/>
          <w:b/>
          <w:i/>
          <w:iCs/>
          <w:noProof/>
          <w:szCs w:val="24"/>
        </w:rPr>
        <w:t>Prioritatea 2. Dezvoltarea infrastructurii de apă și apă uzată și tranziția la o  economie circulară</w:t>
      </w:r>
    </w:p>
    <w:p w14:paraId="5D851AE5" w14:textId="77777777" w:rsidR="007A5E59" w:rsidRPr="001552C0" w:rsidRDefault="007A5E59" w:rsidP="007A5E59">
      <w:pPr>
        <w:rPr>
          <w:b/>
          <w:iCs/>
        </w:rPr>
      </w:pPr>
      <w:r w:rsidRPr="001552C0">
        <w:rPr>
          <w:b/>
          <w:iCs/>
        </w:rPr>
        <w:t xml:space="preserve">2.A.2 Indicative breakdown of the programmed resources (EU) by type of intervention </w:t>
      </w:r>
      <w:r w:rsidRPr="001552C0">
        <w:rPr>
          <w:iCs/>
        </w:rPr>
        <w:t xml:space="preserve">(not applicable to the EMFF) </w:t>
      </w:r>
      <w:r w:rsidRPr="001552C0">
        <w:rPr>
          <w:i/>
        </w:rPr>
        <w:t>[This was point 2.1.1.3 in the Commission proposal and has been moved up following changes in Article 17(3)(c) CPR]</w:t>
      </w:r>
    </w:p>
    <w:p w14:paraId="5665B3E3" w14:textId="77777777" w:rsidR="007A5E59" w:rsidRPr="001552C0" w:rsidRDefault="007A5E59" w:rsidP="007A5E59">
      <w:pPr>
        <w:rPr>
          <w:b/>
          <w:i/>
          <w:iCs/>
        </w:rPr>
      </w:pPr>
      <w:r w:rsidRPr="001552C0">
        <w:rPr>
          <w:i/>
        </w:rPr>
        <w:t>Reference: Article 17(3)(c) CPR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80"/>
        <w:gridCol w:w="1152"/>
        <w:gridCol w:w="5054"/>
        <w:gridCol w:w="1559"/>
      </w:tblGrid>
      <w:tr w:rsidR="00B96B06" w:rsidRPr="001552C0" w14:paraId="66DA611A" w14:textId="77777777" w:rsidTr="00EE7F11">
        <w:tc>
          <w:tcPr>
            <w:tcW w:w="9889" w:type="dxa"/>
            <w:gridSpan w:val="5"/>
            <w:tcBorders>
              <w:top w:val="single" w:sz="4" w:space="0" w:color="auto"/>
              <w:left w:val="single" w:sz="4" w:space="0" w:color="auto"/>
              <w:bottom w:val="single" w:sz="4" w:space="0" w:color="auto"/>
              <w:right w:val="single" w:sz="4" w:space="0" w:color="auto"/>
            </w:tcBorders>
            <w:hideMark/>
          </w:tcPr>
          <w:p w14:paraId="16B2DD24" w14:textId="77777777" w:rsidR="007A5E59" w:rsidRPr="001552C0" w:rsidRDefault="007A5E59" w:rsidP="00031C04">
            <w:pPr>
              <w:rPr>
                <w:b/>
                <w:iCs/>
              </w:rPr>
            </w:pPr>
            <w:r w:rsidRPr="001552C0">
              <w:rPr>
                <w:b/>
                <w:iCs/>
              </w:rPr>
              <w:t>Table 4: Dimension 1 – intervention field</w:t>
            </w:r>
          </w:p>
        </w:tc>
      </w:tr>
      <w:tr w:rsidR="00B96B06" w:rsidRPr="001552C0" w14:paraId="1AB64E0F" w14:textId="77777777" w:rsidTr="00EE7F11">
        <w:tc>
          <w:tcPr>
            <w:tcW w:w="1444" w:type="dxa"/>
            <w:tcBorders>
              <w:top w:val="single" w:sz="4" w:space="0" w:color="auto"/>
              <w:left w:val="single" w:sz="4" w:space="0" w:color="auto"/>
              <w:bottom w:val="single" w:sz="4" w:space="0" w:color="auto"/>
              <w:right w:val="single" w:sz="4" w:space="0" w:color="auto"/>
            </w:tcBorders>
            <w:hideMark/>
          </w:tcPr>
          <w:p w14:paraId="62CC1708" w14:textId="77777777" w:rsidR="007A5E59" w:rsidRPr="001552C0" w:rsidRDefault="007A5E59" w:rsidP="00031C04">
            <w:pPr>
              <w:rPr>
                <w:b/>
                <w:iCs/>
              </w:rPr>
            </w:pPr>
            <w:r w:rsidRPr="001552C0">
              <w:rPr>
                <w:b/>
                <w:iCs/>
              </w:rPr>
              <w:t>Priority No</w:t>
            </w:r>
          </w:p>
        </w:tc>
        <w:tc>
          <w:tcPr>
            <w:tcW w:w="680" w:type="dxa"/>
            <w:tcBorders>
              <w:top w:val="single" w:sz="4" w:space="0" w:color="auto"/>
              <w:left w:val="single" w:sz="4" w:space="0" w:color="auto"/>
              <w:bottom w:val="single" w:sz="4" w:space="0" w:color="auto"/>
              <w:right w:val="single" w:sz="4" w:space="0" w:color="auto"/>
            </w:tcBorders>
            <w:hideMark/>
          </w:tcPr>
          <w:p w14:paraId="4A9C8006" w14:textId="77777777" w:rsidR="007A5E59" w:rsidRPr="001552C0" w:rsidRDefault="007A5E59" w:rsidP="00031C04">
            <w:pPr>
              <w:rPr>
                <w:b/>
                <w:iCs/>
              </w:rPr>
            </w:pPr>
            <w:r w:rsidRPr="001552C0">
              <w:rPr>
                <w:b/>
                <w:iCs/>
              </w:rPr>
              <w:t>Fund</w:t>
            </w:r>
          </w:p>
        </w:tc>
        <w:tc>
          <w:tcPr>
            <w:tcW w:w="1152" w:type="dxa"/>
            <w:tcBorders>
              <w:top w:val="single" w:sz="4" w:space="0" w:color="auto"/>
              <w:left w:val="single" w:sz="4" w:space="0" w:color="auto"/>
              <w:bottom w:val="single" w:sz="4" w:space="0" w:color="auto"/>
              <w:right w:val="single" w:sz="4" w:space="0" w:color="auto"/>
            </w:tcBorders>
            <w:hideMark/>
          </w:tcPr>
          <w:p w14:paraId="70E83228" w14:textId="77777777" w:rsidR="007A5E59" w:rsidRPr="001552C0" w:rsidRDefault="007A5E59" w:rsidP="00031C04">
            <w:pPr>
              <w:rPr>
                <w:b/>
                <w:iCs/>
              </w:rPr>
            </w:pPr>
            <w:r w:rsidRPr="001552C0">
              <w:rPr>
                <w:b/>
                <w:iCs/>
              </w:rPr>
              <w:t>Category of region</w:t>
            </w:r>
            <w:r w:rsidRPr="001552C0">
              <w:rPr>
                <w:b/>
                <w:iCs/>
                <w:vertAlign w:val="superscript"/>
              </w:rPr>
              <w:footnoteReference w:id="6"/>
            </w:r>
          </w:p>
        </w:tc>
        <w:tc>
          <w:tcPr>
            <w:tcW w:w="5054" w:type="dxa"/>
            <w:tcBorders>
              <w:top w:val="single" w:sz="4" w:space="0" w:color="auto"/>
              <w:left w:val="single" w:sz="4" w:space="0" w:color="auto"/>
              <w:bottom w:val="single" w:sz="4" w:space="0" w:color="auto"/>
              <w:right w:val="single" w:sz="4" w:space="0" w:color="auto"/>
            </w:tcBorders>
            <w:hideMark/>
          </w:tcPr>
          <w:p w14:paraId="16D9096B" w14:textId="77777777" w:rsidR="007A5E59" w:rsidRPr="001552C0" w:rsidRDefault="007A5E59" w:rsidP="00031C04">
            <w:pPr>
              <w:rPr>
                <w:b/>
                <w:iCs/>
              </w:rPr>
            </w:pPr>
            <w:r w:rsidRPr="001552C0">
              <w:rPr>
                <w:b/>
                <w:iCs/>
              </w:rPr>
              <w:t xml:space="preserve">Code </w:t>
            </w:r>
          </w:p>
        </w:tc>
        <w:tc>
          <w:tcPr>
            <w:tcW w:w="1559" w:type="dxa"/>
            <w:tcBorders>
              <w:top w:val="single" w:sz="4" w:space="0" w:color="auto"/>
              <w:left w:val="single" w:sz="4" w:space="0" w:color="auto"/>
              <w:bottom w:val="single" w:sz="4" w:space="0" w:color="auto"/>
              <w:right w:val="single" w:sz="4" w:space="0" w:color="auto"/>
            </w:tcBorders>
            <w:hideMark/>
          </w:tcPr>
          <w:p w14:paraId="1F4AFC1B" w14:textId="77777777" w:rsidR="007A5E59" w:rsidRPr="001552C0" w:rsidRDefault="007A5E59" w:rsidP="00031C04">
            <w:pPr>
              <w:rPr>
                <w:b/>
                <w:iCs/>
              </w:rPr>
            </w:pPr>
            <w:r w:rsidRPr="001552C0">
              <w:rPr>
                <w:b/>
                <w:iCs/>
              </w:rPr>
              <w:t>Amount (EUR)</w:t>
            </w:r>
          </w:p>
        </w:tc>
      </w:tr>
      <w:tr w:rsidR="00B96B06" w:rsidRPr="001552C0" w14:paraId="65FEE1FA" w14:textId="77777777" w:rsidTr="00EE7F11">
        <w:tc>
          <w:tcPr>
            <w:tcW w:w="1444" w:type="dxa"/>
            <w:tcBorders>
              <w:top w:val="single" w:sz="4" w:space="0" w:color="auto"/>
              <w:left w:val="single" w:sz="4" w:space="0" w:color="auto"/>
              <w:bottom w:val="single" w:sz="4" w:space="0" w:color="auto"/>
              <w:right w:val="single" w:sz="4" w:space="0" w:color="auto"/>
            </w:tcBorders>
          </w:tcPr>
          <w:p w14:paraId="5EDD5C68" w14:textId="0FA27ED6" w:rsidR="007A5E59" w:rsidRPr="001552C0" w:rsidRDefault="005F29BF" w:rsidP="00031C04">
            <w:pPr>
              <w:rPr>
                <w:iCs/>
              </w:rPr>
            </w:pPr>
            <w:r w:rsidRPr="001552C0">
              <w:rPr>
                <w:iCs/>
              </w:rPr>
              <w:t xml:space="preserve"> 2. Dezvoltarea infrastructurii de apă și apă uzată și tranziția la o  economie circulară</w:t>
            </w:r>
          </w:p>
        </w:tc>
        <w:tc>
          <w:tcPr>
            <w:tcW w:w="680" w:type="dxa"/>
            <w:tcBorders>
              <w:top w:val="single" w:sz="4" w:space="0" w:color="auto"/>
              <w:left w:val="single" w:sz="4" w:space="0" w:color="auto"/>
              <w:bottom w:val="single" w:sz="4" w:space="0" w:color="auto"/>
              <w:right w:val="single" w:sz="4" w:space="0" w:color="auto"/>
            </w:tcBorders>
          </w:tcPr>
          <w:p w14:paraId="6D2EDC24" w14:textId="44B26C83" w:rsidR="007A5E59" w:rsidRPr="001552C0" w:rsidRDefault="005F29BF" w:rsidP="00031C04">
            <w:pPr>
              <w:rPr>
                <w:iCs/>
              </w:rPr>
            </w:pPr>
            <w:r w:rsidRPr="001552C0">
              <w:rPr>
                <w:iCs/>
              </w:rPr>
              <w:t>FEDR</w:t>
            </w:r>
          </w:p>
        </w:tc>
        <w:tc>
          <w:tcPr>
            <w:tcW w:w="1152" w:type="dxa"/>
            <w:tcBorders>
              <w:top w:val="single" w:sz="4" w:space="0" w:color="auto"/>
              <w:left w:val="single" w:sz="4" w:space="0" w:color="auto"/>
              <w:bottom w:val="single" w:sz="4" w:space="0" w:color="auto"/>
              <w:right w:val="single" w:sz="4" w:space="0" w:color="auto"/>
            </w:tcBorders>
          </w:tcPr>
          <w:p w14:paraId="39C05387" w14:textId="4B5CE74F" w:rsidR="005F29BF" w:rsidRPr="001552C0" w:rsidRDefault="005F29BF" w:rsidP="00031C04">
            <w:pPr>
              <w:rPr>
                <w:iCs/>
              </w:rPr>
            </w:pPr>
            <w:r w:rsidRPr="001552C0">
              <w:rPr>
                <w:iCs/>
              </w:rPr>
              <w:t>Mai puțin dezvoltată</w:t>
            </w:r>
          </w:p>
        </w:tc>
        <w:tc>
          <w:tcPr>
            <w:tcW w:w="5054" w:type="dxa"/>
            <w:tcBorders>
              <w:top w:val="single" w:sz="4" w:space="0" w:color="auto"/>
              <w:left w:val="single" w:sz="4" w:space="0" w:color="auto"/>
              <w:bottom w:val="single" w:sz="4" w:space="0" w:color="auto"/>
              <w:right w:val="single" w:sz="4" w:space="0" w:color="auto"/>
            </w:tcBorders>
          </w:tcPr>
          <w:p w14:paraId="5C64AF8D" w14:textId="75201401" w:rsidR="00EE7F11" w:rsidRPr="001552C0" w:rsidRDefault="00EE7F11" w:rsidP="00EE7F11">
            <w:pPr>
              <w:jc w:val="both"/>
              <w:rPr>
                <w:iCs/>
              </w:rPr>
            </w:pPr>
            <w:r w:rsidRPr="001552C0">
              <w:rPr>
                <w:iCs/>
              </w:rPr>
              <w:t>039</w:t>
            </w:r>
            <w:r w:rsidRPr="001552C0">
              <w:rPr>
                <w:iCs/>
              </w:rPr>
              <w:tab/>
              <w:t xml:space="preserve">Furnizare de apă destinată consumului uman (infrastructuri de extracție, tratare, stocare și distribuție, măsuri de eficiență, aprovizionare cu apă potabilă), </w:t>
            </w:r>
          </w:p>
          <w:p w14:paraId="6AAC63E5" w14:textId="338C9D0D" w:rsidR="00EE7F11" w:rsidRPr="001552C0" w:rsidRDefault="00EE7F11" w:rsidP="00EE7F11">
            <w:pPr>
              <w:jc w:val="both"/>
              <w:rPr>
                <w:iCs/>
              </w:rPr>
            </w:pPr>
            <w:r w:rsidRPr="001552C0">
              <w:rPr>
                <w:iCs/>
              </w:rPr>
              <w:t>040</w:t>
            </w:r>
            <w:r w:rsidRPr="001552C0">
              <w:rPr>
                <w:iCs/>
              </w:rPr>
              <w:tab/>
              <w:t>Gospodărirea apelor și conservarea resurselor de apă (inclusiv managementul bazinelor hidrografice, măsuri specifice de adaptare la schimbările climatice, reutilizare, reducerea pierderilor)</w:t>
            </w:r>
          </w:p>
          <w:p w14:paraId="22514506" w14:textId="60466982" w:rsidR="002A37A9" w:rsidRPr="001552C0" w:rsidRDefault="00EE7F11" w:rsidP="00AA1F5D">
            <w:pPr>
              <w:jc w:val="both"/>
              <w:rPr>
                <w:iCs/>
              </w:rPr>
            </w:pPr>
            <w:r w:rsidRPr="001552C0">
              <w:rPr>
                <w:iCs/>
              </w:rPr>
              <w:t>041 Colectarea și tratarea apelor uzate</w:t>
            </w:r>
          </w:p>
        </w:tc>
        <w:tc>
          <w:tcPr>
            <w:tcW w:w="1559" w:type="dxa"/>
            <w:tcBorders>
              <w:top w:val="single" w:sz="4" w:space="0" w:color="auto"/>
              <w:left w:val="single" w:sz="4" w:space="0" w:color="auto"/>
              <w:bottom w:val="single" w:sz="4" w:space="0" w:color="auto"/>
              <w:right w:val="single" w:sz="4" w:space="0" w:color="auto"/>
            </w:tcBorders>
          </w:tcPr>
          <w:p w14:paraId="22D1CEFF" w14:textId="5578758C" w:rsidR="007A5E59" w:rsidRPr="001552C0" w:rsidRDefault="005F29BF" w:rsidP="00AA1F5D">
            <w:pPr>
              <w:rPr>
                <w:iCs/>
              </w:rPr>
            </w:pPr>
            <w:r w:rsidRPr="001552C0">
              <w:rPr>
                <w:iCs/>
              </w:rPr>
              <w:t>2.</w:t>
            </w:r>
            <w:r w:rsidR="00737284">
              <w:rPr>
                <w:iCs/>
              </w:rPr>
              <w:t>1</w:t>
            </w:r>
            <w:r w:rsidR="00AA1F5D" w:rsidRPr="001552C0">
              <w:rPr>
                <w:iCs/>
              </w:rPr>
              <w:t>3</w:t>
            </w:r>
            <w:r w:rsidRPr="001552C0">
              <w:rPr>
                <w:iCs/>
              </w:rPr>
              <w:t>0.000.000</w:t>
            </w:r>
          </w:p>
        </w:tc>
      </w:tr>
      <w:tr w:rsidR="00B96B06" w:rsidRPr="001552C0" w14:paraId="033FC9E7" w14:textId="77777777" w:rsidTr="007906D8">
        <w:tc>
          <w:tcPr>
            <w:tcW w:w="1444" w:type="dxa"/>
            <w:tcBorders>
              <w:top w:val="single" w:sz="4" w:space="0" w:color="auto"/>
              <w:left w:val="single" w:sz="4" w:space="0" w:color="auto"/>
              <w:bottom w:val="single" w:sz="4" w:space="0" w:color="auto"/>
              <w:right w:val="single" w:sz="4" w:space="0" w:color="auto"/>
            </w:tcBorders>
          </w:tcPr>
          <w:p w14:paraId="0EA50030" w14:textId="1DAF9CD3" w:rsidR="002852F5" w:rsidRPr="001552C0" w:rsidRDefault="002852F5" w:rsidP="00031C04">
            <w:pPr>
              <w:rPr>
                <w:iCs/>
              </w:rPr>
            </w:pPr>
          </w:p>
        </w:tc>
        <w:tc>
          <w:tcPr>
            <w:tcW w:w="680" w:type="dxa"/>
            <w:vMerge w:val="restart"/>
            <w:tcBorders>
              <w:top w:val="single" w:sz="4" w:space="0" w:color="auto"/>
              <w:left w:val="single" w:sz="4" w:space="0" w:color="auto"/>
              <w:right w:val="single" w:sz="4" w:space="0" w:color="auto"/>
            </w:tcBorders>
          </w:tcPr>
          <w:p w14:paraId="6B04EC41" w14:textId="3B3F7194" w:rsidR="002852F5" w:rsidRPr="001552C0" w:rsidRDefault="002852F5" w:rsidP="00031C04">
            <w:pPr>
              <w:rPr>
                <w:iCs/>
              </w:rPr>
            </w:pPr>
            <w:r w:rsidRPr="001552C0">
              <w:rPr>
                <w:iCs/>
              </w:rPr>
              <w:t>FC</w:t>
            </w:r>
          </w:p>
        </w:tc>
        <w:tc>
          <w:tcPr>
            <w:tcW w:w="1152" w:type="dxa"/>
            <w:vMerge w:val="restart"/>
            <w:tcBorders>
              <w:top w:val="single" w:sz="4" w:space="0" w:color="auto"/>
              <w:left w:val="single" w:sz="4" w:space="0" w:color="auto"/>
              <w:right w:val="single" w:sz="4" w:space="0" w:color="auto"/>
            </w:tcBorders>
          </w:tcPr>
          <w:p w14:paraId="36E86A02" w14:textId="0BF50985" w:rsidR="002852F5" w:rsidRPr="001552C0" w:rsidRDefault="002852F5" w:rsidP="00031C04">
            <w:pPr>
              <w:rPr>
                <w:iCs/>
              </w:rPr>
            </w:pPr>
            <w:r w:rsidRPr="001552C0">
              <w:rPr>
                <w:iCs/>
              </w:rPr>
              <w:t>N/A</w:t>
            </w:r>
          </w:p>
        </w:tc>
        <w:tc>
          <w:tcPr>
            <w:tcW w:w="5054" w:type="dxa"/>
            <w:tcBorders>
              <w:top w:val="single" w:sz="4" w:space="0" w:color="auto"/>
              <w:left w:val="single" w:sz="4" w:space="0" w:color="auto"/>
              <w:bottom w:val="single" w:sz="4" w:space="0" w:color="auto"/>
              <w:right w:val="single" w:sz="4" w:space="0" w:color="auto"/>
            </w:tcBorders>
          </w:tcPr>
          <w:p w14:paraId="444DB3E0" w14:textId="77777777" w:rsidR="002852F5" w:rsidRPr="001552C0" w:rsidRDefault="002852F5" w:rsidP="00EE7F11">
            <w:pPr>
              <w:rPr>
                <w:iCs/>
              </w:rPr>
            </w:pPr>
            <w:r w:rsidRPr="001552C0">
              <w:rPr>
                <w:iCs/>
              </w:rPr>
              <w:t>039</w:t>
            </w:r>
            <w:r w:rsidRPr="001552C0">
              <w:rPr>
                <w:iCs/>
              </w:rPr>
              <w:tab/>
              <w:t xml:space="preserve">Furnizare de apă destinată consumului uman (infrastructuri de extracție, tratare, stocare și distribuție, măsuri de eficiență, aprovizionare cu apă potabilă), </w:t>
            </w:r>
          </w:p>
          <w:p w14:paraId="73FA6E47" w14:textId="77777777" w:rsidR="002852F5" w:rsidRPr="001552C0" w:rsidRDefault="002852F5" w:rsidP="00EE7F11">
            <w:pPr>
              <w:rPr>
                <w:iCs/>
              </w:rPr>
            </w:pPr>
            <w:r w:rsidRPr="001552C0">
              <w:rPr>
                <w:iCs/>
              </w:rPr>
              <w:t>040</w:t>
            </w:r>
            <w:r w:rsidRPr="001552C0">
              <w:rPr>
                <w:iCs/>
              </w:rPr>
              <w:tab/>
              <w:t xml:space="preserve">Gospodărirea apelor și conservarea resurselor </w:t>
            </w:r>
            <w:r w:rsidRPr="001552C0">
              <w:rPr>
                <w:iCs/>
              </w:rPr>
              <w:lastRenderedPageBreak/>
              <w:t>de apă (inclusiv managementul bazinelor hidrografice, măsuri specifice de adaptare la schimbările climatice, reutilizare, reducerea pierderilor)</w:t>
            </w:r>
          </w:p>
          <w:p w14:paraId="0D3793E4" w14:textId="19BD0383" w:rsidR="002852F5" w:rsidRPr="001552C0" w:rsidRDefault="002852F5" w:rsidP="00AA1F5D">
            <w:pPr>
              <w:rPr>
                <w:iCs/>
              </w:rPr>
            </w:pPr>
            <w:r w:rsidRPr="001552C0">
              <w:rPr>
                <w:iCs/>
              </w:rPr>
              <w:t>041 Colectarea și tratarea apelor uzate</w:t>
            </w:r>
          </w:p>
        </w:tc>
        <w:tc>
          <w:tcPr>
            <w:tcW w:w="1559" w:type="dxa"/>
            <w:tcBorders>
              <w:top w:val="single" w:sz="4" w:space="0" w:color="auto"/>
              <w:left w:val="single" w:sz="4" w:space="0" w:color="auto"/>
              <w:bottom w:val="single" w:sz="4" w:space="0" w:color="auto"/>
              <w:right w:val="single" w:sz="4" w:space="0" w:color="auto"/>
            </w:tcBorders>
          </w:tcPr>
          <w:p w14:paraId="2831380B" w14:textId="09426D01" w:rsidR="002852F5" w:rsidRPr="001552C0" w:rsidRDefault="00737284" w:rsidP="00031C04">
            <w:pPr>
              <w:rPr>
                <w:iCs/>
              </w:rPr>
            </w:pPr>
            <w:r>
              <w:rPr>
                <w:iCs/>
              </w:rPr>
              <w:lastRenderedPageBreak/>
              <w:t>4</w:t>
            </w:r>
            <w:r w:rsidR="002852F5" w:rsidRPr="001552C0">
              <w:rPr>
                <w:iCs/>
              </w:rPr>
              <w:t>07.800.000</w:t>
            </w:r>
          </w:p>
        </w:tc>
      </w:tr>
      <w:tr w:rsidR="002852F5" w:rsidRPr="001552C0" w14:paraId="399BA445" w14:textId="77777777" w:rsidTr="007906D8">
        <w:tc>
          <w:tcPr>
            <w:tcW w:w="1444" w:type="dxa"/>
            <w:tcBorders>
              <w:top w:val="single" w:sz="4" w:space="0" w:color="auto"/>
              <w:left w:val="single" w:sz="4" w:space="0" w:color="auto"/>
              <w:bottom w:val="single" w:sz="4" w:space="0" w:color="auto"/>
              <w:right w:val="single" w:sz="4" w:space="0" w:color="auto"/>
            </w:tcBorders>
          </w:tcPr>
          <w:p w14:paraId="2231895B" w14:textId="77777777" w:rsidR="002852F5" w:rsidRPr="001552C0" w:rsidRDefault="002852F5" w:rsidP="00031C04">
            <w:pPr>
              <w:rPr>
                <w:iCs/>
              </w:rPr>
            </w:pPr>
          </w:p>
        </w:tc>
        <w:tc>
          <w:tcPr>
            <w:tcW w:w="680" w:type="dxa"/>
            <w:vMerge/>
            <w:tcBorders>
              <w:left w:val="single" w:sz="4" w:space="0" w:color="auto"/>
              <w:bottom w:val="single" w:sz="4" w:space="0" w:color="auto"/>
              <w:right w:val="single" w:sz="4" w:space="0" w:color="auto"/>
            </w:tcBorders>
          </w:tcPr>
          <w:p w14:paraId="616F23A0" w14:textId="77777777" w:rsidR="002852F5" w:rsidRPr="001552C0" w:rsidRDefault="002852F5" w:rsidP="00031C04">
            <w:pPr>
              <w:rPr>
                <w:iCs/>
              </w:rPr>
            </w:pPr>
          </w:p>
        </w:tc>
        <w:tc>
          <w:tcPr>
            <w:tcW w:w="1152" w:type="dxa"/>
            <w:vMerge/>
            <w:tcBorders>
              <w:left w:val="single" w:sz="4" w:space="0" w:color="auto"/>
              <w:bottom w:val="single" w:sz="4" w:space="0" w:color="auto"/>
              <w:right w:val="single" w:sz="4" w:space="0" w:color="auto"/>
            </w:tcBorders>
          </w:tcPr>
          <w:p w14:paraId="7FB69A78" w14:textId="77777777" w:rsidR="002852F5" w:rsidRPr="001552C0" w:rsidRDefault="002852F5" w:rsidP="00031C04">
            <w:pPr>
              <w:rPr>
                <w:iCs/>
              </w:rPr>
            </w:pPr>
          </w:p>
        </w:tc>
        <w:tc>
          <w:tcPr>
            <w:tcW w:w="5054" w:type="dxa"/>
            <w:tcBorders>
              <w:top w:val="single" w:sz="4" w:space="0" w:color="auto"/>
              <w:left w:val="single" w:sz="4" w:space="0" w:color="auto"/>
              <w:bottom w:val="single" w:sz="4" w:space="0" w:color="auto"/>
              <w:right w:val="single" w:sz="4" w:space="0" w:color="auto"/>
            </w:tcBorders>
          </w:tcPr>
          <w:p w14:paraId="62DB45A8" w14:textId="77777777" w:rsidR="002852F5" w:rsidRPr="001552C0" w:rsidRDefault="002852F5" w:rsidP="00AA1F5D">
            <w:pPr>
              <w:rPr>
                <w:iCs/>
              </w:rPr>
            </w:pPr>
            <w:r w:rsidRPr="001552C0">
              <w:rPr>
                <w:iCs/>
              </w:rPr>
              <w:t>042</w:t>
            </w:r>
            <w:r w:rsidRPr="001552C0">
              <w:rPr>
                <w:iCs/>
              </w:rPr>
              <w:tab/>
              <w:t xml:space="preserve">Gestionarea deșeurilor menajere: măsuri de prevenire, minimizare, sortare și reciclare; </w:t>
            </w:r>
          </w:p>
          <w:p w14:paraId="1B50FCA2" w14:textId="110C2390" w:rsidR="002852F5" w:rsidRPr="001552C0" w:rsidRDefault="002852F5" w:rsidP="00AA1F5D">
            <w:pPr>
              <w:rPr>
                <w:iCs/>
              </w:rPr>
            </w:pPr>
            <w:r w:rsidRPr="001552C0">
              <w:rPr>
                <w:iCs/>
              </w:rPr>
              <w:t>042 bis</w:t>
            </w:r>
            <w:r w:rsidRPr="001552C0">
              <w:rPr>
                <w:iCs/>
              </w:rPr>
              <w:tab/>
              <w:t>Gestionarea deșeurilor menajere: tratarea deșeurilor reziduale</w:t>
            </w:r>
          </w:p>
        </w:tc>
        <w:tc>
          <w:tcPr>
            <w:tcW w:w="1559" w:type="dxa"/>
            <w:tcBorders>
              <w:top w:val="single" w:sz="4" w:space="0" w:color="auto"/>
              <w:left w:val="single" w:sz="4" w:space="0" w:color="auto"/>
              <w:bottom w:val="single" w:sz="4" w:space="0" w:color="auto"/>
              <w:right w:val="single" w:sz="4" w:space="0" w:color="auto"/>
            </w:tcBorders>
          </w:tcPr>
          <w:p w14:paraId="0CF8A341" w14:textId="033C74E9" w:rsidR="002852F5" w:rsidRPr="001552C0" w:rsidRDefault="002852F5" w:rsidP="00031C04">
            <w:pPr>
              <w:rPr>
                <w:iCs/>
              </w:rPr>
            </w:pPr>
            <w:r w:rsidRPr="001552C0">
              <w:rPr>
                <w:iCs/>
              </w:rPr>
              <w:t>230.000.000</w:t>
            </w:r>
          </w:p>
        </w:tc>
      </w:tr>
    </w:tbl>
    <w:p w14:paraId="7E302FC0" w14:textId="77777777" w:rsidR="007A5E59" w:rsidRPr="001552C0" w:rsidRDefault="007A5E59" w:rsidP="007A5E5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1984"/>
        <w:gridCol w:w="1843"/>
        <w:gridCol w:w="1559"/>
      </w:tblGrid>
      <w:tr w:rsidR="00B96B06" w:rsidRPr="001552C0" w14:paraId="60E23FE4" w14:textId="77777777" w:rsidTr="00EE7F11">
        <w:tc>
          <w:tcPr>
            <w:tcW w:w="9889" w:type="dxa"/>
            <w:gridSpan w:val="5"/>
            <w:tcBorders>
              <w:top w:val="single" w:sz="4" w:space="0" w:color="auto"/>
              <w:left w:val="single" w:sz="4" w:space="0" w:color="auto"/>
              <w:bottom w:val="single" w:sz="4" w:space="0" w:color="auto"/>
              <w:right w:val="single" w:sz="4" w:space="0" w:color="auto"/>
            </w:tcBorders>
            <w:hideMark/>
          </w:tcPr>
          <w:p w14:paraId="19A4C33A" w14:textId="77777777" w:rsidR="007A5E59" w:rsidRPr="001552C0" w:rsidRDefault="007A5E59" w:rsidP="00031C04">
            <w:pPr>
              <w:rPr>
                <w:b/>
                <w:iCs/>
              </w:rPr>
            </w:pPr>
            <w:r w:rsidRPr="001552C0">
              <w:rPr>
                <w:b/>
                <w:iCs/>
              </w:rPr>
              <w:t>Table 5: Dimension 2 – form of support</w:t>
            </w:r>
          </w:p>
        </w:tc>
      </w:tr>
      <w:tr w:rsidR="00B96B06" w:rsidRPr="001552C0" w14:paraId="54BC21E0" w14:textId="77777777" w:rsidTr="00EE7F11">
        <w:tc>
          <w:tcPr>
            <w:tcW w:w="3085" w:type="dxa"/>
            <w:tcBorders>
              <w:top w:val="single" w:sz="4" w:space="0" w:color="auto"/>
              <w:left w:val="single" w:sz="4" w:space="0" w:color="auto"/>
              <w:bottom w:val="single" w:sz="4" w:space="0" w:color="auto"/>
              <w:right w:val="single" w:sz="4" w:space="0" w:color="auto"/>
            </w:tcBorders>
            <w:hideMark/>
          </w:tcPr>
          <w:p w14:paraId="62B9F407" w14:textId="77777777" w:rsidR="007A5E59" w:rsidRPr="001552C0" w:rsidRDefault="007A5E59" w:rsidP="00031C04">
            <w:pPr>
              <w:rPr>
                <w:b/>
                <w:iCs/>
              </w:rPr>
            </w:pPr>
            <w:r w:rsidRPr="001552C0">
              <w:rPr>
                <w:b/>
                <w:iCs/>
              </w:rPr>
              <w:t>Priority No</w:t>
            </w:r>
          </w:p>
        </w:tc>
        <w:tc>
          <w:tcPr>
            <w:tcW w:w="1418" w:type="dxa"/>
            <w:tcBorders>
              <w:top w:val="single" w:sz="4" w:space="0" w:color="auto"/>
              <w:left w:val="single" w:sz="4" w:space="0" w:color="auto"/>
              <w:bottom w:val="single" w:sz="4" w:space="0" w:color="auto"/>
              <w:right w:val="single" w:sz="4" w:space="0" w:color="auto"/>
            </w:tcBorders>
            <w:hideMark/>
          </w:tcPr>
          <w:p w14:paraId="12D3A775" w14:textId="77777777" w:rsidR="007A5E59" w:rsidRPr="001552C0" w:rsidRDefault="007A5E59" w:rsidP="00031C04">
            <w:pPr>
              <w:rPr>
                <w:b/>
                <w:iCs/>
              </w:rPr>
            </w:pPr>
            <w:r w:rsidRPr="001552C0">
              <w:rPr>
                <w:b/>
                <w:iCs/>
              </w:rPr>
              <w:t>Fund</w:t>
            </w:r>
          </w:p>
        </w:tc>
        <w:tc>
          <w:tcPr>
            <w:tcW w:w="1984" w:type="dxa"/>
            <w:tcBorders>
              <w:top w:val="single" w:sz="4" w:space="0" w:color="auto"/>
              <w:left w:val="single" w:sz="4" w:space="0" w:color="auto"/>
              <w:bottom w:val="single" w:sz="4" w:space="0" w:color="auto"/>
              <w:right w:val="single" w:sz="4" w:space="0" w:color="auto"/>
            </w:tcBorders>
            <w:hideMark/>
          </w:tcPr>
          <w:p w14:paraId="5CCBF118" w14:textId="77777777" w:rsidR="007A5E59" w:rsidRPr="001552C0" w:rsidRDefault="007A5E59" w:rsidP="00031C04">
            <w:pPr>
              <w:rPr>
                <w:b/>
                <w:iCs/>
              </w:rPr>
            </w:pPr>
            <w:r w:rsidRPr="001552C0">
              <w:rPr>
                <w:b/>
                <w:iCs/>
              </w:rPr>
              <w:t>Category of region</w:t>
            </w:r>
            <w:r w:rsidRPr="001552C0">
              <w:rPr>
                <w:b/>
                <w:iCs/>
                <w:vertAlign w:val="superscript"/>
              </w:rPr>
              <w:footnoteReference w:id="7"/>
            </w:r>
          </w:p>
        </w:tc>
        <w:tc>
          <w:tcPr>
            <w:tcW w:w="1843" w:type="dxa"/>
            <w:tcBorders>
              <w:top w:val="single" w:sz="4" w:space="0" w:color="auto"/>
              <w:left w:val="single" w:sz="4" w:space="0" w:color="auto"/>
              <w:bottom w:val="single" w:sz="4" w:space="0" w:color="auto"/>
              <w:right w:val="single" w:sz="4" w:space="0" w:color="auto"/>
            </w:tcBorders>
            <w:hideMark/>
          </w:tcPr>
          <w:p w14:paraId="16ED0B66" w14:textId="77777777" w:rsidR="007A5E59" w:rsidRPr="001552C0" w:rsidRDefault="007A5E59" w:rsidP="00031C04">
            <w:pPr>
              <w:rPr>
                <w:b/>
                <w:iCs/>
              </w:rPr>
            </w:pPr>
            <w:r w:rsidRPr="001552C0">
              <w:rPr>
                <w:b/>
                <w:iCs/>
              </w:rPr>
              <w:t xml:space="preserve">Code </w:t>
            </w:r>
          </w:p>
        </w:tc>
        <w:tc>
          <w:tcPr>
            <w:tcW w:w="1559" w:type="dxa"/>
            <w:tcBorders>
              <w:top w:val="single" w:sz="4" w:space="0" w:color="auto"/>
              <w:left w:val="single" w:sz="4" w:space="0" w:color="auto"/>
              <w:bottom w:val="single" w:sz="4" w:space="0" w:color="auto"/>
              <w:right w:val="single" w:sz="4" w:space="0" w:color="auto"/>
            </w:tcBorders>
            <w:hideMark/>
          </w:tcPr>
          <w:p w14:paraId="1EDB0E31" w14:textId="77777777" w:rsidR="007A5E59" w:rsidRPr="001552C0" w:rsidRDefault="007A5E59" w:rsidP="00031C04">
            <w:pPr>
              <w:rPr>
                <w:b/>
                <w:iCs/>
              </w:rPr>
            </w:pPr>
            <w:r w:rsidRPr="001552C0">
              <w:rPr>
                <w:b/>
                <w:iCs/>
              </w:rPr>
              <w:t>Amount (EUR)</w:t>
            </w:r>
          </w:p>
        </w:tc>
      </w:tr>
      <w:tr w:rsidR="00B96B06" w:rsidRPr="001552C0" w14:paraId="364308B9" w14:textId="77777777" w:rsidTr="00EE7F11">
        <w:tc>
          <w:tcPr>
            <w:tcW w:w="3085" w:type="dxa"/>
            <w:tcBorders>
              <w:top w:val="single" w:sz="4" w:space="0" w:color="auto"/>
              <w:left w:val="single" w:sz="4" w:space="0" w:color="auto"/>
              <w:bottom w:val="single" w:sz="4" w:space="0" w:color="auto"/>
              <w:right w:val="single" w:sz="4" w:space="0" w:color="auto"/>
            </w:tcBorders>
          </w:tcPr>
          <w:p w14:paraId="0E0B8DAB" w14:textId="77777777" w:rsidR="005F29BF" w:rsidRPr="001552C0" w:rsidRDefault="005F29BF" w:rsidP="00031C04">
            <w:pPr>
              <w:rPr>
                <w:b/>
                <w:iCs/>
              </w:rPr>
            </w:pPr>
          </w:p>
        </w:tc>
        <w:tc>
          <w:tcPr>
            <w:tcW w:w="1418" w:type="dxa"/>
            <w:tcBorders>
              <w:top w:val="single" w:sz="4" w:space="0" w:color="auto"/>
              <w:left w:val="single" w:sz="4" w:space="0" w:color="auto"/>
              <w:bottom w:val="single" w:sz="4" w:space="0" w:color="auto"/>
              <w:right w:val="single" w:sz="4" w:space="0" w:color="auto"/>
            </w:tcBorders>
          </w:tcPr>
          <w:p w14:paraId="6C468EB1" w14:textId="77777777" w:rsidR="005F29BF" w:rsidRPr="001552C0" w:rsidRDefault="005F29BF" w:rsidP="00031C04">
            <w:pPr>
              <w:rPr>
                <w:b/>
                <w:iCs/>
              </w:rPr>
            </w:pPr>
          </w:p>
        </w:tc>
        <w:tc>
          <w:tcPr>
            <w:tcW w:w="1984" w:type="dxa"/>
            <w:tcBorders>
              <w:top w:val="single" w:sz="4" w:space="0" w:color="auto"/>
              <w:left w:val="single" w:sz="4" w:space="0" w:color="auto"/>
              <w:bottom w:val="single" w:sz="4" w:space="0" w:color="auto"/>
              <w:right w:val="single" w:sz="4" w:space="0" w:color="auto"/>
            </w:tcBorders>
          </w:tcPr>
          <w:p w14:paraId="69DD17A1" w14:textId="77777777" w:rsidR="005F29BF" w:rsidRPr="001552C0" w:rsidRDefault="005F29BF" w:rsidP="00031C04">
            <w:pPr>
              <w:rPr>
                <w:b/>
                <w:iCs/>
              </w:rPr>
            </w:pPr>
          </w:p>
        </w:tc>
        <w:tc>
          <w:tcPr>
            <w:tcW w:w="1843" w:type="dxa"/>
            <w:tcBorders>
              <w:top w:val="single" w:sz="4" w:space="0" w:color="auto"/>
              <w:left w:val="single" w:sz="4" w:space="0" w:color="auto"/>
              <w:bottom w:val="single" w:sz="4" w:space="0" w:color="auto"/>
              <w:right w:val="single" w:sz="4" w:space="0" w:color="auto"/>
            </w:tcBorders>
          </w:tcPr>
          <w:p w14:paraId="61E07B17" w14:textId="77777777" w:rsidR="005F29BF" w:rsidRPr="001552C0" w:rsidRDefault="005F29BF" w:rsidP="00031C04">
            <w:pPr>
              <w:rPr>
                <w:b/>
                <w:iCs/>
              </w:rPr>
            </w:pPr>
          </w:p>
        </w:tc>
        <w:tc>
          <w:tcPr>
            <w:tcW w:w="1559" w:type="dxa"/>
            <w:tcBorders>
              <w:top w:val="single" w:sz="4" w:space="0" w:color="auto"/>
              <w:left w:val="single" w:sz="4" w:space="0" w:color="auto"/>
              <w:bottom w:val="single" w:sz="4" w:space="0" w:color="auto"/>
              <w:right w:val="single" w:sz="4" w:space="0" w:color="auto"/>
            </w:tcBorders>
          </w:tcPr>
          <w:p w14:paraId="7BDF0801" w14:textId="77777777" w:rsidR="005F29BF" w:rsidRPr="001552C0" w:rsidRDefault="005F29BF" w:rsidP="00031C04">
            <w:pPr>
              <w:rPr>
                <w:b/>
                <w:iCs/>
              </w:rPr>
            </w:pPr>
          </w:p>
        </w:tc>
      </w:tr>
      <w:tr w:rsidR="00B96B06" w:rsidRPr="001552C0" w14:paraId="03C4F96B" w14:textId="77777777" w:rsidTr="00EE7F11">
        <w:tc>
          <w:tcPr>
            <w:tcW w:w="3085" w:type="dxa"/>
            <w:tcBorders>
              <w:top w:val="single" w:sz="4" w:space="0" w:color="auto"/>
              <w:left w:val="single" w:sz="4" w:space="0" w:color="auto"/>
              <w:bottom w:val="single" w:sz="4" w:space="0" w:color="auto"/>
              <w:right w:val="single" w:sz="4" w:space="0" w:color="auto"/>
            </w:tcBorders>
          </w:tcPr>
          <w:p w14:paraId="506C716E" w14:textId="6834A5B3" w:rsidR="00EE7F11" w:rsidRPr="001552C0" w:rsidRDefault="00EE7F11" w:rsidP="00031C04">
            <w:pPr>
              <w:rPr>
                <w:b/>
                <w:iCs/>
              </w:rPr>
            </w:pPr>
            <w:r w:rsidRPr="001552C0">
              <w:rPr>
                <w:iCs/>
              </w:rPr>
              <w:t>2. Dezvoltarea infrastructurii de apă și apă uzată și tranziția la o  economie circulară</w:t>
            </w:r>
          </w:p>
        </w:tc>
        <w:tc>
          <w:tcPr>
            <w:tcW w:w="1418" w:type="dxa"/>
            <w:tcBorders>
              <w:top w:val="single" w:sz="4" w:space="0" w:color="auto"/>
              <w:left w:val="single" w:sz="4" w:space="0" w:color="auto"/>
              <w:bottom w:val="single" w:sz="4" w:space="0" w:color="auto"/>
              <w:right w:val="single" w:sz="4" w:space="0" w:color="auto"/>
            </w:tcBorders>
          </w:tcPr>
          <w:p w14:paraId="6B4867BE" w14:textId="582633AF" w:rsidR="00EE7F11" w:rsidRPr="001552C0" w:rsidRDefault="00EE7F11" w:rsidP="00031C04">
            <w:pPr>
              <w:rPr>
                <w:b/>
                <w:iCs/>
              </w:rPr>
            </w:pPr>
            <w:r w:rsidRPr="001552C0">
              <w:rPr>
                <w:iCs/>
              </w:rPr>
              <w:t>FEDR</w:t>
            </w:r>
          </w:p>
        </w:tc>
        <w:tc>
          <w:tcPr>
            <w:tcW w:w="1984" w:type="dxa"/>
            <w:tcBorders>
              <w:top w:val="single" w:sz="4" w:space="0" w:color="auto"/>
              <w:left w:val="single" w:sz="4" w:space="0" w:color="auto"/>
              <w:bottom w:val="single" w:sz="4" w:space="0" w:color="auto"/>
              <w:right w:val="single" w:sz="4" w:space="0" w:color="auto"/>
            </w:tcBorders>
          </w:tcPr>
          <w:p w14:paraId="53C0DB9C" w14:textId="3C949CDE" w:rsidR="00EE7F11" w:rsidRPr="001552C0" w:rsidRDefault="00EE7F11" w:rsidP="00031C04">
            <w:pPr>
              <w:rPr>
                <w:b/>
                <w:iCs/>
              </w:rPr>
            </w:pPr>
            <w:r w:rsidRPr="001552C0">
              <w:rPr>
                <w:iCs/>
              </w:rPr>
              <w:t>Mai puțin dezvoltată</w:t>
            </w:r>
          </w:p>
        </w:tc>
        <w:tc>
          <w:tcPr>
            <w:tcW w:w="1843" w:type="dxa"/>
            <w:tcBorders>
              <w:top w:val="single" w:sz="4" w:space="0" w:color="auto"/>
              <w:left w:val="single" w:sz="4" w:space="0" w:color="auto"/>
              <w:bottom w:val="single" w:sz="4" w:space="0" w:color="auto"/>
              <w:right w:val="single" w:sz="4" w:space="0" w:color="auto"/>
            </w:tcBorders>
          </w:tcPr>
          <w:p w14:paraId="28B5C59E" w14:textId="4331532F" w:rsidR="00EE7F11" w:rsidRPr="001552C0" w:rsidRDefault="00EE7F11" w:rsidP="00031C04">
            <w:pPr>
              <w:rPr>
                <w:b/>
                <w:iCs/>
              </w:rPr>
            </w:pPr>
            <w:r w:rsidRPr="001552C0">
              <w:rPr>
                <w:iCs/>
              </w:rPr>
              <w:t>01 - grant</w:t>
            </w:r>
          </w:p>
        </w:tc>
        <w:tc>
          <w:tcPr>
            <w:tcW w:w="1559" w:type="dxa"/>
            <w:tcBorders>
              <w:top w:val="single" w:sz="4" w:space="0" w:color="auto"/>
              <w:left w:val="single" w:sz="4" w:space="0" w:color="auto"/>
              <w:bottom w:val="single" w:sz="4" w:space="0" w:color="auto"/>
              <w:right w:val="single" w:sz="4" w:space="0" w:color="auto"/>
            </w:tcBorders>
          </w:tcPr>
          <w:p w14:paraId="606AFEFC" w14:textId="545C7D7A" w:rsidR="00EE7F11" w:rsidRPr="001552C0" w:rsidRDefault="00EE7F11" w:rsidP="00AA1F5D">
            <w:pPr>
              <w:rPr>
                <w:b/>
                <w:iCs/>
              </w:rPr>
            </w:pPr>
            <w:r w:rsidRPr="001552C0">
              <w:rPr>
                <w:iCs/>
              </w:rPr>
              <w:t>2.</w:t>
            </w:r>
            <w:r w:rsidR="00122345">
              <w:rPr>
                <w:iCs/>
              </w:rPr>
              <w:t>1</w:t>
            </w:r>
            <w:r w:rsidR="00AA1F5D" w:rsidRPr="001552C0">
              <w:rPr>
                <w:iCs/>
              </w:rPr>
              <w:t>3</w:t>
            </w:r>
            <w:r w:rsidRPr="001552C0">
              <w:rPr>
                <w:iCs/>
              </w:rPr>
              <w:t>0.000.000</w:t>
            </w:r>
          </w:p>
        </w:tc>
      </w:tr>
      <w:tr w:rsidR="00EE7F11" w:rsidRPr="001552C0" w14:paraId="5EE8DBF0" w14:textId="77777777" w:rsidTr="00EE7F11">
        <w:tc>
          <w:tcPr>
            <w:tcW w:w="3085" w:type="dxa"/>
            <w:tcBorders>
              <w:top w:val="single" w:sz="4" w:space="0" w:color="auto"/>
              <w:left w:val="single" w:sz="4" w:space="0" w:color="auto"/>
              <w:bottom w:val="single" w:sz="4" w:space="0" w:color="auto"/>
              <w:right w:val="single" w:sz="4" w:space="0" w:color="auto"/>
            </w:tcBorders>
          </w:tcPr>
          <w:p w14:paraId="4921A491" w14:textId="77777777" w:rsidR="00EE7F11" w:rsidRPr="001552C0" w:rsidRDefault="00EE7F11" w:rsidP="00031C04">
            <w:pPr>
              <w:rPr>
                <w:iCs/>
              </w:rPr>
            </w:pPr>
          </w:p>
        </w:tc>
        <w:tc>
          <w:tcPr>
            <w:tcW w:w="1418" w:type="dxa"/>
            <w:tcBorders>
              <w:top w:val="single" w:sz="4" w:space="0" w:color="auto"/>
              <w:left w:val="single" w:sz="4" w:space="0" w:color="auto"/>
              <w:bottom w:val="single" w:sz="4" w:space="0" w:color="auto"/>
              <w:right w:val="single" w:sz="4" w:space="0" w:color="auto"/>
            </w:tcBorders>
          </w:tcPr>
          <w:p w14:paraId="2AB328D1" w14:textId="00A49E46" w:rsidR="00EE7F11" w:rsidRPr="001552C0" w:rsidRDefault="00EE7F11" w:rsidP="00031C04">
            <w:pPr>
              <w:rPr>
                <w:b/>
                <w:iCs/>
              </w:rPr>
            </w:pPr>
            <w:r w:rsidRPr="001552C0">
              <w:rPr>
                <w:iCs/>
              </w:rPr>
              <w:t>FC</w:t>
            </w:r>
          </w:p>
        </w:tc>
        <w:tc>
          <w:tcPr>
            <w:tcW w:w="1984" w:type="dxa"/>
            <w:tcBorders>
              <w:top w:val="single" w:sz="4" w:space="0" w:color="auto"/>
              <w:left w:val="single" w:sz="4" w:space="0" w:color="auto"/>
              <w:bottom w:val="single" w:sz="4" w:space="0" w:color="auto"/>
              <w:right w:val="single" w:sz="4" w:space="0" w:color="auto"/>
            </w:tcBorders>
          </w:tcPr>
          <w:p w14:paraId="3631A11C" w14:textId="465897CE" w:rsidR="00EE7F11" w:rsidRPr="001552C0" w:rsidRDefault="00EE7F11" w:rsidP="00031C04">
            <w:pPr>
              <w:rPr>
                <w:b/>
                <w:iCs/>
              </w:rPr>
            </w:pPr>
            <w:r w:rsidRPr="001552C0">
              <w:rPr>
                <w:iCs/>
              </w:rPr>
              <w:t>N/A</w:t>
            </w:r>
          </w:p>
        </w:tc>
        <w:tc>
          <w:tcPr>
            <w:tcW w:w="1843" w:type="dxa"/>
            <w:tcBorders>
              <w:top w:val="single" w:sz="4" w:space="0" w:color="auto"/>
              <w:left w:val="single" w:sz="4" w:space="0" w:color="auto"/>
              <w:bottom w:val="single" w:sz="4" w:space="0" w:color="auto"/>
              <w:right w:val="single" w:sz="4" w:space="0" w:color="auto"/>
            </w:tcBorders>
          </w:tcPr>
          <w:p w14:paraId="28FE7814" w14:textId="202F8585" w:rsidR="00EE7F11" w:rsidRPr="001552C0" w:rsidRDefault="00EE7F11" w:rsidP="00031C04">
            <w:pPr>
              <w:rPr>
                <w:b/>
                <w:iCs/>
              </w:rPr>
            </w:pPr>
            <w:r w:rsidRPr="001552C0">
              <w:rPr>
                <w:iCs/>
              </w:rPr>
              <w:t>01 - grant</w:t>
            </w:r>
          </w:p>
        </w:tc>
        <w:tc>
          <w:tcPr>
            <w:tcW w:w="1559" w:type="dxa"/>
            <w:tcBorders>
              <w:top w:val="single" w:sz="4" w:space="0" w:color="auto"/>
              <w:left w:val="single" w:sz="4" w:space="0" w:color="auto"/>
              <w:bottom w:val="single" w:sz="4" w:space="0" w:color="auto"/>
              <w:right w:val="single" w:sz="4" w:space="0" w:color="auto"/>
            </w:tcBorders>
          </w:tcPr>
          <w:p w14:paraId="455166FD" w14:textId="7B46A169" w:rsidR="00EE7F11" w:rsidRPr="001552C0" w:rsidRDefault="00122345" w:rsidP="00031C04">
            <w:pPr>
              <w:rPr>
                <w:b/>
                <w:iCs/>
              </w:rPr>
            </w:pPr>
            <w:r>
              <w:rPr>
                <w:iCs/>
              </w:rPr>
              <w:t>6</w:t>
            </w:r>
            <w:r w:rsidR="00EE7F11" w:rsidRPr="001552C0">
              <w:rPr>
                <w:iCs/>
              </w:rPr>
              <w:t>37.800.000</w:t>
            </w:r>
          </w:p>
        </w:tc>
      </w:tr>
    </w:tbl>
    <w:p w14:paraId="36A1389E" w14:textId="77777777" w:rsidR="007A5E59" w:rsidRPr="001552C0" w:rsidRDefault="007A5E59" w:rsidP="007A5E59">
      <w:pP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591"/>
        <w:gridCol w:w="1053"/>
        <w:gridCol w:w="531"/>
      </w:tblGrid>
      <w:tr w:rsidR="00B96B06" w:rsidRPr="001552C0" w14:paraId="12E82026" w14:textId="77777777" w:rsidTr="00031C04">
        <w:tc>
          <w:tcPr>
            <w:tcW w:w="7644" w:type="dxa"/>
            <w:gridSpan w:val="7"/>
            <w:tcBorders>
              <w:top w:val="single" w:sz="4" w:space="0" w:color="auto"/>
              <w:left w:val="single" w:sz="4" w:space="0" w:color="auto"/>
              <w:bottom w:val="single" w:sz="4" w:space="0" w:color="auto"/>
              <w:right w:val="single" w:sz="4" w:space="0" w:color="auto"/>
            </w:tcBorders>
            <w:hideMark/>
          </w:tcPr>
          <w:p w14:paraId="6205C875" w14:textId="77777777" w:rsidR="007A5E59" w:rsidRPr="001552C0" w:rsidRDefault="007A5E59" w:rsidP="00031C04">
            <w:pPr>
              <w:rPr>
                <w:b/>
                <w:iCs/>
              </w:rPr>
            </w:pPr>
            <w:r w:rsidRPr="001552C0">
              <w:rPr>
                <w:b/>
                <w:iCs/>
              </w:rPr>
              <w:t>Table 6: Dimension 3 – territorial delivery mechanism and territorial focus</w:t>
            </w:r>
          </w:p>
        </w:tc>
      </w:tr>
      <w:tr w:rsidR="00B96B06" w:rsidRPr="001552C0" w14:paraId="7531F7C9" w14:textId="77777777" w:rsidTr="00031C04">
        <w:tc>
          <w:tcPr>
            <w:tcW w:w="1599" w:type="dxa"/>
            <w:tcBorders>
              <w:top w:val="single" w:sz="4" w:space="0" w:color="auto"/>
              <w:left w:val="single" w:sz="4" w:space="0" w:color="auto"/>
              <w:bottom w:val="single" w:sz="4" w:space="0" w:color="auto"/>
              <w:right w:val="single" w:sz="4" w:space="0" w:color="auto"/>
            </w:tcBorders>
            <w:hideMark/>
          </w:tcPr>
          <w:p w14:paraId="6E261E01" w14:textId="77777777" w:rsidR="007A5E59" w:rsidRPr="001552C0" w:rsidRDefault="007A5E59" w:rsidP="00031C04">
            <w:pPr>
              <w:rPr>
                <w:b/>
                <w:iCs/>
              </w:rPr>
            </w:pPr>
            <w:r w:rsidRPr="001552C0">
              <w:rPr>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475A0227" w14:textId="77777777" w:rsidR="007A5E59" w:rsidRPr="001552C0" w:rsidRDefault="007A5E59" w:rsidP="00031C04">
            <w:pPr>
              <w:rPr>
                <w:b/>
                <w:iCs/>
              </w:rPr>
            </w:pPr>
            <w:r w:rsidRPr="001552C0">
              <w:rPr>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63115A52" w14:textId="77777777" w:rsidR="007A5E59" w:rsidRPr="001552C0" w:rsidRDefault="007A5E59" w:rsidP="00031C04">
            <w:pPr>
              <w:rPr>
                <w:b/>
                <w:iCs/>
              </w:rPr>
            </w:pPr>
            <w:r w:rsidRPr="001552C0">
              <w:rPr>
                <w:b/>
                <w:iCs/>
              </w:rPr>
              <w:t>Category of region</w:t>
            </w:r>
            <w:r w:rsidRPr="001552C0">
              <w:rPr>
                <w:b/>
                <w:iCs/>
                <w:vertAlign w:val="superscript"/>
              </w:rPr>
              <w:footnoteReference w:id="8"/>
            </w:r>
          </w:p>
        </w:tc>
        <w:tc>
          <w:tcPr>
            <w:tcW w:w="1053" w:type="dxa"/>
            <w:tcBorders>
              <w:top w:val="single" w:sz="4" w:space="0" w:color="auto"/>
              <w:left w:val="single" w:sz="4" w:space="0" w:color="auto"/>
              <w:bottom w:val="single" w:sz="4" w:space="0" w:color="auto"/>
              <w:right w:val="single" w:sz="4" w:space="0" w:color="auto"/>
            </w:tcBorders>
            <w:hideMark/>
          </w:tcPr>
          <w:p w14:paraId="2BC2F8EC" w14:textId="77777777" w:rsidR="007A5E59" w:rsidRPr="001552C0" w:rsidRDefault="007A5E59" w:rsidP="00031C04">
            <w:pPr>
              <w:rPr>
                <w:b/>
                <w:iCs/>
              </w:rPr>
            </w:pPr>
            <w:r w:rsidRPr="001552C0">
              <w:rPr>
                <w:b/>
                <w:iCs/>
              </w:rPr>
              <w:t xml:space="preserve">Code </w:t>
            </w:r>
          </w:p>
        </w:tc>
        <w:tc>
          <w:tcPr>
            <w:tcW w:w="2175" w:type="dxa"/>
            <w:gridSpan w:val="3"/>
            <w:tcBorders>
              <w:top w:val="single" w:sz="4" w:space="0" w:color="auto"/>
              <w:left w:val="single" w:sz="4" w:space="0" w:color="auto"/>
              <w:bottom w:val="single" w:sz="4" w:space="0" w:color="auto"/>
              <w:right w:val="single" w:sz="4" w:space="0" w:color="auto"/>
            </w:tcBorders>
            <w:hideMark/>
          </w:tcPr>
          <w:p w14:paraId="71D4363F" w14:textId="77777777" w:rsidR="007A5E59" w:rsidRPr="001552C0" w:rsidRDefault="007A5E59" w:rsidP="00031C04">
            <w:pPr>
              <w:rPr>
                <w:b/>
                <w:iCs/>
              </w:rPr>
            </w:pPr>
            <w:r w:rsidRPr="001552C0">
              <w:rPr>
                <w:b/>
                <w:iCs/>
              </w:rPr>
              <w:t>Amount (EUR)</w:t>
            </w:r>
          </w:p>
        </w:tc>
      </w:tr>
      <w:tr w:rsidR="00B96B06" w:rsidRPr="001552C0" w14:paraId="3C8EB31D" w14:textId="77777777" w:rsidTr="00031C04">
        <w:tc>
          <w:tcPr>
            <w:tcW w:w="1599" w:type="dxa"/>
            <w:tcBorders>
              <w:top w:val="single" w:sz="4" w:space="0" w:color="auto"/>
              <w:left w:val="single" w:sz="4" w:space="0" w:color="auto"/>
              <w:bottom w:val="single" w:sz="4" w:space="0" w:color="auto"/>
              <w:right w:val="single" w:sz="4" w:space="0" w:color="auto"/>
            </w:tcBorders>
          </w:tcPr>
          <w:p w14:paraId="18FBBF40" w14:textId="77777777" w:rsidR="007A5E59" w:rsidRPr="001552C0" w:rsidRDefault="007A5E59" w:rsidP="00031C04">
            <w:pPr>
              <w:rPr>
                <w:b/>
                <w:iCs/>
              </w:rPr>
            </w:pPr>
          </w:p>
        </w:tc>
        <w:tc>
          <w:tcPr>
            <w:tcW w:w="1384" w:type="dxa"/>
            <w:tcBorders>
              <w:top w:val="single" w:sz="4" w:space="0" w:color="auto"/>
              <w:left w:val="single" w:sz="4" w:space="0" w:color="auto"/>
              <w:bottom w:val="single" w:sz="4" w:space="0" w:color="auto"/>
              <w:right w:val="single" w:sz="4" w:space="0" w:color="auto"/>
            </w:tcBorders>
          </w:tcPr>
          <w:p w14:paraId="0CE4BD04" w14:textId="77777777" w:rsidR="007A5E59" w:rsidRPr="001552C0" w:rsidRDefault="007A5E59" w:rsidP="00031C04">
            <w:pPr>
              <w:rPr>
                <w:b/>
                <w:iCs/>
              </w:rPr>
            </w:pPr>
          </w:p>
        </w:tc>
        <w:tc>
          <w:tcPr>
            <w:tcW w:w="1433" w:type="dxa"/>
            <w:tcBorders>
              <w:top w:val="single" w:sz="4" w:space="0" w:color="auto"/>
              <w:left w:val="single" w:sz="4" w:space="0" w:color="auto"/>
              <w:bottom w:val="single" w:sz="4" w:space="0" w:color="auto"/>
              <w:right w:val="single" w:sz="4" w:space="0" w:color="auto"/>
            </w:tcBorders>
          </w:tcPr>
          <w:p w14:paraId="3E33EFDC" w14:textId="77777777" w:rsidR="007A5E59" w:rsidRPr="001552C0" w:rsidRDefault="007A5E59" w:rsidP="00031C04">
            <w:pPr>
              <w:rPr>
                <w:b/>
                <w:iCs/>
              </w:rPr>
            </w:pPr>
          </w:p>
        </w:tc>
        <w:tc>
          <w:tcPr>
            <w:tcW w:w="1644" w:type="dxa"/>
            <w:gridSpan w:val="2"/>
            <w:tcBorders>
              <w:top w:val="single" w:sz="4" w:space="0" w:color="auto"/>
              <w:left w:val="single" w:sz="4" w:space="0" w:color="auto"/>
              <w:bottom w:val="single" w:sz="4" w:space="0" w:color="auto"/>
              <w:right w:val="single" w:sz="4" w:space="0" w:color="auto"/>
            </w:tcBorders>
          </w:tcPr>
          <w:p w14:paraId="6985A79B" w14:textId="77777777" w:rsidR="007A5E59" w:rsidRPr="001552C0" w:rsidRDefault="007A5E59" w:rsidP="00031C04">
            <w:pPr>
              <w:rPr>
                <w:b/>
                <w:iCs/>
              </w:rPr>
            </w:pPr>
          </w:p>
        </w:tc>
        <w:tc>
          <w:tcPr>
            <w:tcW w:w="1053" w:type="dxa"/>
            <w:tcBorders>
              <w:top w:val="single" w:sz="4" w:space="0" w:color="auto"/>
              <w:left w:val="single" w:sz="4" w:space="0" w:color="auto"/>
              <w:bottom w:val="single" w:sz="4" w:space="0" w:color="auto"/>
              <w:right w:val="single" w:sz="4" w:space="0" w:color="auto"/>
            </w:tcBorders>
          </w:tcPr>
          <w:p w14:paraId="477BD999" w14:textId="77777777" w:rsidR="007A5E59" w:rsidRPr="001552C0" w:rsidRDefault="007A5E59" w:rsidP="00031C04">
            <w:pPr>
              <w:rPr>
                <w:b/>
                <w:iCs/>
              </w:rPr>
            </w:pPr>
          </w:p>
        </w:tc>
        <w:tc>
          <w:tcPr>
            <w:tcW w:w="531" w:type="dxa"/>
            <w:tcBorders>
              <w:top w:val="single" w:sz="4" w:space="0" w:color="auto"/>
              <w:left w:val="single" w:sz="4" w:space="0" w:color="auto"/>
              <w:bottom w:val="single" w:sz="4" w:space="0" w:color="auto"/>
              <w:right w:val="single" w:sz="4" w:space="0" w:color="auto"/>
            </w:tcBorders>
          </w:tcPr>
          <w:p w14:paraId="755798D2" w14:textId="77777777" w:rsidR="007A5E59" w:rsidRPr="001552C0" w:rsidRDefault="007A5E59" w:rsidP="00031C04">
            <w:pPr>
              <w:rPr>
                <w:b/>
                <w:iCs/>
              </w:rPr>
            </w:pPr>
          </w:p>
        </w:tc>
      </w:tr>
    </w:tbl>
    <w:p w14:paraId="3A1F02A5" w14:textId="50713C3C" w:rsidR="007A5E59" w:rsidRPr="001552C0" w:rsidRDefault="007A5E59" w:rsidP="007A5E59">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2.A.2 Specific objective</w:t>
      </w:r>
      <w:r w:rsidRPr="001552C0">
        <w:rPr>
          <w:rFonts w:ascii="Times New Roman" w:eastAsia="Times New Roman" w:hAnsi="Times New Roman" w:cs="Times New Roman"/>
          <w:b/>
          <w:bCs/>
          <w:iCs/>
          <w:noProof/>
          <w:sz w:val="24"/>
          <w:szCs w:val="24"/>
          <w:vertAlign w:val="superscript"/>
        </w:rPr>
        <w:footnoteReference w:id="9"/>
      </w:r>
      <w:r w:rsidRPr="001552C0">
        <w:rPr>
          <w:rFonts w:ascii="Times New Roman" w:eastAsia="Times New Roman" w:hAnsi="Times New Roman" w:cs="Times New Roman"/>
          <w:b/>
          <w:iCs/>
          <w:noProof/>
          <w:sz w:val="24"/>
          <w:szCs w:val="24"/>
        </w:rPr>
        <w:t xml:space="preserve">  </w:t>
      </w:r>
      <w:r w:rsidR="00175CD6" w:rsidRPr="001552C0">
        <w:rPr>
          <w:rFonts w:ascii="Times New Roman" w:eastAsia="Times New Roman" w:hAnsi="Times New Roman" w:cs="Times New Roman"/>
          <w:b/>
          <w:iCs/>
          <w:noProof/>
          <w:sz w:val="24"/>
          <w:szCs w:val="24"/>
        </w:rPr>
        <w:t xml:space="preserve"> </w:t>
      </w:r>
      <w:r w:rsidRPr="001552C0">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0B2DB742" w14:textId="77777777" w:rsidR="00175CD6" w:rsidRPr="001552C0" w:rsidRDefault="00175CD6" w:rsidP="00175CD6">
      <w:pPr>
        <w:spacing w:before="120" w:after="120" w:line="360" w:lineRule="auto"/>
        <w:rPr>
          <w:rFonts w:ascii="Times New Roman" w:eastAsia="Times New Roman" w:hAnsi="Times New Roman" w:cs="Times New Roman"/>
          <w:b/>
          <w:i/>
          <w:iCs/>
          <w:noProof/>
          <w:szCs w:val="24"/>
        </w:rPr>
      </w:pPr>
      <w:r w:rsidRPr="001552C0">
        <w:rPr>
          <w:rFonts w:ascii="Times New Roman" w:eastAsia="Times New Roman" w:hAnsi="Times New Roman" w:cs="Times New Roman"/>
          <w:b/>
          <w:i/>
          <w:iCs/>
          <w:noProof/>
          <w:szCs w:val="24"/>
        </w:rPr>
        <w:t>Obiectiv specific FEDR/FC (v) Promovarea managementului durabil al apei</w:t>
      </w:r>
    </w:p>
    <w:p w14:paraId="2D2A5F49" w14:textId="77777777" w:rsidR="007A5507" w:rsidRPr="001552C0" w:rsidRDefault="007A5507" w:rsidP="007A5507">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2.A.3.1 Interventions of the Funds</w:t>
      </w:r>
    </w:p>
    <w:p w14:paraId="4D964A23" w14:textId="1878A081" w:rsidR="007A5507" w:rsidRPr="001552C0" w:rsidRDefault="007A5507" w:rsidP="007A5507">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Reference: Article 17(3)(d)(i),(iii),</w:t>
      </w:r>
      <w:r w:rsidR="001C710D" w:rsidRPr="001552C0">
        <w:rPr>
          <w:rFonts w:ascii="Times New Roman" w:eastAsia="Times New Roman" w:hAnsi="Times New Roman" w:cs="Times New Roman"/>
          <w:b/>
          <w:i/>
          <w:noProof/>
          <w:sz w:val="24"/>
          <w:szCs w:val="24"/>
        </w:rPr>
        <w:t xml:space="preserve">(iiia), </w:t>
      </w:r>
      <w:r w:rsidRPr="001552C0">
        <w:rPr>
          <w:rFonts w:ascii="Times New Roman" w:eastAsia="Times New Roman" w:hAnsi="Times New Roman" w:cs="Times New Roman"/>
          <w:i/>
          <w:noProof/>
          <w:sz w:val="24"/>
          <w:szCs w:val="24"/>
        </w:rPr>
        <w:t>(iv),(v),(vi);</w:t>
      </w:r>
    </w:p>
    <w:p w14:paraId="19A6F9A8" w14:textId="2320AF7A" w:rsidR="007A5507" w:rsidRPr="001552C0" w:rsidRDefault="007A5507" w:rsidP="007A5507">
      <w:pPr>
        <w:bidi/>
        <w:spacing w:before="120" w:after="120" w:line="360" w:lineRule="auto"/>
        <w:jc w:val="right"/>
        <w:rPr>
          <w:rFonts w:ascii="Times New Roman" w:eastAsia="Times New Roman" w:hAnsi="Times New Roman" w:cs="Times New Roman"/>
          <w:b/>
          <w:bCs/>
          <w:i/>
          <w:iCs/>
          <w:noProof/>
          <w:sz w:val="24"/>
          <w:szCs w:val="24"/>
        </w:rPr>
      </w:pPr>
      <w:r w:rsidRPr="001552C0">
        <w:rPr>
          <w:rFonts w:ascii="Times New Roman" w:eastAsia="Times New Roman" w:hAnsi="Times New Roman" w:cs="Times New Roman"/>
          <w:i/>
          <w:noProof/>
          <w:sz w:val="24"/>
          <w:szCs w:val="24"/>
        </w:rPr>
        <w:lastRenderedPageBreak/>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7A5507" w:rsidRPr="001552C0" w14:paraId="7B4F6B64" w14:textId="77777777" w:rsidTr="001D27CD">
        <w:tc>
          <w:tcPr>
            <w:tcW w:w="9288" w:type="dxa"/>
            <w:tcBorders>
              <w:top w:val="single" w:sz="4" w:space="0" w:color="auto"/>
              <w:left w:val="single" w:sz="4" w:space="0" w:color="auto"/>
              <w:bottom w:val="single" w:sz="4" w:space="0" w:color="auto"/>
              <w:right w:val="single" w:sz="4" w:space="0" w:color="auto"/>
            </w:tcBorders>
            <w:hideMark/>
          </w:tcPr>
          <w:p w14:paraId="488EB98C" w14:textId="6D26A0D9" w:rsidR="00E20A06" w:rsidRPr="001552C0" w:rsidRDefault="007A5507" w:rsidP="007A5507">
            <w:pPr>
              <w:spacing w:before="120" w:after="120" w:line="360" w:lineRule="auto"/>
              <w:rPr>
                <w:rFonts w:ascii="Times New Roman" w:eastAsia="Times New Roman" w:hAnsi="Times New Roman" w:cs="Times New Roman"/>
                <w:i/>
                <w:iCs/>
                <w:noProof/>
                <w:szCs w:val="24"/>
              </w:rPr>
            </w:pPr>
            <w:r w:rsidRPr="001552C0">
              <w:rPr>
                <w:rFonts w:ascii="Times New Roman" w:eastAsia="Times New Roman" w:hAnsi="Times New Roman" w:cs="Times New Roman"/>
                <w:i/>
                <w:iCs/>
                <w:noProof/>
                <w:szCs w:val="24"/>
              </w:rPr>
              <w:t>Te</w:t>
            </w:r>
            <w:r w:rsidR="00027526" w:rsidRPr="001552C0">
              <w:rPr>
                <w:rFonts w:ascii="Times New Roman" w:eastAsia="Times New Roman" w:hAnsi="Times New Roman" w:cs="Times New Roman"/>
                <w:i/>
                <w:iCs/>
                <w:noProof/>
                <w:szCs w:val="24"/>
              </w:rPr>
              <w:t>xt field [8 000]</w:t>
            </w:r>
          </w:p>
          <w:p w14:paraId="4DA54DF1" w14:textId="2EA6C66C" w:rsidR="007A5507" w:rsidRPr="001552C0" w:rsidRDefault="00064DE1" w:rsidP="007A3C3E">
            <w:pPr>
              <w:rPr>
                <w:rFonts w:cstheme="minorHAnsi"/>
                <w:b/>
                <w:i/>
                <w:sz w:val="24"/>
                <w:szCs w:val="24"/>
              </w:rPr>
            </w:pPr>
            <w:r>
              <w:rPr>
                <w:rFonts w:cstheme="minorHAnsi"/>
                <w:b/>
                <w:i/>
                <w:sz w:val="24"/>
                <w:szCs w:val="24"/>
              </w:rPr>
              <w:t xml:space="preserve">Acțiunea </w:t>
            </w:r>
            <w:r w:rsidR="0041213E" w:rsidRPr="001552C0">
              <w:rPr>
                <w:rFonts w:cstheme="minorHAnsi"/>
                <w:b/>
                <w:i/>
                <w:sz w:val="24"/>
                <w:szCs w:val="24"/>
              </w:rPr>
              <w:t xml:space="preserve">2.1 </w:t>
            </w:r>
            <w:r w:rsidR="007A5507" w:rsidRPr="001552C0">
              <w:rPr>
                <w:rFonts w:cstheme="minorHAnsi"/>
                <w:b/>
                <w:i/>
                <w:sz w:val="24"/>
                <w:szCs w:val="24"/>
              </w:rPr>
              <w:t>Investiții în sectorul apei și apei uzate, pentru a</w:t>
            </w:r>
            <w:r w:rsidR="00027526" w:rsidRPr="001552C0">
              <w:rPr>
                <w:rFonts w:cstheme="minorHAnsi"/>
                <w:b/>
                <w:i/>
                <w:sz w:val="24"/>
                <w:szCs w:val="24"/>
              </w:rPr>
              <w:t xml:space="preserve"> îndeplini cerințele directivelor</w:t>
            </w:r>
            <w:r w:rsidR="007A5507" w:rsidRPr="001552C0">
              <w:rPr>
                <w:rFonts w:cstheme="minorHAnsi"/>
                <w:b/>
                <w:i/>
                <w:sz w:val="24"/>
                <w:szCs w:val="24"/>
              </w:rPr>
              <w:t xml:space="preserve"> de mediu</w:t>
            </w:r>
          </w:p>
          <w:p w14:paraId="59ABE633" w14:textId="5ECB46CE" w:rsidR="00395A0E" w:rsidRPr="001552C0" w:rsidRDefault="001B4C14" w:rsidP="007A3C3E">
            <w:pPr>
              <w:jc w:val="both"/>
              <w:rPr>
                <w:rFonts w:cstheme="minorHAnsi"/>
                <w:sz w:val="24"/>
                <w:szCs w:val="24"/>
              </w:rPr>
            </w:pPr>
            <w:r w:rsidRPr="001552C0">
              <w:rPr>
                <w:rFonts w:cstheme="minorHAnsi"/>
                <w:sz w:val="24"/>
                <w:szCs w:val="24"/>
              </w:rPr>
              <w:t>Investițiile</w:t>
            </w:r>
            <w:r w:rsidR="003C033A" w:rsidRPr="001552C0">
              <w:rPr>
                <w:rFonts w:cstheme="minorHAnsi"/>
                <w:sz w:val="24"/>
                <w:szCs w:val="24"/>
              </w:rPr>
              <w:t xml:space="preserve"> PODD vor viza</w:t>
            </w:r>
            <w:r w:rsidR="001C710D" w:rsidRPr="001552C0">
              <w:rPr>
                <w:rFonts w:cstheme="minorHAnsi"/>
                <w:sz w:val="24"/>
                <w:szCs w:val="24"/>
              </w:rPr>
              <w:t xml:space="preserve"> î</w:t>
            </w:r>
            <w:r w:rsidR="003C033A" w:rsidRPr="001552C0">
              <w:rPr>
                <w:rFonts w:cstheme="minorHAnsi"/>
                <w:sz w:val="24"/>
                <w:szCs w:val="24"/>
              </w:rPr>
              <w:t xml:space="preserve">ndeplinirea obligaţiilor ce rezultă din Tratatul de Aderare </w:t>
            </w:r>
            <w:r w:rsidR="00F167FD" w:rsidRPr="001552C0">
              <w:rPr>
                <w:rFonts w:cstheme="minorHAnsi"/>
                <w:sz w:val="24"/>
                <w:szCs w:val="24"/>
              </w:rPr>
              <w:t>c</w:t>
            </w:r>
            <w:r w:rsidRPr="001552C0">
              <w:rPr>
                <w:rFonts w:cstheme="minorHAnsi"/>
                <w:sz w:val="24"/>
                <w:szCs w:val="24"/>
              </w:rPr>
              <w:t>a</w:t>
            </w:r>
            <w:r w:rsidR="00F167FD" w:rsidRPr="001552C0">
              <w:rPr>
                <w:rFonts w:cstheme="minorHAnsi"/>
                <w:sz w:val="24"/>
                <w:szCs w:val="24"/>
              </w:rPr>
              <w:t xml:space="preserve">re </w:t>
            </w:r>
            <w:r w:rsidR="003C033A" w:rsidRPr="001552C0">
              <w:rPr>
                <w:rFonts w:cstheme="minorHAnsi"/>
                <w:sz w:val="24"/>
                <w:szCs w:val="24"/>
              </w:rPr>
              <w:t>răspund Directivei nr. 98/83/CE privind calitatea apei destinate consumului uman şi Directivei nr. 91/271/CEE privind colectarea şi epurarea apelor uzate, pentru care România a primit perioade de tranziţie în vederea conformării.</w:t>
            </w:r>
            <w:r w:rsidR="00513199" w:rsidRPr="001552C0">
              <w:rPr>
                <w:rFonts w:cstheme="minorHAnsi"/>
                <w:sz w:val="24"/>
                <w:szCs w:val="24"/>
              </w:rPr>
              <w:t xml:space="preserve"> A</w:t>
            </w:r>
            <w:r w:rsidR="00395A0E" w:rsidRPr="001552C0">
              <w:rPr>
                <w:rFonts w:cstheme="minorHAnsi"/>
                <w:sz w:val="24"/>
                <w:szCs w:val="24"/>
              </w:rPr>
              <w:t>st</w:t>
            </w:r>
            <w:r w:rsidR="00513199" w:rsidRPr="001552C0">
              <w:rPr>
                <w:rFonts w:cstheme="minorHAnsi"/>
                <w:sz w:val="24"/>
                <w:szCs w:val="24"/>
              </w:rPr>
              <w:t xml:space="preserve">fel, până în decembrie 2015 era </w:t>
            </w:r>
            <w:r w:rsidRPr="001552C0">
              <w:rPr>
                <w:rFonts w:cstheme="minorHAnsi"/>
                <w:sz w:val="24"/>
                <w:szCs w:val="24"/>
              </w:rPr>
              <w:t>prevăzută</w:t>
            </w:r>
            <w:r w:rsidR="00395A0E" w:rsidRPr="001552C0">
              <w:rPr>
                <w:rFonts w:cstheme="minorHAnsi"/>
                <w:sz w:val="24"/>
                <w:szCs w:val="24"/>
              </w:rPr>
              <w:t xml:space="preserve"> conformarea cu anumiți parametri ai apei po</w:t>
            </w:r>
            <w:r w:rsidR="00513199" w:rsidRPr="001552C0">
              <w:rPr>
                <w:rFonts w:cstheme="minorHAnsi"/>
                <w:sz w:val="24"/>
                <w:szCs w:val="24"/>
              </w:rPr>
              <w:t>tabile, iar până în 2018 trebuiau</w:t>
            </w:r>
            <w:r w:rsidR="00395A0E" w:rsidRPr="001552C0">
              <w:rPr>
                <w:rFonts w:cstheme="minorHAnsi"/>
                <w:sz w:val="24"/>
                <w:szCs w:val="24"/>
              </w:rPr>
              <w:t xml:space="preserve"> îndeplinite obligațiile privind colectarea și tratarea apei uzate în aglomerările cu peste 2000 l.e., cu </w:t>
            </w:r>
            <w:r w:rsidR="00513199" w:rsidRPr="001552C0">
              <w:rPr>
                <w:rFonts w:cstheme="minorHAnsi"/>
                <w:sz w:val="24"/>
                <w:szCs w:val="24"/>
              </w:rPr>
              <w:t xml:space="preserve">respectarea </w:t>
            </w:r>
            <w:r w:rsidR="00395A0E" w:rsidRPr="001552C0">
              <w:rPr>
                <w:rFonts w:cstheme="minorHAnsi"/>
                <w:sz w:val="24"/>
                <w:szCs w:val="24"/>
              </w:rPr>
              <w:t>termene</w:t>
            </w:r>
            <w:r w:rsidR="00513199" w:rsidRPr="001552C0">
              <w:rPr>
                <w:rFonts w:cstheme="minorHAnsi"/>
                <w:sz w:val="24"/>
                <w:szCs w:val="24"/>
              </w:rPr>
              <w:t>lor</w:t>
            </w:r>
            <w:r w:rsidR="00395A0E" w:rsidRPr="001552C0">
              <w:rPr>
                <w:rFonts w:cstheme="minorHAnsi"/>
                <w:sz w:val="24"/>
                <w:szCs w:val="24"/>
              </w:rPr>
              <w:t xml:space="preserve"> i</w:t>
            </w:r>
            <w:r w:rsidR="00513199" w:rsidRPr="001552C0">
              <w:rPr>
                <w:rFonts w:cstheme="minorHAnsi"/>
                <w:sz w:val="24"/>
                <w:szCs w:val="24"/>
              </w:rPr>
              <w:t>ntermediare, respectiv:</w:t>
            </w:r>
          </w:p>
          <w:p w14:paraId="32AB0F97" w14:textId="77777777" w:rsidR="00513199" w:rsidRPr="001552C0" w:rsidRDefault="00513199" w:rsidP="007A3C3E">
            <w:pPr>
              <w:numPr>
                <w:ilvl w:val="0"/>
                <w:numId w:val="59"/>
              </w:numPr>
              <w:jc w:val="both"/>
              <w:rPr>
                <w:rFonts w:cstheme="minorHAnsi"/>
                <w:sz w:val="24"/>
                <w:szCs w:val="24"/>
              </w:rPr>
            </w:pPr>
            <w:r w:rsidRPr="001552C0">
              <w:rPr>
                <w:rFonts w:cstheme="minorHAnsi"/>
                <w:b/>
                <w:sz w:val="24"/>
                <w:szCs w:val="24"/>
              </w:rPr>
              <w:t>31 decembrie 2015</w:t>
            </w:r>
            <w:r w:rsidRPr="001552C0">
              <w:rPr>
                <w:rFonts w:cstheme="minorHAnsi"/>
                <w:sz w:val="24"/>
                <w:szCs w:val="24"/>
              </w:rPr>
              <w:t xml:space="preserve"> – toate </w:t>
            </w:r>
            <w:r w:rsidRPr="001552C0">
              <w:rPr>
                <w:rFonts w:cstheme="minorHAnsi"/>
                <w:b/>
                <w:sz w:val="24"/>
                <w:szCs w:val="24"/>
              </w:rPr>
              <w:t>aglomerările mai mari de 10.000</w:t>
            </w:r>
            <w:r w:rsidRPr="001552C0">
              <w:rPr>
                <w:rFonts w:cstheme="minorHAnsi"/>
                <w:sz w:val="24"/>
                <w:szCs w:val="24"/>
              </w:rPr>
              <w:t xml:space="preserve"> l.e. să se conformeze din punct de vedere al colectării și epurării avansate a apelor uzate;</w:t>
            </w:r>
          </w:p>
          <w:p w14:paraId="6781DE42" w14:textId="77777777" w:rsidR="00513199" w:rsidRPr="001552C0" w:rsidRDefault="00513199" w:rsidP="007A3C3E">
            <w:pPr>
              <w:numPr>
                <w:ilvl w:val="0"/>
                <w:numId w:val="59"/>
              </w:numPr>
              <w:jc w:val="both"/>
              <w:rPr>
                <w:rFonts w:cstheme="minorHAnsi"/>
                <w:sz w:val="24"/>
                <w:szCs w:val="24"/>
              </w:rPr>
            </w:pPr>
            <w:r w:rsidRPr="001552C0">
              <w:rPr>
                <w:rFonts w:cstheme="minorHAnsi"/>
                <w:b/>
                <w:sz w:val="24"/>
                <w:szCs w:val="24"/>
              </w:rPr>
              <w:t>31 decembrie 2018</w:t>
            </w:r>
            <w:r w:rsidRPr="001552C0">
              <w:rPr>
                <w:rFonts w:cstheme="minorHAnsi"/>
                <w:sz w:val="24"/>
                <w:szCs w:val="24"/>
              </w:rPr>
              <w:t xml:space="preserve"> – toate </w:t>
            </w:r>
            <w:r w:rsidRPr="001552C0">
              <w:rPr>
                <w:rFonts w:cstheme="minorHAnsi"/>
                <w:b/>
                <w:sz w:val="24"/>
                <w:szCs w:val="24"/>
              </w:rPr>
              <w:t>aglomerările cu 2.000-10.000 l.e</w:t>
            </w:r>
            <w:r w:rsidRPr="001552C0">
              <w:rPr>
                <w:rFonts w:cstheme="minorHAnsi"/>
                <w:sz w:val="24"/>
                <w:szCs w:val="24"/>
              </w:rPr>
              <w:t>. să se conformeze din punct de vedere al colectării și epurării secundare a apelor uzate.</w:t>
            </w:r>
          </w:p>
          <w:p w14:paraId="7C3871F9" w14:textId="566157DB" w:rsidR="00513199" w:rsidRPr="001552C0" w:rsidRDefault="00513199" w:rsidP="007A3C3E">
            <w:pPr>
              <w:jc w:val="both"/>
              <w:rPr>
                <w:rFonts w:cstheme="minorHAnsi"/>
                <w:sz w:val="24"/>
                <w:szCs w:val="24"/>
              </w:rPr>
            </w:pPr>
            <w:r w:rsidRPr="001552C0">
              <w:rPr>
                <w:rFonts w:cstheme="minorHAnsi"/>
                <w:sz w:val="24"/>
                <w:szCs w:val="24"/>
              </w:rPr>
              <w:t xml:space="preserve">Conform </w:t>
            </w:r>
            <w:r w:rsidR="001C710D" w:rsidRPr="001552C0">
              <w:rPr>
                <w:rFonts w:cstheme="minorHAnsi"/>
                <w:sz w:val="24"/>
                <w:szCs w:val="24"/>
              </w:rPr>
              <w:t>raportării</w:t>
            </w:r>
            <w:r w:rsidRPr="001552C0">
              <w:rPr>
                <w:rFonts w:cstheme="minorHAnsi"/>
                <w:sz w:val="24"/>
                <w:szCs w:val="24"/>
              </w:rPr>
              <w:t xml:space="preserve"> Ministerul</w:t>
            </w:r>
            <w:r w:rsidR="001C710D" w:rsidRPr="001552C0">
              <w:rPr>
                <w:rFonts w:cstheme="minorHAnsi"/>
                <w:sz w:val="24"/>
                <w:szCs w:val="24"/>
              </w:rPr>
              <w:t>ui</w:t>
            </w:r>
            <w:r w:rsidRPr="001552C0">
              <w:rPr>
                <w:rFonts w:cstheme="minorHAnsi"/>
                <w:sz w:val="24"/>
                <w:szCs w:val="24"/>
              </w:rPr>
              <w:t xml:space="preserve"> Apelor și Pădurilor, în ceea ce privește</w:t>
            </w:r>
            <w:r w:rsidR="001C710D" w:rsidRPr="001552C0">
              <w:rPr>
                <w:rFonts w:cstheme="minorHAnsi"/>
                <w:sz w:val="24"/>
                <w:szCs w:val="24"/>
              </w:rPr>
              <w:t xml:space="preserve"> </w:t>
            </w:r>
            <w:r w:rsidR="0015356C" w:rsidRPr="001552C0">
              <w:rPr>
                <w:rFonts w:cstheme="minorHAnsi"/>
                <w:sz w:val="24"/>
                <w:szCs w:val="24"/>
              </w:rPr>
              <w:t>apa uzat</w:t>
            </w:r>
            <w:r w:rsidR="001C710D" w:rsidRPr="001552C0">
              <w:rPr>
                <w:rFonts w:cstheme="minorHAnsi"/>
                <w:sz w:val="24"/>
                <w:szCs w:val="24"/>
              </w:rPr>
              <w:t>ă</w:t>
            </w:r>
            <w:r w:rsidR="0015356C" w:rsidRPr="001552C0">
              <w:rPr>
                <w:rFonts w:cstheme="minorHAnsi"/>
                <w:sz w:val="24"/>
                <w:szCs w:val="24"/>
              </w:rPr>
              <w:t xml:space="preserve">, </w:t>
            </w:r>
            <w:r w:rsidRPr="001552C0">
              <w:rPr>
                <w:rFonts w:cstheme="minorHAnsi"/>
                <w:sz w:val="24"/>
                <w:szCs w:val="24"/>
              </w:rPr>
              <w:t xml:space="preserve"> </w:t>
            </w:r>
            <w:r w:rsidRPr="001552C0">
              <w:rPr>
                <w:rFonts w:cstheme="minorHAnsi"/>
                <w:b/>
                <w:sz w:val="24"/>
                <w:szCs w:val="24"/>
              </w:rPr>
              <w:t>conformarea aglomerărilor,</w:t>
            </w:r>
            <w:r w:rsidRPr="001552C0">
              <w:rPr>
                <w:rFonts w:cstheme="minorHAnsi"/>
                <w:sz w:val="24"/>
                <w:szCs w:val="24"/>
              </w:rPr>
              <w:t xml:space="preserve"> în </w:t>
            </w:r>
            <w:r w:rsidRPr="001552C0">
              <w:rPr>
                <w:rFonts w:cstheme="minorHAnsi"/>
                <w:b/>
                <w:sz w:val="24"/>
                <w:szCs w:val="24"/>
              </w:rPr>
              <w:t>decembrie 201</w:t>
            </w:r>
            <w:r w:rsidR="00DA768E" w:rsidRPr="001552C0">
              <w:rPr>
                <w:rFonts w:cstheme="minorHAnsi"/>
                <w:b/>
                <w:sz w:val="24"/>
                <w:szCs w:val="24"/>
              </w:rPr>
              <w:t>9</w:t>
            </w:r>
            <w:r w:rsidRPr="001552C0">
              <w:rPr>
                <w:rFonts w:cstheme="minorHAnsi"/>
                <w:sz w:val="24"/>
                <w:szCs w:val="24"/>
              </w:rPr>
              <w:t xml:space="preserve"> situația era:</w:t>
            </w:r>
          </w:p>
          <w:p w14:paraId="51E4B9BB" w14:textId="0070CE59" w:rsidR="001B5B35" w:rsidRPr="001552C0" w:rsidRDefault="001B5B35" w:rsidP="007A3C3E">
            <w:pPr>
              <w:numPr>
                <w:ilvl w:val="0"/>
                <w:numId w:val="59"/>
              </w:numPr>
              <w:jc w:val="both"/>
              <w:rPr>
                <w:rFonts w:cstheme="minorHAnsi"/>
                <w:sz w:val="24"/>
                <w:szCs w:val="24"/>
              </w:rPr>
            </w:pPr>
            <w:r w:rsidRPr="001552C0">
              <w:rPr>
                <w:rFonts w:cstheme="minorHAnsi"/>
                <w:b/>
                <w:sz w:val="24"/>
                <w:szCs w:val="24"/>
              </w:rPr>
              <w:t>Gradul de colectare a apelor uzate</w:t>
            </w:r>
            <w:r w:rsidRPr="001552C0">
              <w:rPr>
                <w:rFonts w:cstheme="minorHAnsi"/>
                <w:sz w:val="24"/>
                <w:szCs w:val="24"/>
              </w:rPr>
              <w:t xml:space="preserve"> </w:t>
            </w:r>
            <w:r w:rsidR="00C17437" w:rsidRPr="001552C0">
              <w:rPr>
                <w:rFonts w:cstheme="minorHAnsi"/>
                <w:sz w:val="24"/>
                <w:szCs w:val="24"/>
              </w:rPr>
              <w:t>–</w:t>
            </w:r>
            <w:r w:rsidRPr="001552C0">
              <w:rPr>
                <w:rFonts w:cstheme="minorHAnsi"/>
                <w:sz w:val="24"/>
                <w:szCs w:val="24"/>
              </w:rPr>
              <w:t xml:space="preserve"> </w:t>
            </w:r>
            <w:r w:rsidR="00C17437" w:rsidRPr="001552C0">
              <w:rPr>
                <w:rFonts w:cstheme="minorHAnsi"/>
                <w:sz w:val="24"/>
                <w:szCs w:val="24"/>
              </w:rPr>
              <w:t>8</w:t>
            </w:r>
            <w:r w:rsidR="00DA768E" w:rsidRPr="001552C0">
              <w:rPr>
                <w:rFonts w:cstheme="minorHAnsi"/>
                <w:sz w:val="24"/>
                <w:szCs w:val="24"/>
              </w:rPr>
              <w:t>6</w:t>
            </w:r>
            <w:r w:rsidR="00C17437" w:rsidRPr="001552C0">
              <w:rPr>
                <w:rFonts w:cstheme="minorHAnsi"/>
                <w:sz w:val="24"/>
                <w:szCs w:val="24"/>
              </w:rPr>
              <w:t>,</w:t>
            </w:r>
            <w:r w:rsidR="00DA768E" w:rsidRPr="001552C0">
              <w:rPr>
                <w:rFonts w:cstheme="minorHAnsi"/>
                <w:sz w:val="24"/>
                <w:szCs w:val="24"/>
              </w:rPr>
              <w:t>6</w:t>
            </w:r>
            <w:r w:rsidR="00C17437" w:rsidRPr="001552C0">
              <w:rPr>
                <w:rFonts w:cstheme="minorHAnsi"/>
                <w:sz w:val="24"/>
                <w:szCs w:val="24"/>
              </w:rPr>
              <w:t>5</w:t>
            </w:r>
            <w:r w:rsidR="005B1276" w:rsidRPr="001552C0">
              <w:rPr>
                <w:rFonts w:cstheme="minorHAnsi"/>
                <w:sz w:val="24"/>
                <w:szCs w:val="24"/>
              </w:rPr>
              <w:t>%</w:t>
            </w:r>
            <w:r w:rsidRPr="001552C0">
              <w:rPr>
                <w:rFonts w:cstheme="minorHAnsi"/>
                <w:sz w:val="24"/>
                <w:szCs w:val="24"/>
              </w:rPr>
              <w:t xml:space="preserve"> </w:t>
            </w:r>
            <w:r w:rsidRPr="001552C0">
              <w:rPr>
                <w:rFonts w:cstheme="minorHAnsi"/>
                <w:b/>
                <w:sz w:val="24"/>
                <w:szCs w:val="24"/>
              </w:rPr>
              <w:t>în aglomer</w:t>
            </w:r>
            <w:r w:rsidR="007A014E" w:rsidRPr="001552C0">
              <w:rPr>
                <w:rFonts w:cstheme="minorHAnsi"/>
                <w:b/>
                <w:sz w:val="24"/>
                <w:szCs w:val="24"/>
              </w:rPr>
              <w:t>ările cu populația echivalentă mai mare de</w:t>
            </w:r>
            <w:r w:rsidRPr="001552C0">
              <w:rPr>
                <w:rFonts w:cstheme="minorHAnsi"/>
                <w:b/>
                <w:sz w:val="24"/>
                <w:szCs w:val="24"/>
              </w:rPr>
              <w:t xml:space="preserve"> 10.000</w:t>
            </w:r>
            <w:r w:rsidR="007A014E" w:rsidRPr="001552C0">
              <w:rPr>
                <w:rFonts w:cstheme="minorHAnsi"/>
                <w:b/>
                <w:sz w:val="24"/>
                <w:szCs w:val="24"/>
              </w:rPr>
              <w:t xml:space="preserve"> l.e. si</w:t>
            </w:r>
            <w:r w:rsidRPr="001552C0">
              <w:rPr>
                <w:rFonts w:cstheme="minorHAnsi"/>
                <w:b/>
                <w:sz w:val="24"/>
                <w:szCs w:val="24"/>
              </w:rPr>
              <w:t xml:space="preserve"> 6</w:t>
            </w:r>
            <w:r w:rsidR="00DA768E" w:rsidRPr="001552C0">
              <w:rPr>
                <w:rFonts w:cstheme="minorHAnsi"/>
                <w:b/>
                <w:sz w:val="24"/>
                <w:szCs w:val="24"/>
              </w:rPr>
              <w:t>4</w:t>
            </w:r>
            <w:r w:rsidRPr="001552C0">
              <w:rPr>
                <w:rFonts w:cstheme="minorHAnsi"/>
                <w:b/>
                <w:sz w:val="24"/>
                <w:szCs w:val="24"/>
              </w:rPr>
              <w:t>,</w:t>
            </w:r>
            <w:r w:rsidR="00DA768E" w:rsidRPr="001552C0">
              <w:rPr>
                <w:rFonts w:cstheme="minorHAnsi"/>
                <w:b/>
                <w:sz w:val="24"/>
                <w:szCs w:val="24"/>
              </w:rPr>
              <w:t>2</w:t>
            </w:r>
            <w:r w:rsidRPr="001552C0">
              <w:rPr>
                <w:rFonts w:cstheme="minorHAnsi"/>
                <w:b/>
                <w:sz w:val="24"/>
                <w:szCs w:val="24"/>
              </w:rPr>
              <w:t>% in aglomerările umane cu mai mult de 2.000 l.e</w:t>
            </w:r>
            <w:r w:rsidR="007A014E" w:rsidRPr="001552C0">
              <w:rPr>
                <w:rFonts w:cstheme="minorHAnsi"/>
                <w:b/>
                <w:sz w:val="24"/>
                <w:szCs w:val="24"/>
              </w:rPr>
              <w:t>.</w:t>
            </w:r>
          </w:p>
          <w:p w14:paraId="1FAF7C1A" w14:textId="2276C732" w:rsidR="007A014E" w:rsidRPr="001552C0" w:rsidRDefault="007A014E" w:rsidP="007A3C3E">
            <w:pPr>
              <w:numPr>
                <w:ilvl w:val="0"/>
                <w:numId w:val="59"/>
              </w:numPr>
              <w:jc w:val="both"/>
              <w:rPr>
                <w:rFonts w:cstheme="minorHAnsi"/>
                <w:b/>
                <w:sz w:val="24"/>
                <w:szCs w:val="24"/>
              </w:rPr>
            </w:pPr>
            <w:r w:rsidRPr="001552C0">
              <w:rPr>
                <w:rFonts w:cstheme="minorHAnsi"/>
                <w:b/>
                <w:sz w:val="24"/>
                <w:szCs w:val="24"/>
              </w:rPr>
              <w:t xml:space="preserve">Gradul de epurare a apelor uzate </w:t>
            </w:r>
            <w:r w:rsidR="006E4166" w:rsidRPr="001552C0">
              <w:rPr>
                <w:rFonts w:cstheme="minorHAnsi"/>
                <w:b/>
                <w:sz w:val="24"/>
                <w:szCs w:val="24"/>
              </w:rPr>
              <w:t>–</w:t>
            </w:r>
            <w:r w:rsidRPr="001552C0">
              <w:rPr>
                <w:rFonts w:cstheme="minorHAnsi"/>
                <w:b/>
                <w:sz w:val="24"/>
                <w:szCs w:val="24"/>
              </w:rPr>
              <w:t xml:space="preserve"> </w:t>
            </w:r>
            <w:r w:rsidR="00DA768E" w:rsidRPr="001552C0">
              <w:rPr>
                <w:rFonts w:cstheme="minorHAnsi"/>
                <w:b/>
                <w:sz w:val="24"/>
                <w:szCs w:val="24"/>
              </w:rPr>
              <w:t>82,87</w:t>
            </w:r>
            <w:r w:rsidR="005B1276" w:rsidRPr="001552C0">
              <w:rPr>
                <w:rFonts w:cstheme="minorHAnsi"/>
                <w:b/>
                <w:sz w:val="24"/>
                <w:szCs w:val="24"/>
              </w:rPr>
              <w:t>%</w:t>
            </w:r>
            <w:r w:rsidRPr="001552C0">
              <w:rPr>
                <w:rFonts w:cstheme="minorHAnsi"/>
                <w:b/>
                <w:sz w:val="24"/>
                <w:szCs w:val="24"/>
              </w:rPr>
              <w:t xml:space="preserve"> în aglomerările cu populația echivalentă mai mare de 10.000 l.e. si </w:t>
            </w:r>
            <w:r w:rsidR="00DA768E" w:rsidRPr="001552C0">
              <w:rPr>
                <w:rFonts w:cstheme="minorHAnsi"/>
                <w:b/>
                <w:sz w:val="24"/>
                <w:szCs w:val="24"/>
              </w:rPr>
              <w:t>60,87</w:t>
            </w:r>
            <w:r w:rsidRPr="001552C0">
              <w:rPr>
                <w:rFonts w:cstheme="minorHAnsi"/>
                <w:b/>
                <w:sz w:val="24"/>
                <w:szCs w:val="24"/>
              </w:rPr>
              <w:t>% in aglomerările umane cu mai mult de 2.000 l.e.</w:t>
            </w:r>
          </w:p>
          <w:p w14:paraId="5BE96E0E" w14:textId="77777777" w:rsidR="00082532" w:rsidRPr="001552C0" w:rsidRDefault="00082532" w:rsidP="007A3C3E">
            <w:pPr>
              <w:jc w:val="both"/>
              <w:rPr>
                <w:rFonts w:cstheme="minorHAnsi"/>
                <w:sz w:val="24"/>
                <w:szCs w:val="24"/>
              </w:rPr>
            </w:pPr>
            <w:r w:rsidRPr="001552C0">
              <w:rPr>
                <w:rFonts w:cstheme="minorHAnsi"/>
                <w:sz w:val="24"/>
                <w:szCs w:val="24"/>
              </w:rPr>
              <w:t xml:space="preserve">Majoritatea aglomerărilor </w:t>
            </w:r>
            <w:r w:rsidRPr="001552C0">
              <w:rPr>
                <w:rFonts w:cstheme="minorHAnsi"/>
                <w:b/>
                <w:sz w:val="24"/>
                <w:szCs w:val="24"/>
              </w:rPr>
              <w:t>mai mari de 10.000 l.</w:t>
            </w:r>
            <w:r w:rsidRPr="001552C0">
              <w:rPr>
                <w:rFonts w:cstheme="minorHAnsi"/>
                <w:sz w:val="24"/>
                <w:szCs w:val="24"/>
              </w:rPr>
              <w:t>e. au fost incluse în aplicații de finanțare prin politica de coeziune (POSM și POIM).</w:t>
            </w:r>
          </w:p>
          <w:p w14:paraId="1EFE6F71" w14:textId="615C0770" w:rsidR="00DF5EBF" w:rsidRPr="001552C0" w:rsidRDefault="00487C6B" w:rsidP="007A3C3E">
            <w:pPr>
              <w:jc w:val="both"/>
              <w:rPr>
                <w:rFonts w:cstheme="minorHAnsi"/>
                <w:sz w:val="24"/>
                <w:szCs w:val="24"/>
              </w:rPr>
            </w:pPr>
            <w:r w:rsidRPr="001552C0">
              <w:rPr>
                <w:rFonts w:cstheme="minorHAnsi"/>
                <w:b/>
                <w:sz w:val="24"/>
                <w:szCs w:val="24"/>
              </w:rPr>
              <w:t>Conform unei analize efectuate cu sprijinul AT BERD, g</w:t>
            </w:r>
            <w:r w:rsidR="00DF5EBF" w:rsidRPr="001552C0">
              <w:rPr>
                <w:rFonts w:cstheme="minorHAnsi"/>
                <w:b/>
                <w:sz w:val="24"/>
                <w:szCs w:val="24"/>
              </w:rPr>
              <w:t>radul de conectare a populației -</w:t>
            </w:r>
            <w:r w:rsidR="00DF5EBF" w:rsidRPr="001552C0">
              <w:rPr>
                <w:rFonts w:cstheme="minorHAnsi"/>
                <w:sz w:val="24"/>
                <w:szCs w:val="24"/>
              </w:rPr>
              <w:t xml:space="preserve"> </w:t>
            </w:r>
            <w:r w:rsidR="00DF5EBF" w:rsidRPr="001552C0">
              <w:rPr>
                <w:rFonts w:cstheme="minorHAnsi"/>
                <w:b/>
                <w:sz w:val="24"/>
                <w:szCs w:val="24"/>
              </w:rPr>
              <w:t>68,7% - apă și 50,1% - apă uzată</w:t>
            </w:r>
            <w:r w:rsidR="00DF5EBF" w:rsidRPr="001552C0">
              <w:rPr>
                <w:rFonts w:cstheme="minorHAnsi"/>
                <w:sz w:val="24"/>
                <w:szCs w:val="24"/>
              </w:rPr>
              <w:t xml:space="preserve">, </w:t>
            </w:r>
            <w:r w:rsidR="00DF5EBF" w:rsidRPr="001552C0">
              <w:rPr>
                <w:rFonts w:cstheme="minorHAnsi"/>
                <w:b/>
                <w:sz w:val="24"/>
                <w:szCs w:val="24"/>
              </w:rPr>
              <w:t>după finalizarea tuturor investițiilor prezente va fi de 84,7% - apă și 73,8% - apă uzată</w:t>
            </w:r>
            <w:r w:rsidRPr="001552C0">
              <w:rPr>
                <w:rFonts w:cstheme="minorHAnsi"/>
                <w:sz w:val="24"/>
                <w:szCs w:val="24"/>
              </w:rPr>
              <w:t xml:space="preserve">. Astfel, </w:t>
            </w:r>
            <w:r w:rsidR="00DF5EBF" w:rsidRPr="001552C0">
              <w:rPr>
                <w:rFonts w:cstheme="minorHAnsi"/>
                <w:sz w:val="24"/>
                <w:szCs w:val="24"/>
              </w:rPr>
              <w:t xml:space="preserve">a rezultat o diferență de 15,3% la apă și 26,2% la apă uzată care necesită finanțare în perioada următoare. Cerința de investiții estimată (la 30 noiembrie 2018) este de </w:t>
            </w:r>
            <w:r w:rsidR="001971A7" w:rsidRPr="001552C0">
              <w:rPr>
                <w:rFonts w:cstheme="minorHAnsi"/>
                <w:sz w:val="24"/>
                <w:szCs w:val="24"/>
              </w:rPr>
              <w:t xml:space="preserve">aproximativ </w:t>
            </w:r>
            <w:r w:rsidR="00DF5EBF" w:rsidRPr="001552C0">
              <w:rPr>
                <w:rFonts w:cstheme="minorHAnsi"/>
                <w:sz w:val="24"/>
                <w:szCs w:val="24"/>
              </w:rPr>
              <w:t>22 miliarde euro - 13,2 miliarde de euro pentru apele uzate și de 9 miliarde de euro pentru apă .</w:t>
            </w:r>
          </w:p>
          <w:p w14:paraId="6D684642" w14:textId="5475D59B" w:rsidR="00676672" w:rsidRPr="001552C0" w:rsidRDefault="00676672" w:rsidP="007A3C3E">
            <w:pPr>
              <w:jc w:val="both"/>
              <w:rPr>
                <w:rFonts w:cstheme="minorHAnsi"/>
                <w:sz w:val="24"/>
                <w:szCs w:val="24"/>
              </w:rPr>
            </w:pPr>
            <w:r w:rsidRPr="001552C0">
              <w:rPr>
                <w:rFonts w:cstheme="minorHAnsi"/>
                <w:sz w:val="24"/>
                <w:szCs w:val="24"/>
              </w:rPr>
              <w:t xml:space="preserve">De asemenea, din analiza efectuata prin AT BERD a rezultat ca în 2017 au fost generate 116.225 tone </w:t>
            </w:r>
            <w:r w:rsidR="001B4C14" w:rsidRPr="001552C0">
              <w:rPr>
                <w:rFonts w:cstheme="minorHAnsi"/>
                <w:sz w:val="24"/>
                <w:szCs w:val="24"/>
              </w:rPr>
              <w:t>nămol</w:t>
            </w:r>
            <w:r w:rsidRPr="001552C0">
              <w:rPr>
                <w:rFonts w:cstheme="minorHAnsi"/>
                <w:sz w:val="24"/>
                <w:szCs w:val="24"/>
              </w:rPr>
              <w:t xml:space="preserve"> din care 90.000 sunt depozitate, ceea ce impune continuarea investițiilor în managementul nămolului rezultat în cadrul procesului de epurare a apelor uzate/tratare a apei potabile, ca parte a proiectelor care </w:t>
            </w:r>
            <w:r w:rsidR="001B4C14" w:rsidRPr="001552C0">
              <w:rPr>
                <w:rFonts w:cstheme="minorHAnsi"/>
                <w:sz w:val="24"/>
                <w:szCs w:val="24"/>
              </w:rPr>
              <w:t>vizează</w:t>
            </w:r>
            <w:r w:rsidRPr="001552C0">
              <w:rPr>
                <w:rFonts w:cstheme="minorHAnsi"/>
                <w:sz w:val="24"/>
                <w:szCs w:val="24"/>
              </w:rPr>
              <w:t xml:space="preserve"> apa uzata.</w:t>
            </w:r>
          </w:p>
          <w:p w14:paraId="082C4E1C" w14:textId="74B0E31C" w:rsidR="0091770F" w:rsidRPr="001552C0" w:rsidRDefault="00DB0F17" w:rsidP="007A3C3E">
            <w:pPr>
              <w:spacing w:before="120" w:after="120"/>
              <w:jc w:val="both"/>
              <w:rPr>
                <w:rFonts w:eastAsia="Times New Roman" w:cstheme="minorHAnsi"/>
                <w:bCs/>
                <w:i/>
                <w:iCs/>
                <w:noProof/>
                <w:sz w:val="24"/>
                <w:szCs w:val="24"/>
              </w:rPr>
            </w:pPr>
            <w:r w:rsidRPr="001552C0">
              <w:rPr>
                <w:rFonts w:eastAsia="Times New Roman" w:cstheme="minorHAnsi"/>
                <w:bCs/>
                <w:i/>
                <w:iCs/>
                <w:noProof/>
                <w:sz w:val="24"/>
                <w:szCs w:val="24"/>
              </w:rPr>
              <w:lastRenderedPageBreak/>
              <w:t>E</w:t>
            </w:r>
            <w:r w:rsidR="0091770F" w:rsidRPr="001552C0">
              <w:rPr>
                <w:rFonts w:eastAsia="Times New Roman" w:cstheme="minorHAnsi"/>
                <w:bCs/>
                <w:i/>
                <w:iCs/>
                <w:noProof/>
                <w:sz w:val="24"/>
                <w:szCs w:val="24"/>
              </w:rPr>
              <w:t>xistă decalaje în atingerea ţintelor asumate prin Tratatul de Aderar</w:t>
            </w:r>
            <w:r w:rsidR="007320E9" w:rsidRPr="001552C0">
              <w:rPr>
                <w:rFonts w:eastAsia="Times New Roman" w:cstheme="minorHAnsi"/>
                <w:bCs/>
                <w:i/>
                <w:iCs/>
                <w:noProof/>
                <w:sz w:val="24"/>
                <w:szCs w:val="24"/>
              </w:rPr>
              <w:t>e</w:t>
            </w:r>
            <w:r w:rsidR="0091770F" w:rsidRPr="001552C0">
              <w:rPr>
                <w:rFonts w:eastAsia="Times New Roman" w:cstheme="minorHAnsi"/>
                <w:bCs/>
                <w:i/>
                <w:iCs/>
                <w:noProof/>
                <w:sz w:val="24"/>
                <w:szCs w:val="24"/>
              </w:rPr>
              <w:t>, drept urmare pentru aglomerările peste 10.000 l.e., în data de 08.06.2018, COM a transmis autorităților române scrisoarea de punere în întârzi</w:t>
            </w:r>
            <w:r w:rsidR="00CA6907" w:rsidRPr="001552C0">
              <w:rPr>
                <w:rFonts w:eastAsia="Times New Roman" w:cstheme="minorHAnsi"/>
                <w:bCs/>
                <w:i/>
                <w:iCs/>
                <w:noProof/>
                <w:sz w:val="24"/>
                <w:szCs w:val="24"/>
              </w:rPr>
              <w:t>ere în cauza 2018/2109. Având în vedere că nici țintele pentru localtățile între 2.000 și 10.000 l.e. nu aufost realizate, va urma declanșarea procedurii de infringement</w:t>
            </w:r>
            <w:r w:rsidR="00DF5EBF" w:rsidRPr="001552C0">
              <w:rPr>
                <w:rFonts w:eastAsia="Times New Roman" w:cstheme="minorHAnsi"/>
                <w:bCs/>
                <w:i/>
                <w:iCs/>
                <w:noProof/>
                <w:sz w:val="24"/>
                <w:szCs w:val="24"/>
              </w:rPr>
              <w:t xml:space="preserve"> si pentru aceasta categorie</w:t>
            </w:r>
            <w:r w:rsidR="00CA6907" w:rsidRPr="001552C0">
              <w:rPr>
                <w:rFonts w:eastAsia="Times New Roman" w:cstheme="minorHAnsi"/>
                <w:bCs/>
                <w:i/>
                <w:iCs/>
                <w:noProof/>
                <w:sz w:val="24"/>
                <w:szCs w:val="24"/>
              </w:rPr>
              <w:t xml:space="preserve">. </w:t>
            </w:r>
          </w:p>
          <w:p w14:paraId="0C6F6A55" w14:textId="2BF532E8" w:rsidR="00264C39" w:rsidRPr="001552C0" w:rsidRDefault="00232F1D" w:rsidP="007A3C3E">
            <w:pPr>
              <w:jc w:val="both"/>
              <w:rPr>
                <w:rFonts w:cstheme="minorHAnsi"/>
                <w:sz w:val="24"/>
                <w:szCs w:val="24"/>
              </w:rPr>
            </w:pPr>
            <w:r w:rsidRPr="001552C0">
              <w:rPr>
                <w:rFonts w:cstheme="minorHAnsi"/>
                <w:sz w:val="24"/>
                <w:szCs w:val="24"/>
              </w:rPr>
              <w:t>I</w:t>
            </w:r>
            <w:r w:rsidR="00264C39" w:rsidRPr="001552C0">
              <w:rPr>
                <w:rFonts w:cstheme="minorHAnsi"/>
                <w:sz w:val="24"/>
                <w:szCs w:val="24"/>
              </w:rPr>
              <w:t xml:space="preserve">n ceea ce privește </w:t>
            </w:r>
            <w:r w:rsidR="00264C39" w:rsidRPr="001552C0">
              <w:rPr>
                <w:rFonts w:cstheme="minorHAnsi"/>
                <w:b/>
                <w:sz w:val="24"/>
                <w:szCs w:val="24"/>
              </w:rPr>
              <w:t>conformarea cu Directiva nr. 98/83/CE privind calitatea apei destinate consumului uman</w:t>
            </w:r>
            <w:r w:rsidR="00264C39" w:rsidRPr="001552C0">
              <w:rPr>
                <w:rFonts w:cstheme="minorHAnsi"/>
                <w:sz w:val="24"/>
                <w:szCs w:val="24"/>
              </w:rPr>
              <w:t>, deși au fost înregistrate unele progrese, apa nu îndeplinește în totalitate criteriile de calitate, în special în zonele mici de aprovizionare. Astfel, datele existente la 31 decembrie 2015 relevă faptul că, din 2511 localități monitorizate de Ministerul Sănătății, 1959 erau conforme, în timp ce 552 de localități încă neconforme pentru unul sau mai mulți parametri pentru care au fost obținute perioade de tranziție, care necesită investiții pentru remediere.</w:t>
            </w:r>
          </w:p>
          <w:p w14:paraId="294EF98D" w14:textId="57C6F946" w:rsidR="006C02E6" w:rsidRPr="001552C0" w:rsidRDefault="0071682D" w:rsidP="007A3C3E">
            <w:pPr>
              <w:jc w:val="both"/>
              <w:rPr>
                <w:rFonts w:cstheme="minorHAnsi"/>
                <w:sz w:val="24"/>
                <w:szCs w:val="24"/>
              </w:rPr>
            </w:pPr>
            <w:r w:rsidRPr="001552C0">
              <w:rPr>
                <w:rFonts w:cstheme="minorHAnsi"/>
                <w:sz w:val="24"/>
                <w:szCs w:val="24"/>
              </w:rPr>
              <w:t>Totodată</w:t>
            </w:r>
            <w:r w:rsidR="006C02E6" w:rsidRPr="001552C0">
              <w:rPr>
                <w:rFonts w:cstheme="minorHAnsi"/>
                <w:sz w:val="24"/>
                <w:szCs w:val="24"/>
              </w:rPr>
              <w:t xml:space="preserve">, trebuie avut </w:t>
            </w:r>
            <w:r w:rsidR="001C1DD5" w:rsidRPr="001552C0">
              <w:rPr>
                <w:rFonts w:cstheme="minorHAnsi"/>
                <w:sz w:val="24"/>
                <w:szCs w:val="24"/>
              </w:rPr>
              <w:t>î</w:t>
            </w:r>
            <w:r w:rsidR="006C02E6" w:rsidRPr="001552C0">
              <w:rPr>
                <w:rFonts w:cstheme="minorHAnsi"/>
                <w:sz w:val="24"/>
                <w:szCs w:val="24"/>
              </w:rPr>
              <w:t>n veder</w:t>
            </w:r>
            <w:r w:rsidR="00264C39" w:rsidRPr="001552C0">
              <w:rPr>
                <w:rFonts w:cstheme="minorHAnsi"/>
                <w:sz w:val="24"/>
                <w:szCs w:val="24"/>
              </w:rPr>
              <w:t>e</w:t>
            </w:r>
            <w:r w:rsidR="006C02E6" w:rsidRPr="001552C0">
              <w:rPr>
                <w:rFonts w:cstheme="minorHAnsi"/>
                <w:sz w:val="24"/>
                <w:szCs w:val="24"/>
              </w:rPr>
              <w:t xml:space="preserve"> </w:t>
            </w:r>
            <w:r w:rsidR="001C1DD5" w:rsidRPr="001552C0">
              <w:rPr>
                <w:rFonts w:cstheme="minorHAnsi"/>
                <w:sz w:val="24"/>
                <w:szCs w:val="24"/>
              </w:rPr>
              <w:t>ș</w:t>
            </w:r>
            <w:r w:rsidR="006C02E6" w:rsidRPr="001552C0">
              <w:rPr>
                <w:rFonts w:cstheme="minorHAnsi"/>
                <w:sz w:val="24"/>
                <w:szCs w:val="24"/>
              </w:rPr>
              <w:t xml:space="preserve">i faptul ca </w:t>
            </w:r>
            <w:r w:rsidR="002C2F4C" w:rsidRPr="001552C0">
              <w:rPr>
                <w:rFonts w:cstheme="minorHAnsi"/>
                <w:sz w:val="24"/>
                <w:szCs w:val="24"/>
              </w:rPr>
              <w:t>urmează sa se adopte modificarea</w:t>
            </w:r>
            <w:r w:rsidR="006C02E6" w:rsidRPr="001552C0">
              <w:rPr>
                <w:rFonts w:cstheme="minorHAnsi"/>
                <w:sz w:val="24"/>
                <w:szCs w:val="24"/>
              </w:rPr>
              <w:t xml:space="preserve"> directiv</w:t>
            </w:r>
            <w:r w:rsidR="001C1DD5" w:rsidRPr="001552C0">
              <w:rPr>
                <w:rFonts w:cstheme="minorHAnsi"/>
                <w:sz w:val="24"/>
                <w:szCs w:val="24"/>
              </w:rPr>
              <w:t>e</w:t>
            </w:r>
            <w:r w:rsidR="002C2F4C" w:rsidRPr="001552C0">
              <w:rPr>
                <w:rFonts w:cstheme="minorHAnsi"/>
                <w:sz w:val="24"/>
                <w:szCs w:val="24"/>
              </w:rPr>
              <w:t>i</w:t>
            </w:r>
            <w:r w:rsidR="006C02E6" w:rsidRPr="001552C0">
              <w:rPr>
                <w:rFonts w:cstheme="minorHAnsi"/>
                <w:sz w:val="24"/>
                <w:szCs w:val="24"/>
              </w:rPr>
              <w:t xml:space="preserve"> privind calitatea apei prin care</w:t>
            </w:r>
            <w:r w:rsidR="002C2F4C" w:rsidRPr="001552C0">
              <w:rPr>
                <w:rFonts w:cstheme="minorHAnsi"/>
                <w:sz w:val="24"/>
                <w:szCs w:val="24"/>
              </w:rPr>
              <w:t xml:space="preserve"> se includ noi cerințe, inclusiv prin</w:t>
            </w:r>
            <w:r w:rsidR="006C02E6" w:rsidRPr="001552C0">
              <w:rPr>
                <w:rFonts w:cstheme="minorHAnsi"/>
                <w:sz w:val="24"/>
                <w:szCs w:val="24"/>
              </w:rPr>
              <w:t xml:space="preserve"> introdu</w:t>
            </w:r>
            <w:r w:rsidR="002C2F4C" w:rsidRPr="001552C0">
              <w:rPr>
                <w:rFonts w:cstheme="minorHAnsi"/>
                <w:sz w:val="24"/>
                <w:szCs w:val="24"/>
              </w:rPr>
              <w:t>cerea de noi parametri de calitate</w:t>
            </w:r>
            <w:r w:rsidR="006C02E6" w:rsidRPr="001552C0">
              <w:rPr>
                <w:rFonts w:cstheme="minorHAnsi"/>
                <w:sz w:val="24"/>
                <w:szCs w:val="24"/>
              </w:rPr>
              <w:t xml:space="preserve">, </w:t>
            </w:r>
            <w:r w:rsidR="00DA768E" w:rsidRPr="001552C0">
              <w:rPr>
                <w:rFonts w:cstheme="minorHAnsi"/>
                <w:sz w:val="24"/>
                <w:szCs w:val="24"/>
              </w:rPr>
              <w:t xml:space="preserve">cerințele minime pentru materialele în contact cu apa si accesul la apă, </w:t>
            </w:r>
            <w:r w:rsidR="006C02E6" w:rsidRPr="001552C0">
              <w:rPr>
                <w:rFonts w:cstheme="minorHAnsi"/>
                <w:sz w:val="24"/>
                <w:szCs w:val="24"/>
              </w:rPr>
              <w:t>ceea ce impune realizarea de investi</w:t>
            </w:r>
            <w:r w:rsidR="001C1DD5" w:rsidRPr="001552C0">
              <w:rPr>
                <w:rFonts w:cstheme="minorHAnsi"/>
                <w:sz w:val="24"/>
                <w:szCs w:val="24"/>
              </w:rPr>
              <w:t>ț</w:t>
            </w:r>
            <w:r w:rsidR="006C02E6" w:rsidRPr="001552C0">
              <w:rPr>
                <w:rFonts w:cstheme="minorHAnsi"/>
                <w:sz w:val="24"/>
                <w:szCs w:val="24"/>
              </w:rPr>
              <w:t>ii suplimentare at</w:t>
            </w:r>
            <w:r w:rsidR="001C1DD5" w:rsidRPr="001552C0">
              <w:rPr>
                <w:rFonts w:cstheme="minorHAnsi"/>
                <w:sz w:val="24"/>
                <w:szCs w:val="24"/>
              </w:rPr>
              <w:t>â</w:t>
            </w:r>
            <w:r w:rsidR="006C02E6" w:rsidRPr="001552C0">
              <w:rPr>
                <w:rFonts w:cstheme="minorHAnsi"/>
                <w:sz w:val="24"/>
                <w:szCs w:val="24"/>
              </w:rPr>
              <w:t xml:space="preserve">t </w:t>
            </w:r>
            <w:r w:rsidR="001C1DD5" w:rsidRPr="001552C0">
              <w:rPr>
                <w:rFonts w:cstheme="minorHAnsi"/>
                <w:sz w:val="24"/>
                <w:szCs w:val="24"/>
              </w:rPr>
              <w:t>î</w:t>
            </w:r>
            <w:r w:rsidR="006C02E6" w:rsidRPr="001552C0">
              <w:rPr>
                <w:rFonts w:cstheme="minorHAnsi"/>
                <w:sz w:val="24"/>
                <w:szCs w:val="24"/>
              </w:rPr>
              <w:t>n infrastructura</w:t>
            </w:r>
            <w:r w:rsidR="002C2F4C" w:rsidRPr="001552C0">
              <w:rPr>
                <w:rFonts w:cstheme="minorHAnsi"/>
                <w:sz w:val="24"/>
                <w:szCs w:val="24"/>
              </w:rPr>
              <w:t>,</w:t>
            </w:r>
            <w:r w:rsidR="006C02E6" w:rsidRPr="001552C0">
              <w:rPr>
                <w:rFonts w:cstheme="minorHAnsi"/>
                <w:sz w:val="24"/>
                <w:szCs w:val="24"/>
              </w:rPr>
              <w:t xml:space="preserve"> c</w:t>
            </w:r>
            <w:r w:rsidR="001C1DD5" w:rsidRPr="001552C0">
              <w:rPr>
                <w:rFonts w:cstheme="minorHAnsi"/>
                <w:sz w:val="24"/>
                <w:szCs w:val="24"/>
              </w:rPr>
              <w:t>â</w:t>
            </w:r>
            <w:r w:rsidR="006C02E6" w:rsidRPr="001552C0">
              <w:rPr>
                <w:rFonts w:cstheme="minorHAnsi"/>
                <w:sz w:val="24"/>
                <w:szCs w:val="24"/>
              </w:rPr>
              <w:t xml:space="preserve">t </w:t>
            </w:r>
            <w:r w:rsidR="001C1DD5" w:rsidRPr="001552C0">
              <w:rPr>
                <w:rFonts w:cstheme="minorHAnsi"/>
                <w:sz w:val="24"/>
                <w:szCs w:val="24"/>
              </w:rPr>
              <w:t>ș</w:t>
            </w:r>
            <w:r w:rsidR="006C02E6" w:rsidRPr="001552C0">
              <w:rPr>
                <w:rFonts w:cstheme="minorHAnsi"/>
                <w:sz w:val="24"/>
                <w:szCs w:val="24"/>
              </w:rPr>
              <w:t xml:space="preserve">i </w:t>
            </w:r>
            <w:r w:rsidR="001C1DD5" w:rsidRPr="001552C0">
              <w:rPr>
                <w:rFonts w:cstheme="minorHAnsi"/>
                <w:sz w:val="24"/>
                <w:szCs w:val="24"/>
              </w:rPr>
              <w:t>î</w:t>
            </w:r>
            <w:r w:rsidR="006C02E6" w:rsidRPr="001552C0">
              <w:rPr>
                <w:rFonts w:cstheme="minorHAnsi"/>
                <w:sz w:val="24"/>
                <w:szCs w:val="24"/>
              </w:rPr>
              <w:t>n capacitatea de analiz</w:t>
            </w:r>
            <w:r w:rsidR="001C1DD5" w:rsidRPr="001552C0">
              <w:rPr>
                <w:rFonts w:cstheme="minorHAnsi"/>
                <w:sz w:val="24"/>
                <w:szCs w:val="24"/>
              </w:rPr>
              <w:t>ă</w:t>
            </w:r>
            <w:r w:rsidR="006C02E6" w:rsidRPr="001552C0">
              <w:rPr>
                <w:rFonts w:cstheme="minorHAnsi"/>
                <w:sz w:val="24"/>
                <w:szCs w:val="24"/>
              </w:rPr>
              <w:t xml:space="preserve"> </w:t>
            </w:r>
            <w:r w:rsidR="002C2F4C" w:rsidRPr="001552C0">
              <w:rPr>
                <w:rFonts w:cstheme="minorHAnsi"/>
                <w:sz w:val="24"/>
                <w:szCs w:val="24"/>
              </w:rPr>
              <w:t xml:space="preserve">și monitorizare </w:t>
            </w:r>
            <w:r w:rsidR="006C02E6" w:rsidRPr="001552C0">
              <w:rPr>
                <w:rFonts w:cstheme="minorHAnsi"/>
                <w:sz w:val="24"/>
                <w:szCs w:val="24"/>
              </w:rPr>
              <w:t>a  noi</w:t>
            </w:r>
            <w:r w:rsidR="00DA768E" w:rsidRPr="001552C0">
              <w:rPr>
                <w:rFonts w:cstheme="minorHAnsi"/>
                <w:sz w:val="24"/>
                <w:szCs w:val="24"/>
              </w:rPr>
              <w:t>lor</w:t>
            </w:r>
            <w:r w:rsidR="006C02E6" w:rsidRPr="001552C0">
              <w:rPr>
                <w:rFonts w:cstheme="minorHAnsi"/>
                <w:sz w:val="24"/>
                <w:szCs w:val="24"/>
              </w:rPr>
              <w:t xml:space="preserve"> parametri.</w:t>
            </w:r>
          </w:p>
          <w:p w14:paraId="2A4D45F6" w14:textId="041C31EC" w:rsidR="00434A7C" w:rsidRPr="001552C0" w:rsidRDefault="00434A7C" w:rsidP="007A3C3E">
            <w:pPr>
              <w:jc w:val="both"/>
              <w:rPr>
                <w:rFonts w:cstheme="minorHAnsi"/>
                <w:sz w:val="24"/>
                <w:szCs w:val="24"/>
              </w:rPr>
            </w:pPr>
            <w:r w:rsidRPr="001552C0">
              <w:rPr>
                <w:rFonts w:cstheme="minorHAnsi"/>
                <w:sz w:val="24"/>
                <w:szCs w:val="24"/>
              </w:rPr>
              <w:t>In ceea ce privește infrastructura de alimentare cu apă, în prezent există un deficit mare de acces la apa curentă, aproximativ 4,5 milioane de români fără acces la apă curentă (conform unui raport al Băncii Mondiale, bazat pe date statistice la nivelul anului 2015). Dint</w:t>
            </w:r>
            <w:r w:rsidR="001B4C14" w:rsidRPr="001552C0">
              <w:rPr>
                <w:rFonts w:cstheme="minorHAnsi"/>
                <w:sz w:val="24"/>
                <w:szCs w:val="24"/>
              </w:rPr>
              <w:t>re cei 4,5 milioane locuitori fă</w:t>
            </w:r>
            <w:r w:rsidRPr="001552C0">
              <w:rPr>
                <w:rFonts w:cstheme="minorHAnsi"/>
                <w:sz w:val="24"/>
                <w:szCs w:val="24"/>
              </w:rPr>
              <w:t>r</w:t>
            </w:r>
            <w:r w:rsidR="001B4C14" w:rsidRPr="001552C0">
              <w:rPr>
                <w:rFonts w:cstheme="minorHAnsi"/>
                <w:sz w:val="24"/>
                <w:szCs w:val="24"/>
              </w:rPr>
              <w:t>ă acces la apa curentă î</w:t>
            </w:r>
            <w:r w:rsidRPr="001552C0">
              <w:rPr>
                <w:rFonts w:cstheme="minorHAnsi"/>
                <w:sz w:val="24"/>
                <w:szCs w:val="24"/>
              </w:rPr>
              <w:t xml:space="preserve">n </w:t>
            </w:r>
            <w:r w:rsidR="001B4C14" w:rsidRPr="001552C0">
              <w:rPr>
                <w:rFonts w:cstheme="minorHAnsi"/>
                <w:sz w:val="24"/>
                <w:szCs w:val="24"/>
              </w:rPr>
              <w:t>gospodăriile</w:t>
            </w:r>
            <w:r w:rsidRPr="001552C0">
              <w:rPr>
                <w:rFonts w:cstheme="minorHAnsi"/>
                <w:sz w:val="24"/>
                <w:szCs w:val="24"/>
              </w:rPr>
              <w:t xml:space="preserve"> lor, 2,5 milioane persoane se </w:t>
            </w:r>
            <w:r w:rsidR="001B5B73" w:rsidRPr="001552C0">
              <w:rPr>
                <w:rFonts w:cstheme="minorHAnsi"/>
                <w:sz w:val="24"/>
                <w:szCs w:val="24"/>
              </w:rPr>
              <w:t>alimentează</w:t>
            </w:r>
            <w:r w:rsidRPr="001552C0">
              <w:rPr>
                <w:rFonts w:cstheme="minorHAnsi"/>
                <w:sz w:val="24"/>
                <w:szCs w:val="24"/>
              </w:rPr>
              <w:t xml:space="preserve"> cu apa in regim propriu, din surse nesigure,</w:t>
            </w:r>
            <w:r w:rsidR="00DA132A">
              <w:rPr>
                <w:rFonts w:cstheme="minorHAnsi"/>
                <w:sz w:val="24"/>
                <w:szCs w:val="24"/>
              </w:rPr>
              <w:t xml:space="preserve"> </w:t>
            </w:r>
            <w:r w:rsidR="00DA768E" w:rsidRPr="001552C0">
              <w:rPr>
                <w:rFonts w:cstheme="minorHAnsi"/>
                <w:sz w:val="24"/>
                <w:szCs w:val="24"/>
              </w:rPr>
              <w:t xml:space="preserve">care în multe cazuri nu respectă </w:t>
            </w:r>
            <w:r w:rsidR="001B5B73" w:rsidRPr="001552C0">
              <w:rPr>
                <w:rFonts w:cstheme="minorHAnsi"/>
                <w:sz w:val="24"/>
                <w:szCs w:val="24"/>
              </w:rPr>
              <w:t>parametrii</w:t>
            </w:r>
            <w:r w:rsidR="00DA768E" w:rsidRPr="001552C0">
              <w:rPr>
                <w:rFonts w:cstheme="minorHAnsi"/>
                <w:sz w:val="24"/>
                <w:szCs w:val="24"/>
              </w:rPr>
              <w:t xml:space="preserve"> de calitate ai apei potabile</w:t>
            </w:r>
            <w:r w:rsidRPr="001552C0">
              <w:rPr>
                <w:rFonts w:cstheme="minorHAnsi"/>
                <w:sz w:val="24"/>
                <w:szCs w:val="24"/>
              </w:rPr>
              <w:t>. Conform datelor INS</w:t>
            </w:r>
            <w:r w:rsidRPr="001552C0">
              <w:rPr>
                <w:rStyle w:val="FootnoteReference"/>
                <w:rFonts w:cstheme="minorHAnsi"/>
                <w:sz w:val="24"/>
                <w:szCs w:val="24"/>
              </w:rPr>
              <w:footnoteReference w:id="10"/>
            </w:r>
            <w:r w:rsidRPr="001552C0">
              <w:rPr>
                <w:rFonts w:cstheme="minorHAnsi"/>
                <w:sz w:val="24"/>
                <w:szCs w:val="24"/>
              </w:rPr>
              <w:t xml:space="preserve">, in 2018 rata conectare era de 69,4%. </w:t>
            </w:r>
          </w:p>
          <w:p w14:paraId="55C85250" w14:textId="16B9A110" w:rsidR="00513199" w:rsidRPr="001552C0" w:rsidRDefault="006C02E6" w:rsidP="007A3C3E">
            <w:pPr>
              <w:jc w:val="both"/>
              <w:rPr>
                <w:rFonts w:cstheme="minorHAnsi"/>
                <w:sz w:val="24"/>
                <w:szCs w:val="24"/>
              </w:rPr>
            </w:pPr>
            <w:r w:rsidRPr="001552C0">
              <w:rPr>
                <w:rFonts w:cstheme="minorHAnsi"/>
                <w:sz w:val="24"/>
                <w:szCs w:val="24"/>
              </w:rPr>
              <w:t xml:space="preserve">Astfel, </w:t>
            </w:r>
            <w:r w:rsidR="00D31B23" w:rsidRPr="001552C0">
              <w:rPr>
                <w:rFonts w:cstheme="minorHAnsi"/>
                <w:sz w:val="24"/>
                <w:szCs w:val="24"/>
              </w:rPr>
              <w:t xml:space="preserve">asigurarea </w:t>
            </w:r>
            <w:r w:rsidR="00434A7C" w:rsidRPr="001552C0">
              <w:rPr>
                <w:rFonts w:cstheme="minorHAnsi"/>
                <w:sz w:val="24"/>
                <w:szCs w:val="24"/>
              </w:rPr>
              <w:t>calității apei conform noii directive,</w:t>
            </w:r>
            <w:r w:rsidR="001B5B73" w:rsidRPr="001552C0">
              <w:rPr>
                <w:rFonts w:cstheme="minorHAnsi"/>
                <w:sz w:val="24"/>
                <w:szCs w:val="24"/>
              </w:rPr>
              <w:t xml:space="preserve"> monitorizarea calităț</w:t>
            </w:r>
            <w:r w:rsidR="00D31B23" w:rsidRPr="001552C0">
              <w:rPr>
                <w:rFonts w:cstheme="minorHAnsi"/>
                <w:sz w:val="24"/>
                <w:szCs w:val="24"/>
              </w:rPr>
              <w:t>ii apei,</w:t>
            </w:r>
            <w:r w:rsidR="00434A7C" w:rsidRPr="001552C0">
              <w:rPr>
                <w:rFonts w:cstheme="minorHAnsi"/>
                <w:sz w:val="24"/>
                <w:szCs w:val="24"/>
              </w:rPr>
              <w:t xml:space="preserve"> precum și </w:t>
            </w:r>
            <w:r w:rsidRPr="001552C0">
              <w:rPr>
                <w:rFonts w:cstheme="minorHAnsi"/>
                <w:sz w:val="24"/>
                <w:szCs w:val="24"/>
              </w:rPr>
              <w:t>reducerea decalajului de acces la alimentarea cu ap</w:t>
            </w:r>
            <w:r w:rsidR="001C1DD5" w:rsidRPr="001552C0">
              <w:rPr>
                <w:rFonts w:cstheme="minorHAnsi"/>
                <w:sz w:val="24"/>
                <w:szCs w:val="24"/>
              </w:rPr>
              <w:t>ă</w:t>
            </w:r>
            <w:r w:rsidRPr="001552C0">
              <w:rPr>
                <w:rFonts w:cstheme="minorHAnsi"/>
                <w:sz w:val="24"/>
                <w:szCs w:val="24"/>
              </w:rPr>
              <w:t xml:space="preserve"> </w:t>
            </w:r>
            <w:r w:rsidR="00434A7C" w:rsidRPr="001552C0">
              <w:rPr>
                <w:rFonts w:cstheme="minorHAnsi"/>
                <w:sz w:val="24"/>
                <w:szCs w:val="24"/>
              </w:rPr>
              <w:t xml:space="preserve">reprezintă o prioritate </w:t>
            </w:r>
            <w:r w:rsidR="001B5B73" w:rsidRPr="001552C0">
              <w:rPr>
                <w:rFonts w:cstheme="minorHAnsi"/>
                <w:sz w:val="24"/>
                <w:szCs w:val="24"/>
              </w:rPr>
              <w:t>națională</w:t>
            </w:r>
            <w:r w:rsidRPr="001552C0">
              <w:rPr>
                <w:rFonts w:cstheme="minorHAnsi"/>
                <w:sz w:val="24"/>
                <w:szCs w:val="24"/>
              </w:rPr>
              <w:t>.</w:t>
            </w:r>
          </w:p>
          <w:p w14:paraId="25CDD939" w14:textId="61E1EB9B" w:rsidR="00E61A4B" w:rsidRPr="001552C0" w:rsidRDefault="00E61A4B" w:rsidP="00E61A4B">
            <w:pPr>
              <w:jc w:val="both"/>
              <w:rPr>
                <w:rFonts w:cstheme="minorHAnsi"/>
                <w:sz w:val="24"/>
                <w:szCs w:val="24"/>
              </w:rPr>
            </w:pPr>
            <w:r w:rsidRPr="001552C0">
              <w:rPr>
                <w:rFonts w:cstheme="minorHAnsi"/>
                <w:sz w:val="24"/>
                <w:szCs w:val="24"/>
              </w:rPr>
              <w:t>Proiectele finanţate prin PODD trebuie să contribuie la atingerea stării ecologice bune a corpurilor de apă (sau să permită menţinerea stării bune, după caz). Proiectele trebuie să includă adoptarea de soluţii care să prevină fragmentarea longitudinală sau laterală a corpului de apă şi să susţină celelalte elemente hidro</w:t>
            </w:r>
            <w:r w:rsidR="001B5B73" w:rsidRPr="001552C0">
              <w:rPr>
                <w:rFonts w:cstheme="minorHAnsi"/>
                <w:sz w:val="24"/>
                <w:szCs w:val="24"/>
              </w:rPr>
              <w:t>-</w:t>
            </w:r>
            <w:r w:rsidRPr="001552C0">
              <w:rPr>
                <w:rFonts w:cstheme="minorHAnsi"/>
                <w:sz w:val="24"/>
                <w:szCs w:val="24"/>
              </w:rPr>
              <w:t>morfologice (ex: debitul râului) şi fizico – chimice de calitate la valori care să permită menţinerea vieţii acvatice pe termen lung şi în condiţii apropiate de situaţia naturală, luând în considerare şi efectele viitoare datorate schimbărilor climatice.</w:t>
            </w:r>
          </w:p>
          <w:p w14:paraId="010ABAD5" w14:textId="7877E75B" w:rsidR="001F7576" w:rsidRPr="001552C0" w:rsidRDefault="00264C39" w:rsidP="007A3C3E">
            <w:pPr>
              <w:jc w:val="both"/>
              <w:rPr>
                <w:rFonts w:cstheme="minorHAnsi"/>
                <w:sz w:val="24"/>
                <w:szCs w:val="24"/>
              </w:rPr>
            </w:pPr>
            <w:r w:rsidRPr="001552C0">
              <w:rPr>
                <w:rFonts w:cstheme="minorHAnsi"/>
                <w:sz w:val="24"/>
                <w:szCs w:val="24"/>
              </w:rPr>
              <w:t>De asemenea, c</w:t>
            </w:r>
            <w:r w:rsidR="007D1A9B" w:rsidRPr="001552C0">
              <w:rPr>
                <w:rFonts w:cstheme="minorHAnsi"/>
                <w:sz w:val="24"/>
                <w:szCs w:val="24"/>
              </w:rPr>
              <w:t>onsolidarea</w:t>
            </w:r>
            <w:r w:rsidR="001C1DD5" w:rsidRPr="001552C0">
              <w:rPr>
                <w:rFonts w:cstheme="minorHAnsi"/>
                <w:sz w:val="24"/>
                <w:szCs w:val="24"/>
              </w:rPr>
              <w:t xml:space="preserve"> capacității</w:t>
            </w:r>
            <w:r w:rsidR="007D1A9B" w:rsidRPr="001552C0">
              <w:rPr>
                <w:rFonts w:cstheme="minorHAnsi"/>
                <w:sz w:val="24"/>
                <w:szCs w:val="24"/>
              </w:rPr>
              <w:t xml:space="preserve"> operatorilor regionali </w:t>
            </w:r>
            <w:r w:rsidR="00C176AB" w:rsidRPr="001552C0">
              <w:rPr>
                <w:rFonts w:cstheme="minorHAnsi"/>
                <w:sz w:val="24"/>
                <w:szCs w:val="24"/>
              </w:rPr>
              <w:t xml:space="preserve">și a autorităților cu rol în dezvoltarea și implementarea proiectelor </w:t>
            </w:r>
            <w:r w:rsidR="007D1A9B" w:rsidRPr="001552C0">
              <w:rPr>
                <w:rFonts w:cstheme="minorHAnsi"/>
                <w:sz w:val="24"/>
                <w:szCs w:val="24"/>
              </w:rPr>
              <w:t xml:space="preserve">este o pre-condiție pentru realizarea planurilor de </w:t>
            </w:r>
            <w:r w:rsidR="007D1A9B" w:rsidRPr="001552C0">
              <w:rPr>
                <w:rFonts w:cstheme="minorHAnsi"/>
                <w:sz w:val="24"/>
                <w:szCs w:val="24"/>
              </w:rPr>
              <w:lastRenderedPageBreak/>
              <w:t xml:space="preserve">investiții și pentru </w:t>
            </w:r>
            <w:r w:rsidR="001C1DD5" w:rsidRPr="001552C0">
              <w:rPr>
                <w:rFonts w:cstheme="minorHAnsi"/>
                <w:sz w:val="24"/>
                <w:szCs w:val="24"/>
              </w:rPr>
              <w:t>î</w:t>
            </w:r>
            <w:r w:rsidR="007D1A9B" w:rsidRPr="001552C0">
              <w:rPr>
                <w:rFonts w:cstheme="minorHAnsi"/>
                <w:sz w:val="24"/>
                <w:szCs w:val="24"/>
              </w:rPr>
              <w:t>ndeplinirea conformității cu directivele europene</w:t>
            </w:r>
            <w:r w:rsidR="00774427" w:rsidRPr="001552C0">
              <w:rPr>
                <w:rFonts w:cstheme="minorHAnsi"/>
                <w:sz w:val="24"/>
                <w:szCs w:val="24"/>
              </w:rPr>
              <w:t>. În acest sens, cu sprijinul asisten</w:t>
            </w:r>
            <w:r w:rsidR="001C1DD5" w:rsidRPr="001552C0">
              <w:rPr>
                <w:rFonts w:cstheme="minorHAnsi"/>
                <w:sz w:val="24"/>
                <w:szCs w:val="24"/>
              </w:rPr>
              <w:t>ț</w:t>
            </w:r>
            <w:r w:rsidR="00774427" w:rsidRPr="001552C0">
              <w:rPr>
                <w:rFonts w:cstheme="minorHAnsi"/>
                <w:sz w:val="24"/>
                <w:szCs w:val="24"/>
              </w:rPr>
              <w:t>ei tehnice (BERD) a fost el</w:t>
            </w:r>
            <w:r w:rsidR="001C1DD5" w:rsidRPr="001552C0">
              <w:rPr>
                <w:rFonts w:cstheme="minorHAnsi"/>
                <w:sz w:val="24"/>
                <w:szCs w:val="24"/>
              </w:rPr>
              <w:t>a</w:t>
            </w:r>
            <w:r w:rsidR="00774427" w:rsidRPr="001552C0">
              <w:rPr>
                <w:rFonts w:cstheme="minorHAnsi"/>
                <w:sz w:val="24"/>
                <w:szCs w:val="24"/>
              </w:rPr>
              <w:t>borat</w:t>
            </w:r>
            <w:r w:rsidR="001C1DD5" w:rsidRPr="001552C0">
              <w:rPr>
                <w:rFonts w:cstheme="minorHAnsi"/>
                <w:sz w:val="24"/>
                <w:szCs w:val="24"/>
              </w:rPr>
              <w:t>ă</w:t>
            </w:r>
            <w:r w:rsidR="00774427" w:rsidRPr="001552C0">
              <w:rPr>
                <w:rFonts w:cstheme="minorHAnsi"/>
                <w:sz w:val="24"/>
                <w:szCs w:val="24"/>
              </w:rPr>
              <w:t xml:space="preserve"> </w:t>
            </w:r>
            <w:r w:rsidR="007D1A9B" w:rsidRPr="001552C0">
              <w:rPr>
                <w:rFonts w:cstheme="minorHAnsi"/>
                <w:sz w:val="24"/>
                <w:szCs w:val="24"/>
              </w:rPr>
              <w:t>o strategie</w:t>
            </w:r>
            <w:r w:rsidR="00774427" w:rsidRPr="001552C0">
              <w:rPr>
                <w:rFonts w:cstheme="minorHAnsi"/>
                <w:sz w:val="24"/>
                <w:szCs w:val="24"/>
              </w:rPr>
              <w:t xml:space="preserve"> care are ca obie</w:t>
            </w:r>
            <w:r w:rsidR="00E14BC8" w:rsidRPr="001552C0">
              <w:rPr>
                <w:rFonts w:cstheme="minorHAnsi"/>
                <w:sz w:val="24"/>
                <w:szCs w:val="24"/>
              </w:rPr>
              <w:t>c</w:t>
            </w:r>
            <w:r w:rsidR="00774427" w:rsidRPr="001552C0">
              <w:rPr>
                <w:rFonts w:cstheme="minorHAnsi"/>
                <w:sz w:val="24"/>
                <w:szCs w:val="24"/>
              </w:rPr>
              <w:t>tiv cre</w:t>
            </w:r>
            <w:r w:rsidR="001C1DD5" w:rsidRPr="001552C0">
              <w:rPr>
                <w:rFonts w:cstheme="minorHAnsi"/>
                <w:sz w:val="24"/>
                <w:szCs w:val="24"/>
              </w:rPr>
              <w:t>ș</w:t>
            </w:r>
            <w:r w:rsidR="00774427" w:rsidRPr="001552C0">
              <w:rPr>
                <w:rFonts w:cstheme="minorHAnsi"/>
                <w:sz w:val="24"/>
                <w:szCs w:val="24"/>
              </w:rPr>
              <w:t>terea capacit</w:t>
            </w:r>
            <w:r w:rsidR="001C1DD5" w:rsidRPr="001552C0">
              <w:rPr>
                <w:rFonts w:cstheme="minorHAnsi"/>
                <w:sz w:val="24"/>
                <w:szCs w:val="24"/>
              </w:rPr>
              <w:t>ăț</w:t>
            </w:r>
            <w:r w:rsidR="00774427" w:rsidRPr="001552C0">
              <w:rPr>
                <w:rFonts w:cstheme="minorHAnsi"/>
                <w:sz w:val="24"/>
                <w:szCs w:val="24"/>
              </w:rPr>
              <w:t>ii operatorilor</w:t>
            </w:r>
            <w:r w:rsidR="00450152" w:rsidRPr="001552C0">
              <w:rPr>
                <w:rFonts w:cstheme="minorHAnsi"/>
                <w:sz w:val="24"/>
                <w:szCs w:val="24"/>
              </w:rPr>
              <w:t xml:space="preserve"> prin masuri de eficientizare pe termen scurt si prin masuri structurale pe te</w:t>
            </w:r>
            <w:r w:rsidR="00DA768E" w:rsidRPr="001552C0">
              <w:rPr>
                <w:rFonts w:cstheme="minorHAnsi"/>
                <w:sz w:val="24"/>
                <w:szCs w:val="24"/>
              </w:rPr>
              <w:t>r</w:t>
            </w:r>
            <w:r w:rsidR="00450152" w:rsidRPr="001552C0">
              <w:rPr>
                <w:rFonts w:cstheme="minorHAnsi"/>
                <w:sz w:val="24"/>
                <w:szCs w:val="24"/>
              </w:rPr>
              <w:t>men lung</w:t>
            </w:r>
            <w:r w:rsidR="00774427" w:rsidRPr="001552C0">
              <w:rPr>
                <w:rFonts w:cstheme="minorHAnsi"/>
                <w:sz w:val="24"/>
                <w:szCs w:val="24"/>
              </w:rPr>
              <w:t>.</w:t>
            </w:r>
            <w:r w:rsidR="00DA768E" w:rsidRPr="001552C0">
              <w:t xml:space="preserve"> </w:t>
            </w:r>
            <w:r w:rsidR="00DA768E" w:rsidRPr="001552C0">
              <w:rPr>
                <w:rFonts w:cstheme="minorHAnsi"/>
                <w:sz w:val="24"/>
                <w:szCs w:val="24"/>
              </w:rPr>
              <w:t>În plus prin proiectul MMAP cu asistența Băncii Mondiale va fi elaborat cadrul un Strategii naționale a sectorului de apă și apă uzată</w:t>
            </w:r>
          </w:p>
          <w:p w14:paraId="60E3A52F" w14:textId="5FAB2F28" w:rsidR="00434A7C" w:rsidRPr="001552C0" w:rsidRDefault="00DA768E" w:rsidP="007A3C3E">
            <w:pPr>
              <w:jc w:val="both"/>
              <w:rPr>
                <w:rFonts w:cstheme="minorHAnsi"/>
                <w:sz w:val="24"/>
                <w:szCs w:val="24"/>
              </w:rPr>
            </w:pPr>
            <w:r w:rsidRPr="001552C0">
              <w:rPr>
                <w:rFonts w:cstheme="minorHAnsi"/>
                <w:sz w:val="24"/>
                <w:szCs w:val="24"/>
              </w:rPr>
              <w:t>Totodată</w:t>
            </w:r>
            <w:r w:rsidR="00434A7C" w:rsidRPr="001552C0">
              <w:rPr>
                <w:rFonts w:cstheme="minorHAnsi"/>
                <w:sz w:val="24"/>
                <w:szCs w:val="24"/>
              </w:rPr>
              <w:t xml:space="preserve">, </w:t>
            </w:r>
            <w:r w:rsidR="00753634">
              <w:rPr>
                <w:rFonts w:cstheme="minorHAnsi"/>
                <w:sz w:val="24"/>
                <w:szCs w:val="24"/>
              </w:rPr>
              <w:t>este necesară</w:t>
            </w:r>
            <w:r w:rsidR="00434A7C" w:rsidRPr="001552C0">
              <w:rPr>
                <w:rFonts w:cstheme="minorHAnsi"/>
                <w:sz w:val="24"/>
                <w:szCs w:val="24"/>
              </w:rPr>
              <w:t xml:space="preserve"> finanțarea acțiunilor de consolidare a capacității de reglementare economică a sectorului de apă și apă uzată, astfel încât să se eficientizeze procesul de realizare a planurilor de investiții pentru conformare.</w:t>
            </w:r>
          </w:p>
          <w:p w14:paraId="2AAE580E" w14:textId="453CEEAB" w:rsidR="00450152" w:rsidRPr="001552C0" w:rsidRDefault="00450152" w:rsidP="007A3C3E">
            <w:pPr>
              <w:jc w:val="both"/>
              <w:rPr>
                <w:rFonts w:cstheme="minorHAnsi"/>
                <w:b/>
                <w:sz w:val="24"/>
                <w:szCs w:val="24"/>
              </w:rPr>
            </w:pPr>
            <w:r w:rsidRPr="001552C0">
              <w:rPr>
                <w:rFonts w:cstheme="minorHAnsi"/>
                <w:sz w:val="24"/>
                <w:szCs w:val="24"/>
              </w:rPr>
              <w:t xml:space="preserve">Având în vedere </w:t>
            </w:r>
            <w:r w:rsidR="001B5B73" w:rsidRPr="001552C0">
              <w:rPr>
                <w:rFonts w:cstheme="minorHAnsi"/>
                <w:sz w:val="24"/>
                <w:szCs w:val="24"/>
              </w:rPr>
              <w:t>provocările</w:t>
            </w:r>
            <w:r w:rsidRPr="001552C0">
              <w:rPr>
                <w:rFonts w:cstheme="minorHAnsi"/>
                <w:sz w:val="24"/>
                <w:szCs w:val="24"/>
              </w:rPr>
              <w:t xml:space="preserve"> majore prezentate mai sus cu c</w:t>
            </w:r>
            <w:r w:rsidR="001B5B73" w:rsidRPr="001552C0">
              <w:rPr>
                <w:rFonts w:cstheme="minorHAnsi"/>
                <w:sz w:val="24"/>
                <w:szCs w:val="24"/>
              </w:rPr>
              <w:t>are se confrunta sectorul de apă/apă uzată</w:t>
            </w:r>
            <w:r w:rsidRPr="001552C0">
              <w:rPr>
                <w:rFonts w:cstheme="minorHAnsi"/>
                <w:sz w:val="24"/>
                <w:szCs w:val="24"/>
              </w:rPr>
              <w:t xml:space="preserve">, </w:t>
            </w:r>
            <w:r w:rsidRPr="001552C0">
              <w:rPr>
                <w:rFonts w:cstheme="minorHAnsi"/>
                <w:b/>
                <w:sz w:val="24"/>
                <w:szCs w:val="24"/>
              </w:rPr>
              <w:t xml:space="preserve">se impune </w:t>
            </w:r>
            <w:r w:rsidR="001B5B73" w:rsidRPr="001552C0">
              <w:rPr>
                <w:rFonts w:cstheme="minorHAnsi"/>
                <w:b/>
                <w:sz w:val="24"/>
                <w:szCs w:val="24"/>
              </w:rPr>
              <w:t>finanțarea</w:t>
            </w:r>
            <w:r w:rsidRPr="001552C0">
              <w:rPr>
                <w:rFonts w:cstheme="minorHAnsi"/>
                <w:b/>
                <w:sz w:val="24"/>
                <w:szCs w:val="24"/>
              </w:rPr>
              <w:t xml:space="preserve"> următoarelor </w:t>
            </w:r>
            <w:r w:rsidR="00064DE1">
              <w:rPr>
                <w:rFonts w:cstheme="minorHAnsi"/>
                <w:b/>
                <w:iCs/>
                <w:sz w:val="24"/>
                <w:szCs w:val="24"/>
              </w:rPr>
              <w:t>intervenții</w:t>
            </w:r>
            <w:r w:rsidR="00064DE1" w:rsidRPr="001552C0">
              <w:rPr>
                <w:rFonts w:cstheme="minorHAnsi"/>
                <w:b/>
                <w:iCs/>
                <w:sz w:val="24"/>
                <w:szCs w:val="24"/>
              </w:rPr>
              <w:t>/</w:t>
            </w:r>
            <w:r w:rsidR="00064DE1">
              <w:rPr>
                <w:rFonts w:cstheme="minorHAnsi"/>
                <w:b/>
                <w:iCs/>
                <w:sz w:val="24"/>
                <w:szCs w:val="24"/>
              </w:rPr>
              <w:t>măsuri</w:t>
            </w:r>
            <w:r w:rsidRPr="001552C0">
              <w:rPr>
                <w:rFonts w:cstheme="minorHAnsi"/>
                <w:b/>
                <w:sz w:val="24"/>
                <w:szCs w:val="24"/>
              </w:rPr>
              <w:t>:</w:t>
            </w:r>
          </w:p>
          <w:p w14:paraId="7D74CC47" w14:textId="1769B0A8" w:rsidR="00450152" w:rsidRPr="001552C0" w:rsidRDefault="005C1BBE" w:rsidP="007B5B2A">
            <w:pPr>
              <w:pStyle w:val="ListParagraph"/>
              <w:numPr>
                <w:ilvl w:val="0"/>
                <w:numId w:val="69"/>
              </w:numPr>
              <w:spacing w:line="276" w:lineRule="auto"/>
              <w:jc w:val="both"/>
              <w:rPr>
                <w:rFonts w:asciiTheme="minorHAnsi" w:hAnsiTheme="minorHAnsi" w:cstheme="minorHAnsi"/>
                <w:szCs w:val="24"/>
                <w:lang w:val="ro-RO"/>
              </w:rPr>
            </w:pPr>
            <w:r>
              <w:rPr>
                <w:rFonts w:asciiTheme="minorHAnsi" w:hAnsiTheme="minorHAnsi" w:cstheme="minorHAnsi"/>
                <w:b/>
                <w:szCs w:val="24"/>
                <w:lang w:val="ro-RO"/>
              </w:rPr>
              <w:t>Investiții</w:t>
            </w:r>
            <w:r w:rsidR="00450152" w:rsidRPr="001552C0">
              <w:rPr>
                <w:rFonts w:asciiTheme="minorHAnsi" w:hAnsiTheme="minorHAnsi" w:cstheme="minorHAnsi"/>
                <w:b/>
                <w:szCs w:val="24"/>
                <w:lang w:val="ro-RO"/>
              </w:rPr>
              <w:t xml:space="preserve"> integrate de dezvoltare a sistemelor de apă și apă uzată</w:t>
            </w:r>
            <w:r w:rsidR="00450152" w:rsidRPr="001552C0">
              <w:rPr>
                <w:rFonts w:asciiTheme="minorHAnsi" w:hAnsiTheme="minorHAnsi" w:cstheme="minorHAnsi"/>
                <w:szCs w:val="24"/>
                <w:lang w:val="ro-RO"/>
              </w:rPr>
              <w:t xml:space="preserve">, respectiv: </w:t>
            </w:r>
          </w:p>
          <w:p w14:paraId="04CDACAB" w14:textId="7A2D2152"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 xml:space="preserve">construirea și reabilitarea reţelelor de canalizare şi construirea/reabilitarea/ modernizare  a stațiilor de epurare a apelor uzate care asigură colectarea şi epurarea încărcării organice biodegradabile în aglomerări mai mari de 2.000 l.e. , inclusiv soluții pentru un management adecvat pentru tratarea nămolurilor rezultat în cadrul procesului de epurare a apelor uzate; sisteme individuale adecvate de tratare a apelor uzate pot fi </w:t>
            </w:r>
            <w:r w:rsidR="001B5B73" w:rsidRPr="001552C0">
              <w:rPr>
                <w:rFonts w:asciiTheme="minorHAnsi" w:hAnsiTheme="minorHAnsi" w:cstheme="minorHAnsi"/>
                <w:szCs w:val="24"/>
                <w:lang w:val="ro-RO"/>
              </w:rPr>
              <w:t>finanțate</w:t>
            </w:r>
            <w:r w:rsidRPr="001552C0">
              <w:rPr>
                <w:rFonts w:asciiTheme="minorHAnsi" w:hAnsiTheme="minorHAnsi" w:cstheme="minorHAnsi"/>
                <w:szCs w:val="24"/>
                <w:lang w:val="ro-RO"/>
              </w:rPr>
              <w:t xml:space="preserve">, in cadrul proiectelor  regionale integrate de apă uzată, ca soluții tehnice aplicate punctual și justificat, la nivelul anumitor aglomerări,  ulterior stabilirii și </w:t>
            </w:r>
            <w:r w:rsidR="001B5B73" w:rsidRPr="001552C0">
              <w:rPr>
                <w:rFonts w:asciiTheme="minorHAnsi" w:hAnsiTheme="minorHAnsi" w:cstheme="minorHAnsi"/>
                <w:szCs w:val="24"/>
                <w:lang w:val="ro-RO"/>
              </w:rPr>
              <w:t>implementării</w:t>
            </w:r>
            <w:r w:rsidRPr="001552C0">
              <w:rPr>
                <w:rFonts w:asciiTheme="minorHAnsi" w:hAnsiTheme="minorHAnsi" w:cstheme="minorHAnsi"/>
                <w:szCs w:val="24"/>
                <w:lang w:val="ro-RO"/>
              </w:rPr>
              <w:t xml:space="preserve"> cadrului legal și metodologic de către autoritățile responsabile la nivel național</w:t>
            </w:r>
            <w:r w:rsidR="001D1C54">
              <w:rPr>
                <w:rFonts w:asciiTheme="minorHAnsi" w:hAnsiTheme="minorHAnsi" w:cstheme="minorHAnsi"/>
                <w:szCs w:val="24"/>
                <w:lang w:val="ro-RO"/>
              </w:rPr>
              <w:t>;</w:t>
            </w:r>
          </w:p>
          <w:p w14:paraId="196CB72C" w14:textId="4CAAD560"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 xml:space="preserve">construirea și reabilitarea și de sisteme de captare si aducțiune, stații de tratare, rețele de transport și distribuire a apei destinate consumului uman </w:t>
            </w:r>
            <w:r w:rsidR="001D1C54">
              <w:rPr>
                <w:rFonts w:asciiTheme="minorHAnsi" w:hAnsiTheme="minorHAnsi" w:cstheme="minorHAnsi"/>
                <w:szCs w:val="24"/>
                <w:lang w:val="ro-RO"/>
              </w:rPr>
              <w:t>î</w:t>
            </w:r>
            <w:r w:rsidRPr="001552C0">
              <w:rPr>
                <w:rFonts w:asciiTheme="minorHAnsi" w:hAnsiTheme="minorHAnsi" w:cstheme="minorHAnsi"/>
                <w:szCs w:val="24"/>
                <w:lang w:val="ro-RO"/>
              </w:rPr>
              <w:t>n contextul proiectelor integrate de apă si apă uzată ;</w:t>
            </w:r>
          </w:p>
          <w:p w14:paraId="1120E9E3" w14:textId="13CA7B97"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măsuri necesare pentru eficientizarea proiectelor si sustenabilitatea investițiilor (</w:t>
            </w:r>
            <w:r w:rsidR="001B5B73" w:rsidRPr="001552C0">
              <w:rPr>
                <w:rFonts w:asciiTheme="minorHAnsi" w:hAnsiTheme="minorHAnsi" w:cstheme="minorHAnsi"/>
                <w:szCs w:val="24"/>
                <w:lang w:val="ro-RO"/>
              </w:rPr>
              <w:t>automatizări</w:t>
            </w:r>
            <w:r w:rsidRPr="001552C0">
              <w:rPr>
                <w:rFonts w:asciiTheme="minorHAnsi" w:hAnsiTheme="minorHAnsi" w:cstheme="minorHAnsi"/>
                <w:szCs w:val="24"/>
                <w:lang w:val="ro-RO"/>
              </w:rPr>
              <w:t xml:space="preserve">, SCADA, GIS, </w:t>
            </w:r>
            <w:r w:rsidR="001B5B73" w:rsidRPr="001552C0">
              <w:rPr>
                <w:rFonts w:asciiTheme="minorHAnsi" w:hAnsiTheme="minorHAnsi" w:cstheme="minorHAnsi"/>
                <w:szCs w:val="24"/>
                <w:lang w:val="ro-RO"/>
              </w:rPr>
              <w:t>contorizări</w:t>
            </w:r>
            <w:r w:rsidRPr="001552C0">
              <w:rPr>
                <w:rFonts w:asciiTheme="minorHAnsi" w:hAnsiTheme="minorHAnsi" w:cstheme="minorHAnsi"/>
                <w:szCs w:val="24"/>
                <w:lang w:val="ro-RO"/>
              </w:rPr>
              <w:t>, masuri privind implementarea managamnetului activelor etc</w:t>
            </w:r>
            <w:r w:rsidR="001D1C54">
              <w:rPr>
                <w:rFonts w:asciiTheme="minorHAnsi" w:hAnsiTheme="minorHAnsi" w:cstheme="minorHAnsi"/>
                <w:szCs w:val="24"/>
                <w:lang w:val="ro-RO"/>
              </w:rPr>
              <w:t>.</w:t>
            </w:r>
            <w:r w:rsidRPr="001552C0">
              <w:rPr>
                <w:rFonts w:asciiTheme="minorHAnsi" w:hAnsiTheme="minorHAnsi" w:cstheme="minorHAnsi"/>
                <w:szCs w:val="24"/>
                <w:lang w:val="ro-RO"/>
              </w:rPr>
              <w:t xml:space="preserve"> );</w:t>
            </w:r>
          </w:p>
          <w:p w14:paraId="36B961BD" w14:textId="21C385D1" w:rsidR="00450152" w:rsidRPr="001552C0" w:rsidRDefault="00450152" w:rsidP="007B5B2A">
            <w:pPr>
              <w:pStyle w:val="ListParagraph"/>
              <w:numPr>
                <w:ilvl w:val="0"/>
                <w:numId w:val="69"/>
              </w:numPr>
              <w:spacing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 xml:space="preserve">pregătirea și gestionarea proiectelor de investiții </w:t>
            </w:r>
            <w:r w:rsidRPr="001552C0">
              <w:rPr>
                <w:rFonts w:asciiTheme="minorHAnsi" w:hAnsiTheme="minorHAnsi" w:cstheme="minorHAnsi"/>
                <w:szCs w:val="24"/>
                <w:lang w:val="ro-RO"/>
              </w:rPr>
              <w:t>de apă și apă uzată ;</w:t>
            </w:r>
          </w:p>
          <w:p w14:paraId="00E752F3" w14:textId="302DEF0B" w:rsidR="00450152" w:rsidRPr="001552C0" w:rsidRDefault="00450152" w:rsidP="007B5B2A">
            <w:pPr>
              <w:pStyle w:val="ListParagraph"/>
              <w:numPr>
                <w:ilvl w:val="0"/>
                <w:numId w:val="69"/>
              </w:numPr>
              <w:spacing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 xml:space="preserve"> consolidarea capacității actorilor</w:t>
            </w:r>
            <w:r w:rsidRPr="001552C0">
              <w:rPr>
                <w:rFonts w:asciiTheme="minorHAnsi" w:hAnsiTheme="minorHAnsi" w:cstheme="minorHAnsi"/>
                <w:szCs w:val="24"/>
                <w:lang w:val="ro-RO"/>
              </w:rPr>
              <w:t xml:space="preserve"> implicați în sector :</w:t>
            </w:r>
          </w:p>
          <w:p w14:paraId="4565EC19" w14:textId="07FA206B"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 xml:space="preserve">sprijin pentru consolidarea suplimentară și extinderea operatorilor regionali astfel </w:t>
            </w:r>
            <w:r w:rsidR="001B5B73" w:rsidRPr="001552C0">
              <w:rPr>
                <w:rFonts w:asciiTheme="minorHAnsi" w:hAnsiTheme="minorHAnsi" w:cstheme="minorHAnsi"/>
                <w:szCs w:val="24"/>
                <w:lang w:val="ro-RO"/>
              </w:rPr>
              <w:t>î</w:t>
            </w:r>
            <w:r w:rsidRPr="001552C0">
              <w:rPr>
                <w:rFonts w:asciiTheme="minorHAnsi" w:hAnsiTheme="minorHAnsi" w:cstheme="minorHAnsi"/>
                <w:szCs w:val="24"/>
                <w:lang w:val="ro-RO"/>
              </w:rPr>
              <w:t>nc</w:t>
            </w:r>
            <w:r w:rsidR="001B5B73" w:rsidRPr="001552C0">
              <w:rPr>
                <w:rFonts w:asciiTheme="minorHAnsi" w:hAnsiTheme="minorHAnsi" w:cstheme="minorHAnsi"/>
                <w:szCs w:val="24"/>
                <w:lang w:val="ro-RO"/>
              </w:rPr>
              <w:t>â</w:t>
            </w:r>
            <w:r w:rsidRPr="001552C0">
              <w:rPr>
                <w:rFonts w:asciiTheme="minorHAnsi" w:hAnsiTheme="minorHAnsi" w:cstheme="minorHAnsi"/>
                <w:szCs w:val="24"/>
                <w:lang w:val="ro-RO"/>
              </w:rPr>
              <w:t xml:space="preserve">t sa se dezvolte capacitatea acestora de a realiza </w:t>
            </w:r>
            <w:r w:rsidR="001B5B73" w:rsidRPr="001552C0">
              <w:rPr>
                <w:rFonts w:asciiTheme="minorHAnsi" w:hAnsiTheme="minorHAnsi" w:cstheme="minorHAnsi"/>
                <w:szCs w:val="24"/>
                <w:lang w:val="ro-RO"/>
              </w:rPr>
              <w:t>investițiile</w:t>
            </w:r>
            <w:r w:rsidRPr="001552C0">
              <w:rPr>
                <w:rFonts w:asciiTheme="minorHAnsi" w:hAnsiTheme="minorHAnsi" w:cstheme="minorHAnsi"/>
                <w:szCs w:val="24"/>
                <w:lang w:val="ro-RO"/>
              </w:rPr>
              <w:t xml:space="preserve"> pentru </w:t>
            </w:r>
            <w:r w:rsidR="001B5B73" w:rsidRPr="001552C0">
              <w:rPr>
                <w:rFonts w:asciiTheme="minorHAnsi" w:hAnsiTheme="minorHAnsi" w:cstheme="minorHAnsi"/>
                <w:szCs w:val="24"/>
                <w:lang w:val="ro-RO"/>
              </w:rPr>
              <w:t>conformare</w:t>
            </w:r>
            <w:r w:rsidRPr="001552C0">
              <w:rPr>
                <w:rFonts w:asciiTheme="minorHAnsi" w:hAnsiTheme="minorHAnsi" w:cstheme="minorHAnsi"/>
                <w:szCs w:val="24"/>
                <w:lang w:val="ro-RO"/>
              </w:rPr>
              <w:t>;</w:t>
            </w:r>
          </w:p>
          <w:p w14:paraId="721F6148" w14:textId="5182FF15"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 xml:space="preserve">sprijin pentru </w:t>
            </w:r>
            <w:r w:rsidR="00BF5D39" w:rsidRPr="001552C0">
              <w:rPr>
                <w:rFonts w:asciiTheme="minorHAnsi" w:hAnsiTheme="minorHAnsi" w:cstheme="minorHAnsi"/>
                <w:szCs w:val="24"/>
                <w:lang w:val="ro-RO"/>
              </w:rPr>
              <w:t>consolidare</w:t>
            </w:r>
            <w:r w:rsidRPr="001552C0">
              <w:rPr>
                <w:rFonts w:asciiTheme="minorHAnsi" w:hAnsiTheme="minorHAnsi" w:cstheme="minorHAnsi"/>
                <w:szCs w:val="24"/>
                <w:lang w:val="ro-RO"/>
              </w:rPr>
              <w:t>a capacității administrative a celorlalte instituții implicate : ADI, ANRSC, MMAP, MS (</w:t>
            </w:r>
            <w:r w:rsidR="001B5B73" w:rsidRPr="001552C0">
              <w:rPr>
                <w:rFonts w:asciiTheme="minorHAnsi" w:hAnsiTheme="minorHAnsi" w:cstheme="minorHAnsi"/>
                <w:szCs w:val="24"/>
                <w:lang w:val="ro-RO"/>
              </w:rPr>
              <w:t>Institutul</w:t>
            </w:r>
            <w:r w:rsidRPr="001552C0">
              <w:rPr>
                <w:rFonts w:asciiTheme="minorHAnsi" w:hAnsiTheme="minorHAnsi" w:cstheme="minorHAnsi"/>
                <w:szCs w:val="24"/>
                <w:lang w:val="ro-RO"/>
              </w:rPr>
              <w:t xml:space="preserve"> de Sănătate Publică), AM PODD .</w:t>
            </w:r>
          </w:p>
          <w:p w14:paraId="38E40988" w14:textId="7485EFFE" w:rsidR="00450152" w:rsidRDefault="00450152" w:rsidP="007A3C3E">
            <w:pPr>
              <w:jc w:val="both"/>
              <w:rPr>
                <w:rFonts w:cstheme="minorHAnsi"/>
                <w:sz w:val="24"/>
                <w:szCs w:val="24"/>
              </w:rPr>
            </w:pPr>
            <w:r w:rsidRPr="001552C0">
              <w:rPr>
                <w:rFonts w:cstheme="minorHAnsi"/>
                <w:sz w:val="24"/>
                <w:szCs w:val="24"/>
              </w:rPr>
              <w:t>Având în vedere dezvoltarea integrat</w:t>
            </w:r>
            <w:r w:rsidR="001D1C54">
              <w:rPr>
                <w:rFonts w:cstheme="minorHAnsi"/>
                <w:sz w:val="24"/>
                <w:szCs w:val="24"/>
              </w:rPr>
              <w:t>ă</w:t>
            </w:r>
            <w:r w:rsidRPr="001552C0">
              <w:rPr>
                <w:rFonts w:cstheme="minorHAnsi"/>
                <w:sz w:val="24"/>
                <w:szCs w:val="24"/>
              </w:rPr>
              <w:t xml:space="preserve"> </w:t>
            </w:r>
            <w:r w:rsidR="001D1C54">
              <w:rPr>
                <w:rFonts w:cstheme="minorHAnsi"/>
                <w:sz w:val="24"/>
                <w:szCs w:val="24"/>
              </w:rPr>
              <w:t>ș</w:t>
            </w:r>
            <w:r w:rsidRPr="001552C0">
              <w:rPr>
                <w:rFonts w:cstheme="minorHAnsi"/>
                <w:sz w:val="24"/>
                <w:szCs w:val="24"/>
              </w:rPr>
              <w:t xml:space="preserve">i specificul </w:t>
            </w:r>
            <w:r w:rsidR="001B5B73" w:rsidRPr="001552C0">
              <w:rPr>
                <w:rFonts w:cstheme="minorHAnsi"/>
                <w:sz w:val="24"/>
                <w:szCs w:val="24"/>
              </w:rPr>
              <w:t>investițiilor</w:t>
            </w:r>
            <w:r w:rsidRPr="001552C0">
              <w:rPr>
                <w:rFonts w:cstheme="minorHAnsi"/>
                <w:sz w:val="24"/>
                <w:szCs w:val="24"/>
              </w:rPr>
              <w:t xml:space="preserve">, politica </w:t>
            </w:r>
            <w:r w:rsidR="001D1C54">
              <w:rPr>
                <w:rFonts w:cstheme="minorHAnsi"/>
                <w:sz w:val="24"/>
                <w:szCs w:val="24"/>
              </w:rPr>
              <w:t>î</w:t>
            </w:r>
            <w:r w:rsidRPr="001552C0">
              <w:rPr>
                <w:rFonts w:cstheme="minorHAnsi"/>
                <w:sz w:val="24"/>
                <w:szCs w:val="24"/>
              </w:rPr>
              <w:t xml:space="preserve">n domeniu </w:t>
            </w:r>
            <w:r w:rsidR="001D1C54">
              <w:rPr>
                <w:rFonts w:cstheme="minorHAnsi"/>
                <w:sz w:val="24"/>
                <w:szCs w:val="24"/>
              </w:rPr>
              <w:t>ș</w:t>
            </w:r>
            <w:r w:rsidRPr="001552C0">
              <w:rPr>
                <w:rFonts w:cstheme="minorHAnsi"/>
                <w:sz w:val="24"/>
                <w:szCs w:val="24"/>
              </w:rPr>
              <w:t xml:space="preserve">i strategiile de </w:t>
            </w:r>
            <w:r w:rsidR="001B5B73" w:rsidRPr="001552C0">
              <w:rPr>
                <w:rFonts w:cstheme="minorHAnsi"/>
                <w:sz w:val="24"/>
                <w:szCs w:val="24"/>
              </w:rPr>
              <w:t>finanțare</w:t>
            </w:r>
            <w:r w:rsidRPr="001552C0">
              <w:rPr>
                <w:rFonts w:cstheme="minorHAnsi"/>
                <w:sz w:val="24"/>
                <w:szCs w:val="24"/>
              </w:rPr>
              <w:t xml:space="preserve"> si de consolidare a sectorului, perioada de timp </w:t>
            </w:r>
            <w:r w:rsidR="000E34EE">
              <w:rPr>
                <w:rFonts w:cstheme="minorHAnsi"/>
                <w:sz w:val="24"/>
                <w:szCs w:val="24"/>
              </w:rPr>
              <w:t>ș</w:t>
            </w:r>
            <w:r w:rsidRPr="001552C0">
              <w:rPr>
                <w:rFonts w:cstheme="minorHAnsi"/>
                <w:sz w:val="24"/>
                <w:szCs w:val="24"/>
              </w:rPr>
              <w:t>i necesarul de finanțare pentru conformare, prin PODD se vor finanța investițiile prezentate mai sus atât în cadrul unor proiecte noi, precum și in continuarea investițiilor POIM, în cazul etapizării acestora.</w:t>
            </w:r>
          </w:p>
          <w:p w14:paraId="2AE33D7B" w14:textId="19C10230" w:rsidR="007B0CF4" w:rsidRPr="001552C0" w:rsidRDefault="007B0CF4" w:rsidP="007B0CF4">
            <w:pPr>
              <w:jc w:val="both"/>
              <w:rPr>
                <w:rFonts w:cstheme="minorHAnsi"/>
                <w:sz w:val="24"/>
                <w:szCs w:val="24"/>
              </w:rPr>
            </w:pPr>
            <w:r w:rsidRPr="007B0CF4">
              <w:rPr>
                <w:rFonts w:cstheme="minorHAnsi"/>
                <w:sz w:val="24"/>
                <w:szCs w:val="24"/>
              </w:rPr>
              <w:t>Portofoliul de proiecte propuse spre finanțare are la baza 2 scen</w:t>
            </w:r>
            <w:r>
              <w:rPr>
                <w:rFonts w:cstheme="minorHAnsi"/>
                <w:sz w:val="24"/>
                <w:szCs w:val="24"/>
              </w:rPr>
              <w:t>arii: primul scenariu este cel î</w:t>
            </w:r>
            <w:r w:rsidRPr="007B0CF4">
              <w:rPr>
                <w:rFonts w:cstheme="minorHAnsi"/>
                <w:sz w:val="24"/>
                <w:szCs w:val="24"/>
              </w:rPr>
              <w:t>n care proiectele propus</w:t>
            </w:r>
            <w:r>
              <w:rPr>
                <w:rFonts w:cstheme="minorHAnsi"/>
                <w:sz w:val="24"/>
                <w:szCs w:val="24"/>
              </w:rPr>
              <w:t>e spre finanțare se încadrează î</w:t>
            </w:r>
            <w:r w:rsidRPr="007B0CF4">
              <w:rPr>
                <w:rFonts w:cstheme="minorHAnsi"/>
                <w:sz w:val="24"/>
                <w:szCs w:val="24"/>
              </w:rPr>
              <w:t>n aloc</w:t>
            </w:r>
            <w:r>
              <w:rPr>
                <w:rFonts w:cstheme="minorHAnsi"/>
                <w:sz w:val="24"/>
                <w:szCs w:val="24"/>
              </w:rPr>
              <w:t xml:space="preserve">area disponibilă prin PODD, iar </w:t>
            </w:r>
            <w:r>
              <w:rPr>
                <w:rFonts w:cstheme="minorHAnsi"/>
                <w:sz w:val="24"/>
                <w:szCs w:val="24"/>
              </w:rPr>
              <w:lastRenderedPageBreak/>
              <w:t xml:space="preserve">scenariul 2 are în vedere </w:t>
            </w:r>
            <w:r w:rsidRPr="007B0CF4">
              <w:rPr>
                <w:rFonts w:cstheme="minorHAnsi"/>
                <w:sz w:val="24"/>
                <w:szCs w:val="24"/>
              </w:rPr>
              <w:t>potențiale proiecte care</w:t>
            </w:r>
            <w:r>
              <w:rPr>
                <w:rFonts w:cstheme="minorHAnsi"/>
                <w:sz w:val="24"/>
                <w:szCs w:val="24"/>
              </w:rPr>
              <w:t xml:space="preserve"> totalizează dublul alocării PODD</w:t>
            </w:r>
            <w:r w:rsidRPr="007B0CF4">
              <w:rPr>
                <w:rFonts w:cstheme="minorHAnsi"/>
                <w:sz w:val="24"/>
                <w:szCs w:val="24"/>
              </w:rPr>
              <w:t>.</w:t>
            </w:r>
          </w:p>
          <w:p w14:paraId="1F4E8258" w14:textId="6256B894" w:rsidR="00450152" w:rsidRPr="001552C0" w:rsidRDefault="00450152" w:rsidP="007A3C3E">
            <w:pPr>
              <w:jc w:val="both"/>
              <w:rPr>
                <w:rFonts w:cstheme="minorHAnsi"/>
                <w:sz w:val="24"/>
                <w:szCs w:val="24"/>
              </w:rPr>
            </w:pPr>
            <w:r w:rsidRPr="001552C0">
              <w:rPr>
                <w:rFonts w:cstheme="minorHAnsi"/>
                <w:sz w:val="24"/>
                <w:szCs w:val="24"/>
              </w:rPr>
              <w:t>Tipurile de beneficiari îl constituie Asociaţiile de Dezvoltare Intercomunitară prin Operatorii Regionali (OR) de Apă</w:t>
            </w:r>
            <w:r w:rsidR="001B5B73" w:rsidRPr="001552C0">
              <w:rPr>
                <w:rFonts w:cstheme="minorHAnsi"/>
                <w:sz w:val="24"/>
                <w:szCs w:val="24"/>
              </w:rPr>
              <w:t xml:space="preserve"> finanțaț</w:t>
            </w:r>
            <w:r w:rsidR="00967A2A" w:rsidRPr="001552C0">
              <w:rPr>
                <w:rFonts w:cstheme="minorHAnsi"/>
                <w:sz w:val="24"/>
                <w:szCs w:val="24"/>
              </w:rPr>
              <w:t>i prin POS M si POIM</w:t>
            </w:r>
            <w:r w:rsidRPr="001552C0">
              <w:rPr>
                <w:rFonts w:cstheme="minorHAnsi"/>
                <w:sz w:val="24"/>
                <w:szCs w:val="24"/>
              </w:rPr>
              <w:t>, iar pentru operațiunile de consolidare a capacității administrative a actorilor din sector vor fi eligibili operatori regionali, ADI, ANRSC, MMAP, MS (</w:t>
            </w:r>
            <w:r w:rsidR="001B5B73" w:rsidRPr="001552C0">
              <w:rPr>
                <w:rFonts w:cstheme="minorHAnsi"/>
                <w:sz w:val="24"/>
                <w:szCs w:val="24"/>
              </w:rPr>
              <w:t>Institutul</w:t>
            </w:r>
            <w:r w:rsidRPr="001552C0">
              <w:rPr>
                <w:rFonts w:cstheme="minorHAnsi"/>
                <w:sz w:val="24"/>
                <w:szCs w:val="24"/>
              </w:rPr>
              <w:t xml:space="preserve"> de Sănătate Publică), AM PODD.</w:t>
            </w:r>
          </w:p>
          <w:p w14:paraId="21EB3EF1" w14:textId="77777777" w:rsidR="00450152" w:rsidRPr="001552C0" w:rsidRDefault="00450152" w:rsidP="007A3C3E">
            <w:pPr>
              <w:jc w:val="both"/>
              <w:rPr>
                <w:rFonts w:cstheme="minorHAnsi"/>
                <w:sz w:val="24"/>
                <w:szCs w:val="24"/>
              </w:rPr>
            </w:pPr>
            <w:r w:rsidRPr="001552C0">
              <w:rPr>
                <w:rFonts w:cstheme="minorHAnsi"/>
                <w:sz w:val="24"/>
                <w:szCs w:val="24"/>
              </w:rPr>
              <w:t>Operatorii Regionali (OR) de Apă îndeplinesc cumulativ următoarele condiţii:</w:t>
            </w:r>
          </w:p>
          <w:p w14:paraId="58DA5647" w14:textId="323CDC49" w:rsidR="00450152" w:rsidRPr="001552C0" w:rsidRDefault="00450152" w:rsidP="00967A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Sunt operatori regional</w:t>
            </w:r>
            <w:r w:rsidR="00967A2A" w:rsidRPr="001552C0">
              <w:rPr>
                <w:rFonts w:asciiTheme="minorHAnsi" w:hAnsiTheme="minorHAnsi" w:cstheme="minorHAnsi"/>
                <w:szCs w:val="24"/>
                <w:lang w:val="ro-RO"/>
              </w:rPr>
              <w:t>i</w:t>
            </w:r>
            <w:r w:rsidRPr="001552C0">
              <w:rPr>
                <w:rFonts w:asciiTheme="minorHAnsi" w:hAnsiTheme="minorHAnsi" w:cstheme="minorHAnsi"/>
                <w:szCs w:val="24"/>
                <w:lang w:val="ro-RO"/>
              </w:rPr>
              <w:t xml:space="preserve"> </w:t>
            </w:r>
            <w:r w:rsidR="001B5B73" w:rsidRPr="001552C0">
              <w:rPr>
                <w:rFonts w:asciiTheme="minorHAnsi" w:hAnsiTheme="minorHAnsi" w:cstheme="minorHAnsi"/>
                <w:szCs w:val="24"/>
                <w:lang w:val="ro-RO"/>
              </w:rPr>
              <w:t>finanțați</w:t>
            </w:r>
            <w:r w:rsidR="00967A2A" w:rsidRPr="001552C0">
              <w:rPr>
                <w:rFonts w:asciiTheme="minorHAnsi" w:hAnsiTheme="minorHAnsi" w:cstheme="minorHAnsi"/>
                <w:szCs w:val="24"/>
                <w:lang w:val="ro-RO"/>
              </w:rPr>
              <w:t xml:space="preserve"> prin POSM si POIM </w:t>
            </w:r>
            <w:r w:rsidRPr="001552C0">
              <w:rPr>
                <w:rFonts w:asciiTheme="minorHAnsi" w:hAnsiTheme="minorHAnsi" w:cstheme="minorHAnsi"/>
                <w:szCs w:val="24"/>
                <w:lang w:val="ro-RO"/>
              </w:rPr>
              <w:t>care activează în baza unui contract de încredinţare directă acordat de către Asociaţiile de Dezvoltare Intercomunitară, prin respectarea regulii “in-house” stabilite de jurisprudenţa Curţii de Justiţie, şi preluată în legislaţia naţională (Legile nr. 51/2006 privind serviciile comunitare de utilităţi publice, cu modificările şi completările ulterioare, şi Legea nr. 241/2006 privind serviciile de alimentare cu apă şi canalizare, cu modificările şi completările ulterioare);</w:t>
            </w:r>
          </w:p>
          <w:p w14:paraId="4B2CBA82" w14:textId="27EE6F04"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Acţionariatul OR este format exclusiv din membri ai Asociaţiei de Dezvoltare Intercomunitară existentă, constituită din localităţile în aria cărora operează compania şi Consiliul Judeţean, după caz, şi în numele cărora promovează proiectele integrate de management al apei şi apei uzate, OR fiind astfel o companie de interes public şi finanţată prin fonduri publice; pentru proiectele noi, nu se vor crea noi ADI, ci cele existente se vor extinde prin includerea de noi membri,.</w:t>
            </w:r>
          </w:p>
          <w:p w14:paraId="0DFBE977" w14:textId="77777777" w:rsidR="00450152" w:rsidRPr="001552C0" w:rsidRDefault="00450152" w:rsidP="007B5B2A">
            <w:pPr>
              <w:pStyle w:val="ListParagraph"/>
              <w:numPr>
                <w:ilvl w:val="0"/>
                <w:numId w:val="61"/>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OR acţionează în baza Contractului de Delegare a Gestiunii Serviciilor, contract prin care autorităţile locale exercită asupra OR un ”control similar” celui exercitat asupra propriilor departamente.</w:t>
            </w:r>
          </w:p>
          <w:p w14:paraId="7B760FF7" w14:textId="6446C334" w:rsidR="00C36862" w:rsidRPr="001552C0" w:rsidRDefault="00450152" w:rsidP="0071682D">
            <w:pPr>
              <w:jc w:val="both"/>
              <w:rPr>
                <w:rFonts w:eastAsia="Times New Roman"/>
                <w:i/>
                <w:noProof/>
              </w:rPr>
            </w:pPr>
            <w:r w:rsidRPr="001552C0">
              <w:rPr>
                <w:rFonts w:cstheme="minorHAnsi"/>
                <w:sz w:val="24"/>
                <w:szCs w:val="24"/>
              </w:rPr>
              <w:t xml:space="preserve">Astfel, pot solicita finanțare operatorii regionali care sunt constituiți prin fuziunea (integrală) a operatorilor care îndeplinesc condițiile de mai sus. </w:t>
            </w:r>
          </w:p>
        </w:tc>
      </w:tr>
    </w:tbl>
    <w:p w14:paraId="5F30D28F" w14:textId="611B0868" w:rsidR="0041213E" w:rsidRPr="001552C0" w:rsidRDefault="0041213E" w:rsidP="007A5507">
      <w:pPr>
        <w:spacing w:before="120" w:after="120" w:line="360" w:lineRule="auto"/>
        <w:rPr>
          <w:rFonts w:ascii="Times New Roman" w:eastAsia="Times New Roman" w:hAnsi="Times New Roman" w:cs="Times New Roman"/>
          <w:i/>
          <w:noProof/>
          <w:sz w:val="24"/>
          <w:szCs w:val="24"/>
        </w:rPr>
      </w:pPr>
    </w:p>
    <w:p w14:paraId="03C9E116" w14:textId="18D856F3" w:rsidR="0041213E" w:rsidRPr="001552C0" w:rsidRDefault="0041213E" w:rsidP="0041213E">
      <w:pPr>
        <w:spacing w:before="120" w:after="120" w:line="360" w:lineRule="auto"/>
        <w:rPr>
          <w:rFonts w:ascii="Times New Roman" w:eastAsia="Times New Roman" w:hAnsi="Times New Roman" w:cs="Times New Roman"/>
          <w:b/>
          <w:i/>
          <w:iCs/>
          <w:noProof/>
          <w:szCs w:val="24"/>
        </w:rPr>
      </w:pPr>
      <w:r w:rsidRPr="001552C0">
        <w:rPr>
          <w:rFonts w:ascii="Times New Roman" w:eastAsia="Times New Roman" w:hAnsi="Times New Roman" w:cs="Times New Roman"/>
          <w:b/>
          <w:i/>
          <w:iCs/>
          <w:noProof/>
          <w:szCs w:val="24"/>
        </w:rPr>
        <w:t>Obiectiv specific FEDR/FC  (vi) Promovarea tranziţiei către o economie circulară</w:t>
      </w:r>
    </w:p>
    <w:p w14:paraId="72CCAA08" w14:textId="77777777" w:rsidR="0041213E" w:rsidRPr="001552C0" w:rsidRDefault="0041213E" w:rsidP="0041213E">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2.A.3.1 Interventions of the Funds</w:t>
      </w:r>
    </w:p>
    <w:p w14:paraId="30A3F915" w14:textId="77777777" w:rsidR="0041213E" w:rsidRPr="001552C0" w:rsidRDefault="0041213E" w:rsidP="0041213E">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Reference: Article 17(3)(d)(i),(iii),</w:t>
      </w:r>
      <w:r w:rsidRPr="001552C0">
        <w:rPr>
          <w:rFonts w:ascii="Times New Roman" w:eastAsia="Times New Roman" w:hAnsi="Times New Roman" w:cs="Times New Roman"/>
          <w:b/>
          <w:i/>
          <w:noProof/>
          <w:sz w:val="24"/>
          <w:szCs w:val="24"/>
        </w:rPr>
        <w:t xml:space="preserve">(iiia), </w:t>
      </w:r>
      <w:r w:rsidRPr="001552C0">
        <w:rPr>
          <w:rFonts w:ascii="Times New Roman" w:eastAsia="Times New Roman" w:hAnsi="Times New Roman" w:cs="Times New Roman"/>
          <w:i/>
          <w:noProof/>
          <w:sz w:val="24"/>
          <w:szCs w:val="24"/>
        </w:rPr>
        <w:t>(iv),(v),(vi);</w:t>
      </w:r>
    </w:p>
    <w:p w14:paraId="1D975DFE" w14:textId="37F8A174" w:rsidR="0041213E" w:rsidRPr="001552C0" w:rsidRDefault="0041213E" w:rsidP="0041213E">
      <w:pPr>
        <w:bidi/>
        <w:spacing w:before="120" w:after="120" w:line="360" w:lineRule="auto"/>
        <w:jc w:val="right"/>
        <w:rPr>
          <w:rFonts w:ascii="Times New Roman" w:eastAsia="Times New Roman" w:hAnsi="Times New Roman" w:cs="Times New Roman"/>
          <w:b/>
          <w:bCs/>
          <w:i/>
          <w:iCs/>
          <w:noProof/>
          <w:sz w:val="24"/>
          <w:szCs w:val="24"/>
        </w:rPr>
      </w:pPr>
      <w:r w:rsidRPr="001552C0">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1213E" w:rsidRPr="001552C0" w14:paraId="3098C4FA" w14:textId="77777777" w:rsidTr="00E8387B">
        <w:tc>
          <w:tcPr>
            <w:tcW w:w="9288" w:type="dxa"/>
            <w:tcBorders>
              <w:top w:val="single" w:sz="4" w:space="0" w:color="auto"/>
              <w:left w:val="single" w:sz="4" w:space="0" w:color="auto"/>
              <w:bottom w:val="single" w:sz="4" w:space="0" w:color="auto"/>
              <w:right w:val="single" w:sz="4" w:space="0" w:color="auto"/>
            </w:tcBorders>
            <w:hideMark/>
          </w:tcPr>
          <w:p w14:paraId="52FD9810" w14:textId="77777777" w:rsidR="0041213E" w:rsidRPr="001552C0" w:rsidRDefault="0041213E" w:rsidP="00E8387B">
            <w:pPr>
              <w:spacing w:before="120" w:after="120" w:line="360" w:lineRule="auto"/>
              <w:rPr>
                <w:rFonts w:ascii="Times New Roman" w:eastAsia="Times New Roman" w:hAnsi="Times New Roman" w:cs="Times New Roman"/>
                <w:i/>
                <w:iCs/>
                <w:noProof/>
                <w:szCs w:val="24"/>
              </w:rPr>
            </w:pPr>
            <w:r w:rsidRPr="001552C0">
              <w:rPr>
                <w:rFonts w:ascii="Times New Roman" w:eastAsia="Times New Roman" w:hAnsi="Times New Roman" w:cs="Times New Roman"/>
                <w:i/>
                <w:iCs/>
                <w:noProof/>
                <w:szCs w:val="24"/>
              </w:rPr>
              <w:t>Text field [8 000]</w:t>
            </w:r>
          </w:p>
          <w:p w14:paraId="32166BE2" w14:textId="24E702D9" w:rsidR="00AE0470" w:rsidRPr="001552C0" w:rsidRDefault="005C1BBE" w:rsidP="0079466B">
            <w:pPr>
              <w:jc w:val="both"/>
              <w:rPr>
                <w:rFonts w:cstheme="minorHAnsi"/>
                <w:b/>
                <w:i/>
                <w:sz w:val="24"/>
                <w:szCs w:val="24"/>
              </w:rPr>
            </w:pPr>
            <w:r>
              <w:rPr>
                <w:rFonts w:cstheme="minorHAnsi"/>
                <w:b/>
                <w:i/>
                <w:sz w:val="24"/>
                <w:szCs w:val="24"/>
              </w:rPr>
              <w:t xml:space="preserve">Acțiunea </w:t>
            </w:r>
            <w:r w:rsidR="00AE0470" w:rsidRPr="001552C0">
              <w:rPr>
                <w:rFonts w:cstheme="minorHAnsi"/>
                <w:b/>
                <w:i/>
                <w:sz w:val="24"/>
                <w:szCs w:val="24"/>
              </w:rPr>
              <w:t xml:space="preserve">2.2 Gestionarea eficienta a </w:t>
            </w:r>
            <w:r w:rsidR="001B5B73" w:rsidRPr="001552C0">
              <w:rPr>
                <w:rFonts w:cstheme="minorHAnsi"/>
                <w:b/>
                <w:i/>
                <w:sz w:val="24"/>
                <w:szCs w:val="24"/>
              </w:rPr>
              <w:t>deșeurilor</w:t>
            </w:r>
            <w:r w:rsidR="00AE0470" w:rsidRPr="001552C0">
              <w:rPr>
                <w:rFonts w:cstheme="minorHAnsi"/>
                <w:b/>
                <w:i/>
                <w:sz w:val="24"/>
                <w:szCs w:val="24"/>
              </w:rPr>
              <w:t xml:space="preserve"> în vederea </w:t>
            </w:r>
            <w:r w:rsidR="001B5B73" w:rsidRPr="001552C0">
              <w:rPr>
                <w:rFonts w:cstheme="minorHAnsi"/>
                <w:b/>
                <w:i/>
                <w:sz w:val="24"/>
                <w:szCs w:val="24"/>
              </w:rPr>
              <w:t>accelerării</w:t>
            </w:r>
            <w:r w:rsidR="00AE0470" w:rsidRPr="001552C0">
              <w:rPr>
                <w:rFonts w:cstheme="minorHAnsi"/>
                <w:b/>
                <w:i/>
                <w:sz w:val="24"/>
                <w:szCs w:val="24"/>
              </w:rPr>
              <w:t xml:space="preserve"> </w:t>
            </w:r>
            <w:r w:rsidR="001B5B73" w:rsidRPr="001552C0">
              <w:rPr>
                <w:rFonts w:cstheme="minorHAnsi"/>
                <w:b/>
                <w:i/>
                <w:sz w:val="24"/>
                <w:szCs w:val="24"/>
              </w:rPr>
              <w:t>tranziției spre economia circulară</w:t>
            </w:r>
            <w:r w:rsidR="004B3B02" w:rsidRPr="001552C0">
              <w:rPr>
                <w:rFonts w:cstheme="minorHAnsi"/>
                <w:b/>
                <w:i/>
                <w:sz w:val="24"/>
                <w:szCs w:val="24"/>
              </w:rPr>
              <w:t>, pentru a îndeplini cerințele directivelor de mediu</w:t>
            </w:r>
          </w:p>
          <w:p w14:paraId="4985F0FA" w14:textId="77777777" w:rsidR="0094172E" w:rsidRPr="001552C0" w:rsidRDefault="0094172E" w:rsidP="0094172E">
            <w:pPr>
              <w:jc w:val="both"/>
              <w:rPr>
                <w:rFonts w:cstheme="minorHAnsi"/>
                <w:sz w:val="24"/>
                <w:szCs w:val="24"/>
              </w:rPr>
            </w:pPr>
            <w:r w:rsidRPr="001552C0">
              <w:rPr>
                <w:rFonts w:cstheme="minorHAnsi"/>
                <w:sz w:val="24"/>
                <w:szCs w:val="24"/>
              </w:rPr>
              <w:t xml:space="preserve">Până în prezent, în România au fost implementate sau sunt în curs de implementare proiecte </w:t>
            </w:r>
            <w:r w:rsidRPr="001552C0">
              <w:rPr>
                <w:rFonts w:cstheme="minorHAnsi"/>
                <w:sz w:val="24"/>
                <w:szCs w:val="24"/>
              </w:rPr>
              <w:lastRenderedPageBreak/>
              <w:t>privind sistemele de management integrat al deșeurilor (SMID) în 32 județe (din totalul de 41 județe și municipiului București). Proiectele SMID existente includ colectarea separată a deșeurilor, în special colectarea separată a deșeurilor reciclabile prin puncte de colectare, sortarea deșeurilor colectate separat, compostarea deșeurilor verzi, închiderea depozitelor neconforme și construirea de depozite conforme și, în unele cazuri, tratarea mecano-biologică simplă. Toate aceste investiții reprezintă doar un prim pas către o gestionare eficienta a deșeurilor municipale, conformă cu legislația națională și europeană în vigoare.</w:t>
            </w:r>
          </w:p>
          <w:p w14:paraId="327A7CC4" w14:textId="0FCE4DD4" w:rsidR="0094172E" w:rsidRPr="001552C0" w:rsidRDefault="0094172E" w:rsidP="0094172E">
            <w:pPr>
              <w:jc w:val="both"/>
              <w:rPr>
                <w:rFonts w:cstheme="minorHAnsi"/>
                <w:sz w:val="24"/>
                <w:szCs w:val="24"/>
              </w:rPr>
            </w:pPr>
            <w:r w:rsidRPr="001552C0">
              <w:rPr>
                <w:rFonts w:cstheme="minorHAnsi"/>
                <w:sz w:val="24"/>
                <w:szCs w:val="24"/>
              </w:rPr>
              <w:t xml:space="preserve">În conformitate cu prevederile legislației naționale </w:t>
            </w:r>
            <w:r w:rsidR="00F6655C" w:rsidRPr="001552C0">
              <w:rPr>
                <w:rFonts w:cstheme="minorHAnsi"/>
                <w:sz w:val="24"/>
                <w:szCs w:val="24"/>
              </w:rPr>
              <w:t>ș</w:t>
            </w:r>
            <w:r w:rsidRPr="001552C0">
              <w:rPr>
                <w:rFonts w:cstheme="minorHAnsi"/>
                <w:sz w:val="24"/>
                <w:szCs w:val="24"/>
              </w:rPr>
              <w:t>i PNGD, în anul 2020 ar trebui să se atingă un grad minim de pregătire pentru reutilizare și reciclare de minim 50% din cantitatea totală de deşeuri din hârtie, metal, plastic, sticlă și lemn din deșeurile menajere și deșeurile similare, inclusiv din servicii publice. Există riscul major ca România să nu îndeplinească acest  obiectiv  în anul</w:t>
            </w:r>
            <w:r w:rsidRPr="001552C0">
              <w:rPr>
                <w:rFonts w:cstheme="minorHAnsi"/>
                <w:b/>
                <w:sz w:val="24"/>
                <w:szCs w:val="24"/>
              </w:rPr>
              <w:t xml:space="preserve"> </w:t>
            </w:r>
            <w:r w:rsidRPr="001552C0">
              <w:rPr>
                <w:rFonts w:cstheme="minorHAnsi"/>
                <w:sz w:val="24"/>
                <w:szCs w:val="24"/>
              </w:rPr>
              <w:t xml:space="preserve"> 2020, după cum este menționat și în Early Warning Report for Romania din 24 septembrie 2018</w:t>
            </w:r>
            <w:r w:rsidRPr="001552C0">
              <w:rPr>
                <w:rStyle w:val="FootnoteReference"/>
                <w:rFonts w:cstheme="minorHAnsi"/>
                <w:sz w:val="24"/>
                <w:szCs w:val="24"/>
              </w:rPr>
              <w:footnoteReference w:id="11"/>
            </w:r>
            <w:r w:rsidRPr="001552C0">
              <w:rPr>
                <w:rFonts w:cstheme="minorHAnsi"/>
                <w:sz w:val="24"/>
                <w:szCs w:val="24"/>
              </w:rPr>
              <w:t xml:space="preserve">. Comisia Europeană recomandă în acest raport orientarea fondurilor europene către activități și echipamente care contribuie la o mai bună colectare separată a deșeurilor reciclabile și la o mai bună gestionare a biodeșeurilor.  </w:t>
            </w:r>
          </w:p>
          <w:p w14:paraId="20112BCB" w14:textId="77777777" w:rsidR="0094172E" w:rsidRPr="001552C0" w:rsidRDefault="0094172E" w:rsidP="0094172E">
            <w:pPr>
              <w:jc w:val="both"/>
              <w:rPr>
                <w:rFonts w:cstheme="minorHAnsi"/>
                <w:sz w:val="24"/>
                <w:szCs w:val="24"/>
              </w:rPr>
            </w:pPr>
            <w:r w:rsidRPr="001552C0">
              <w:rPr>
                <w:rFonts w:cstheme="minorHAnsi"/>
                <w:sz w:val="24"/>
                <w:szCs w:val="24"/>
              </w:rPr>
              <w:t>De asemenea, Raportul de țară din 2019 subliniază că România va trebui să depună eforturi considerabile pentru intensificarea reciclării și reducerea depozitării deșeurilor și să investească masiv în acest sens.</w:t>
            </w:r>
          </w:p>
          <w:p w14:paraId="4DC9D440" w14:textId="3D68D65E" w:rsidR="0094172E" w:rsidRPr="001552C0" w:rsidRDefault="0094172E" w:rsidP="0094172E">
            <w:pPr>
              <w:jc w:val="both"/>
              <w:rPr>
                <w:rFonts w:cstheme="minorHAnsi"/>
                <w:sz w:val="24"/>
                <w:szCs w:val="24"/>
              </w:rPr>
            </w:pPr>
            <w:r w:rsidRPr="001552C0">
              <w:rPr>
                <w:rFonts w:cstheme="minorHAnsi"/>
                <w:sz w:val="24"/>
                <w:szCs w:val="24"/>
              </w:rPr>
              <w:t>Pe lângă gradul scăzut de reciclare, o altă problemă importantă de neconformare a sistemului actual de gestionare a deșeurilor este reprezentată de capacitățile scăzute de tratare a deșeurilor reziduale în vederea îndeplinirii obiectivului de tratare a deșeurilor înainte de depozitare. În prezent, în Romania doar 16 dintre cele 32 proiecte SMID au  instalații de tratare mecano-biologică, cea mai mare parte a acestora necesit</w:t>
            </w:r>
            <w:r w:rsidR="000E34EE">
              <w:rPr>
                <w:rFonts w:cstheme="minorHAnsi"/>
                <w:sz w:val="24"/>
                <w:szCs w:val="24"/>
              </w:rPr>
              <w:t>ând</w:t>
            </w:r>
            <w:r w:rsidRPr="001552C0">
              <w:rPr>
                <w:rFonts w:cstheme="minorHAnsi"/>
                <w:sz w:val="24"/>
                <w:szCs w:val="24"/>
              </w:rPr>
              <w:t xml:space="preserve"> îmbunătățire atât a parții de tratare mecanică (în vederea sortării unei părți din deșeurile reciclabile), cât și a părții de tratare biologică, în vederea asigurării conformării cu regulile Malagrotta. </w:t>
            </w:r>
          </w:p>
          <w:p w14:paraId="49003263" w14:textId="79F4AF42" w:rsidR="0094172E" w:rsidRPr="001552C0" w:rsidRDefault="0094172E" w:rsidP="0094172E">
            <w:pPr>
              <w:jc w:val="both"/>
              <w:rPr>
                <w:rFonts w:cstheme="minorHAnsi"/>
                <w:sz w:val="24"/>
                <w:szCs w:val="24"/>
              </w:rPr>
            </w:pPr>
            <w:r w:rsidRPr="001552C0">
              <w:rPr>
                <w:rFonts w:cstheme="minorHAnsi"/>
                <w:b/>
                <w:sz w:val="24"/>
                <w:szCs w:val="24"/>
              </w:rPr>
              <w:t>Pachetul privind economia circulară</w:t>
            </w:r>
            <w:r w:rsidRPr="001552C0">
              <w:rPr>
                <w:rFonts w:cstheme="minorHAnsi"/>
                <w:sz w:val="24"/>
                <w:szCs w:val="24"/>
              </w:rPr>
              <w:t xml:space="preserve"> (PEC) adoptat în anul 2018, și care urmează a fi transpus in legislația română in cursul anului 2020, stabilește noi obiective ambițioase, printre care principale </w:t>
            </w:r>
            <w:r w:rsidR="000E34EE">
              <w:rPr>
                <w:rFonts w:cstheme="minorHAnsi"/>
                <w:sz w:val="24"/>
                <w:szCs w:val="24"/>
              </w:rPr>
              <w:t>fiind</w:t>
            </w:r>
            <w:r w:rsidRPr="001552C0">
              <w:rPr>
                <w:rFonts w:cstheme="minorHAnsi"/>
                <w:sz w:val="24"/>
                <w:szCs w:val="24"/>
              </w:rPr>
              <w:t>:</w:t>
            </w:r>
          </w:p>
          <w:p w14:paraId="5205265D" w14:textId="31417CDB" w:rsidR="00AE0470" w:rsidRPr="001552C0" w:rsidRDefault="0022523C" w:rsidP="0079466B">
            <w:pPr>
              <w:pStyle w:val="ListParagraph"/>
              <w:numPr>
                <w:ilvl w:val="0"/>
                <w:numId w:val="60"/>
              </w:numPr>
              <w:spacing w:before="0" w:after="200"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pregătirea</w:t>
            </w:r>
            <w:r w:rsidR="00AE0470" w:rsidRPr="001552C0">
              <w:rPr>
                <w:rFonts w:asciiTheme="minorHAnsi" w:hAnsiTheme="minorHAnsi" w:cstheme="minorHAnsi"/>
                <w:b/>
                <w:szCs w:val="24"/>
                <w:lang w:val="ro-RO"/>
              </w:rPr>
              <w:t xml:space="preserve"> pentru reutilizare si reciclarea deșeurilor municipale</w:t>
            </w:r>
            <w:r w:rsidR="00AE0470" w:rsidRPr="001552C0">
              <w:rPr>
                <w:rFonts w:asciiTheme="minorHAnsi" w:hAnsiTheme="minorHAnsi" w:cstheme="minorHAnsi"/>
                <w:szCs w:val="24"/>
                <w:lang w:val="ro-RO"/>
              </w:rPr>
              <w:t xml:space="preserve"> </w:t>
            </w:r>
            <w:r w:rsidR="0094172E" w:rsidRPr="001552C0">
              <w:rPr>
                <w:rFonts w:asciiTheme="minorHAnsi" w:hAnsiTheme="minorHAnsi" w:cstheme="minorHAnsi"/>
                <w:szCs w:val="24"/>
                <w:lang w:val="ro-RO"/>
              </w:rPr>
              <w:t>î</w:t>
            </w:r>
            <w:r w:rsidR="00AE0470" w:rsidRPr="001552C0">
              <w:rPr>
                <w:rFonts w:asciiTheme="minorHAnsi" w:hAnsiTheme="minorHAnsi" w:cstheme="minorHAnsi"/>
                <w:szCs w:val="24"/>
                <w:lang w:val="ro-RO"/>
              </w:rPr>
              <w:t xml:space="preserve">n </w:t>
            </w:r>
            <w:r w:rsidRPr="001552C0">
              <w:rPr>
                <w:rFonts w:asciiTheme="minorHAnsi" w:hAnsiTheme="minorHAnsi" w:cstheme="minorHAnsi"/>
                <w:szCs w:val="24"/>
                <w:lang w:val="ro-RO"/>
              </w:rPr>
              <w:t>proporție</w:t>
            </w:r>
            <w:r w:rsidR="00AE0470" w:rsidRPr="001552C0">
              <w:rPr>
                <w:rFonts w:asciiTheme="minorHAnsi" w:hAnsiTheme="minorHAnsi" w:cstheme="minorHAnsi"/>
                <w:szCs w:val="24"/>
                <w:lang w:val="ro-RO"/>
              </w:rPr>
              <w:t xml:space="preserve"> de 65% din cantitatea totala de </w:t>
            </w:r>
            <w:r w:rsidRPr="001552C0">
              <w:rPr>
                <w:rFonts w:asciiTheme="minorHAnsi" w:hAnsiTheme="minorHAnsi" w:cstheme="minorHAnsi"/>
                <w:szCs w:val="24"/>
                <w:lang w:val="ro-RO"/>
              </w:rPr>
              <w:t>deșeuri</w:t>
            </w:r>
            <w:r w:rsidR="00AE0470" w:rsidRPr="001552C0">
              <w:rPr>
                <w:rFonts w:asciiTheme="minorHAnsi" w:hAnsiTheme="minorHAnsi" w:cstheme="minorHAnsi"/>
                <w:szCs w:val="24"/>
                <w:lang w:val="ro-RO"/>
              </w:rPr>
              <w:t xml:space="preserve"> municipale generate până în 2035</w:t>
            </w:r>
          </w:p>
          <w:p w14:paraId="4B2294B1" w14:textId="77777777" w:rsidR="0094172E" w:rsidRPr="001552C0" w:rsidRDefault="00AE0470" w:rsidP="0094172E">
            <w:pPr>
              <w:pStyle w:val="ListParagraph"/>
              <w:numPr>
                <w:ilvl w:val="0"/>
                <w:numId w:val="60"/>
              </w:numPr>
              <w:spacing w:before="0" w:after="200"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reciclarea deșeurilor de ambalaje</w:t>
            </w:r>
            <w:r w:rsidRPr="001552C0">
              <w:rPr>
                <w:rFonts w:asciiTheme="minorHAnsi" w:hAnsiTheme="minorHAnsi" w:cstheme="minorHAnsi"/>
                <w:szCs w:val="24"/>
                <w:lang w:val="ro-RO"/>
              </w:rPr>
              <w:t xml:space="preserve"> in </w:t>
            </w:r>
            <w:r w:rsidR="0022523C" w:rsidRPr="001552C0">
              <w:rPr>
                <w:rFonts w:asciiTheme="minorHAnsi" w:hAnsiTheme="minorHAnsi" w:cstheme="minorHAnsi"/>
                <w:szCs w:val="24"/>
                <w:lang w:val="ro-RO"/>
              </w:rPr>
              <w:t>proporție</w:t>
            </w:r>
            <w:r w:rsidRPr="001552C0">
              <w:rPr>
                <w:rFonts w:asciiTheme="minorHAnsi" w:hAnsiTheme="minorHAnsi" w:cstheme="minorHAnsi"/>
                <w:szCs w:val="24"/>
                <w:lang w:val="ro-RO"/>
              </w:rPr>
              <w:t xml:space="preserve"> de 70% până în 2030, cu obiective specifice pe tipuri de materiale </w:t>
            </w:r>
          </w:p>
          <w:p w14:paraId="1141D470" w14:textId="08AF2917" w:rsidR="00AE0470" w:rsidRPr="001552C0" w:rsidRDefault="00AE0470" w:rsidP="0094172E">
            <w:pPr>
              <w:pStyle w:val="ListParagraph"/>
              <w:numPr>
                <w:ilvl w:val="0"/>
                <w:numId w:val="60"/>
              </w:numPr>
              <w:spacing w:before="0" w:after="200"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reducerea cantit</w:t>
            </w:r>
            <w:r w:rsidR="0022523C" w:rsidRPr="001552C0">
              <w:rPr>
                <w:rFonts w:asciiTheme="minorHAnsi" w:hAnsiTheme="minorHAnsi" w:cstheme="minorHAnsi"/>
                <w:b/>
                <w:szCs w:val="24"/>
                <w:lang w:val="ro-RO"/>
              </w:rPr>
              <w:t>ăț</w:t>
            </w:r>
            <w:r w:rsidRPr="001552C0">
              <w:rPr>
                <w:rFonts w:asciiTheme="minorHAnsi" w:hAnsiTheme="minorHAnsi" w:cstheme="minorHAnsi"/>
                <w:b/>
                <w:szCs w:val="24"/>
                <w:lang w:val="ro-RO"/>
              </w:rPr>
              <w:t xml:space="preserve">ii totale de </w:t>
            </w:r>
            <w:r w:rsidR="0022523C" w:rsidRPr="001552C0">
              <w:rPr>
                <w:rFonts w:asciiTheme="minorHAnsi" w:hAnsiTheme="minorHAnsi" w:cstheme="minorHAnsi"/>
                <w:b/>
                <w:szCs w:val="24"/>
                <w:lang w:val="ro-RO"/>
              </w:rPr>
              <w:t>deșeuri</w:t>
            </w:r>
            <w:r w:rsidRPr="001552C0">
              <w:rPr>
                <w:rFonts w:asciiTheme="minorHAnsi" w:hAnsiTheme="minorHAnsi" w:cstheme="minorHAnsi"/>
                <w:b/>
                <w:szCs w:val="24"/>
                <w:lang w:val="ro-RO"/>
              </w:rPr>
              <w:t xml:space="preserve"> municipale eliminate prin depozitare</w:t>
            </w:r>
            <w:r w:rsidRPr="001552C0">
              <w:rPr>
                <w:rFonts w:asciiTheme="minorHAnsi" w:hAnsiTheme="minorHAnsi" w:cstheme="minorHAnsi"/>
                <w:szCs w:val="24"/>
                <w:lang w:val="ro-RO"/>
              </w:rPr>
              <w:t xml:space="preserve"> până la cel mult 10 % din totalul deșeurilor municipale generate (in greutate) până în 2035.</w:t>
            </w:r>
          </w:p>
          <w:p w14:paraId="2AF993AD" w14:textId="01023C81" w:rsidR="00AE0470" w:rsidRPr="001552C0" w:rsidRDefault="00AE0470" w:rsidP="0079466B">
            <w:pPr>
              <w:jc w:val="both"/>
              <w:rPr>
                <w:rFonts w:cstheme="minorHAnsi"/>
                <w:sz w:val="24"/>
                <w:szCs w:val="24"/>
              </w:rPr>
            </w:pPr>
            <w:r w:rsidRPr="001552C0">
              <w:rPr>
                <w:rFonts w:cstheme="minorHAnsi"/>
                <w:sz w:val="24"/>
                <w:szCs w:val="24"/>
              </w:rPr>
              <w:lastRenderedPageBreak/>
              <w:t xml:space="preserve">Prin Planul Național de Gestionare a Deșeurilor (PNGD), adoptat prin HG nr. 942/20.12.2017, s-a realizat caracterizarea situației actuale în domeniu (cantități de deșeuri generate și gestionate, instalații existente), identificarea problemelor care cauzează un management ineficient a deșeurilor, stabilirea obiectivelor și țintelor pe baza prevederilor legale, precum și identificarea necesităților investiționale in vederea </w:t>
            </w:r>
            <w:r w:rsidR="0022523C" w:rsidRPr="001552C0">
              <w:rPr>
                <w:rFonts w:cstheme="minorHAnsi"/>
                <w:sz w:val="24"/>
                <w:szCs w:val="24"/>
              </w:rPr>
              <w:t>conformării</w:t>
            </w:r>
            <w:r w:rsidRPr="001552C0">
              <w:rPr>
                <w:rFonts w:cstheme="minorHAnsi"/>
                <w:sz w:val="24"/>
                <w:szCs w:val="24"/>
              </w:rPr>
              <w:t xml:space="preserve"> cu prevederile legislative, precum si cu prima </w:t>
            </w:r>
            <w:r w:rsidR="0022523C" w:rsidRPr="001552C0">
              <w:rPr>
                <w:rFonts w:cstheme="minorHAnsi"/>
                <w:sz w:val="24"/>
                <w:szCs w:val="24"/>
              </w:rPr>
              <w:t>ținta</w:t>
            </w:r>
            <w:r w:rsidRPr="001552C0">
              <w:rPr>
                <w:rFonts w:cstheme="minorHAnsi"/>
                <w:sz w:val="24"/>
                <w:szCs w:val="24"/>
              </w:rPr>
              <w:t xml:space="preserve"> de </w:t>
            </w:r>
            <w:r w:rsidR="0022523C" w:rsidRPr="001552C0">
              <w:rPr>
                <w:rFonts w:cstheme="minorHAnsi"/>
                <w:sz w:val="24"/>
                <w:szCs w:val="24"/>
              </w:rPr>
              <w:t>pregătire</w:t>
            </w:r>
            <w:r w:rsidRPr="001552C0">
              <w:rPr>
                <w:rFonts w:cstheme="minorHAnsi"/>
                <w:sz w:val="24"/>
                <w:szCs w:val="24"/>
              </w:rPr>
              <w:t xml:space="preserve"> pentru reutilizare </w:t>
            </w:r>
            <w:r w:rsidR="0094172E" w:rsidRPr="001552C0">
              <w:rPr>
                <w:rFonts w:cstheme="minorHAnsi"/>
                <w:sz w:val="24"/>
                <w:szCs w:val="24"/>
              </w:rPr>
              <w:t>ș</w:t>
            </w:r>
            <w:r w:rsidRPr="001552C0">
              <w:rPr>
                <w:rFonts w:cstheme="minorHAnsi"/>
                <w:sz w:val="24"/>
                <w:szCs w:val="24"/>
              </w:rPr>
              <w:t xml:space="preserve">i reciclare din </w:t>
            </w:r>
            <w:r w:rsidR="0094172E" w:rsidRPr="001552C0">
              <w:rPr>
                <w:rFonts w:cstheme="minorHAnsi"/>
                <w:sz w:val="24"/>
                <w:szCs w:val="24"/>
              </w:rPr>
              <w:t>PEC</w:t>
            </w:r>
            <w:r w:rsidRPr="001552C0">
              <w:rPr>
                <w:rFonts w:cstheme="minorHAnsi"/>
                <w:sz w:val="24"/>
                <w:szCs w:val="24"/>
              </w:rPr>
              <w:t>.</w:t>
            </w:r>
          </w:p>
          <w:p w14:paraId="43A322F9" w14:textId="5B7D7CDC" w:rsidR="00AE0470" w:rsidRPr="001552C0" w:rsidRDefault="0022523C" w:rsidP="0079466B">
            <w:pPr>
              <w:jc w:val="both"/>
              <w:rPr>
                <w:rFonts w:cstheme="minorHAnsi"/>
                <w:sz w:val="24"/>
                <w:szCs w:val="24"/>
              </w:rPr>
            </w:pPr>
            <w:r w:rsidRPr="001552C0">
              <w:rPr>
                <w:rFonts w:cstheme="minorHAnsi"/>
                <w:sz w:val="24"/>
                <w:szCs w:val="24"/>
              </w:rPr>
              <w:t>Pe lâ</w:t>
            </w:r>
            <w:r w:rsidR="00AE0470" w:rsidRPr="001552C0">
              <w:rPr>
                <w:rFonts w:cstheme="minorHAnsi"/>
                <w:sz w:val="24"/>
                <w:szCs w:val="24"/>
              </w:rPr>
              <w:t>ng</w:t>
            </w:r>
            <w:r w:rsidRPr="001552C0">
              <w:rPr>
                <w:rFonts w:cstheme="minorHAnsi"/>
                <w:sz w:val="24"/>
                <w:szCs w:val="24"/>
              </w:rPr>
              <w:t>ă</w:t>
            </w:r>
            <w:r w:rsidR="00AE0470" w:rsidRPr="001552C0">
              <w:rPr>
                <w:rFonts w:cstheme="minorHAnsi"/>
                <w:sz w:val="24"/>
                <w:szCs w:val="24"/>
              </w:rPr>
              <w:t xml:space="preserve"> PNGD, </w:t>
            </w:r>
            <w:r w:rsidRPr="001552C0">
              <w:rPr>
                <w:rFonts w:cstheme="minorHAnsi"/>
                <w:sz w:val="24"/>
                <w:szCs w:val="24"/>
              </w:rPr>
              <w:t>investițiile</w:t>
            </w:r>
            <w:r w:rsidR="00AE0470" w:rsidRPr="001552C0">
              <w:rPr>
                <w:rFonts w:cstheme="minorHAnsi"/>
                <w:sz w:val="24"/>
                <w:szCs w:val="24"/>
              </w:rPr>
              <w:t xml:space="preserve"> care se vor realiza din PODD vor avea la baz</w:t>
            </w:r>
            <w:r w:rsidR="000E34EE">
              <w:rPr>
                <w:rFonts w:cstheme="minorHAnsi"/>
                <w:sz w:val="24"/>
                <w:szCs w:val="24"/>
              </w:rPr>
              <w:t>ă</w:t>
            </w:r>
            <w:r w:rsidR="00AE0470" w:rsidRPr="001552C0">
              <w:rPr>
                <w:rFonts w:cstheme="minorHAnsi"/>
                <w:sz w:val="24"/>
                <w:szCs w:val="24"/>
              </w:rPr>
              <w:t xml:space="preserve"> </w:t>
            </w:r>
            <w:r w:rsidR="0094172E" w:rsidRPr="001552C0">
              <w:rPr>
                <w:rFonts w:cstheme="minorHAnsi"/>
                <w:sz w:val="24"/>
                <w:szCs w:val="24"/>
              </w:rPr>
              <w:t>ș</w:t>
            </w:r>
            <w:r w:rsidR="00AE0470" w:rsidRPr="001552C0">
              <w:rPr>
                <w:rFonts w:cstheme="minorHAnsi"/>
                <w:sz w:val="24"/>
                <w:szCs w:val="24"/>
              </w:rPr>
              <w:t xml:space="preserve">i planurile </w:t>
            </w:r>
            <w:r w:rsidRPr="001552C0">
              <w:rPr>
                <w:rFonts w:cstheme="minorHAnsi"/>
                <w:sz w:val="24"/>
                <w:szCs w:val="24"/>
              </w:rPr>
              <w:t>județene</w:t>
            </w:r>
            <w:r w:rsidR="0094172E" w:rsidRPr="001552C0">
              <w:rPr>
                <w:rFonts w:cstheme="minorHAnsi"/>
                <w:sz w:val="24"/>
                <w:szCs w:val="24"/>
              </w:rPr>
              <w:t xml:space="preserve"> ș</w:t>
            </w:r>
            <w:r w:rsidR="00AE0470" w:rsidRPr="001552C0">
              <w:rPr>
                <w:rFonts w:cstheme="minorHAnsi"/>
                <w:sz w:val="24"/>
                <w:szCs w:val="24"/>
              </w:rPr>
              <w:t xml:space="preserve">i planul municipiului </w:t>
            </w:r>
            <w:r w:rsidRPr="001552C0">
              <w:rPr>
                <w:rFonts w:cstheme="minorHAnsi"/>
                <w:sz w:val="24"/>
                <w:szCs w:val="24"/>
              </w:rPr>
              <w:t>București</w:t>
            </w:r>
            <w:r w:rsidR="00AE0470" w:rsidRPr="001552C0">
              <w:rPr>
                <w:rFonts w:cstheme="minorHAnsi"/>
                <w:sz w:val="24"/>
                <w:szCs w:val="24"/>
              </w:rPr>
              <w:t xml:space="preserve"> pentru gestionarea </w:t>
            </w:r>
            <w:r w:rsidRPr="001552C0">
              <w:rPr>
                <w:rFonts w:cstheme="minorHAnsi"/>
                <w:sz w:val="24"/>
                <w:szCs w:val="24"/>
              </w:rPr>
              <w:t>deșeurilor</w:t>
            </w:r>
            <w:r w:rsidR="00AE0470" w:rsidRPr="001552C0">
              <w:rPr>
                <w:rFonts w:cstheme="minorHAnsi"/>
                <w:sz w:val="24"/>
                <w:szCs w:val="24"/>
              </w:rPr>
              <w:t xml:space="preserve"> (PJGD), elaborate </w:t>
            </w:r>
            <w:r w:rsidR="000E34EE">
              <w:rPr>
                <w:rFonts w:cstheme="minorHAnsi"/>
                <w:sz w:val="24"/>
                <w:szCs w:val="24"/>
              </w:rPr>
              <w:t>î</w:t>
            </w:r>
            <w:r w:rsidR="00AE0470" w:rsidRPr="001552C0">
              <w:rPr>
                <w:rFonts w:cstheme="minorHAnsi"/>
                <w:sz w:val="24"/>
                <w:szCs w:val="24"/>
              </w:rPr>
              <w:t xml:space="preserve">n conformitate cu Metodologia aprobată prin Ordinul MM nr.140/14.02.2019, care </w:t>
            </w:r>
            <w:r w:rsidR="00071F70" w:rsidRPr="001552C0">
              <w:rPr>
                <w:rFonts w:cstheme="minorHAnsi"/>
                <w:sz w:val="24"/>
                <w:szCs w:val="24"/>
              </w:rPr>
              <w:t>prevăd</w:t>
            </w:r>
            <w:r w:rsidR="00AE0470" w:rsidRPr="001552C0">
              <w:rPr>
                <w:rFonts w:cstheme="minorHAnsi"/>
                <w:sz w:val="24"/>
                <w:szCs w:val="24"/>
              </w:rPr>
              <w:t xml:space="preserve"> în</w:t>
            </w:r>
            <w:r w:rsidR="00071F70" w:rsidRPr="001552C0">
              <w:rPr>
                <w:rFonts w:cstheme="minorHAnsi"/>
                <w:sz w:val="24"/>
                <w:szCs w:val="24"/>
              </w:rPr>
              <w:t xml:space="preserve"> mod explicit și detaliat, pe lângă</w:t>
            </w:r>
            <w:r w:rsidR="00AE0470" w:rsidRPr="001552C0">
              <w:rPr>
                <w:rFonts w:cstheme="minorHAnsi"/>
                <w:sz w:val="24"/>
                <w:szCs w:val="24"/>
              </w:rPr>
              <w:t xml:space="preserve"> obiectele </w:t>
            </w:r>
            <w:r w:rsidR="000E34EE">
              <w:rPr>
                <w:rFonts w:cstheme="minorHAnsi"/>
                <w:sz w:val="24"/>
                <w:szCs w:val="24"/>
              </w:rPr>
              <w:t>ș</w:t>
            </w:r>
            <w:r w:rsidR="00AE0470" w:rsidRPr="001552C0">
              <w:rPr>
                <w:rFonts w:cstheme="minorHAnsi"/>
                <w:sz w:val="24"/>
                <w:szCs w:val="24"/>
              </w:rPr>
              <w:t xml:space="preserve">i </w:t>
            </w:r>
            <w:r w:rsidR="00071F70" w:rsidRPr="001552C0">
              <w:rPr>
                <w:rFonts w:cstheme="minorHAnsi"/>
                <w:sz w:val="24"/>
                <w:szCs w:val="24"/>
              </w:rPr>
              <w:t>țintele</w:t>
            </w:r>
            <w:r w:rsidR="00AE0470" w:rsidRPr="001552C0">
              <w:rPr>
                <w:rFonts w:cstheme="minorHAnsi"/>
                <w:sz w:val="24"/>
                <w:szCs w:val="24"/>
              </w:rPr>
              <w:t xml:space="preserve"> din legisla</w:t>
            </w:r>
            <w:r w:rsidR="00071F70" w:rsidRPr="001552C0">
              <w:rPr>
                <w:rFonts w:cstheme="minorHAnsi"/>
                <w:sz w:val="24"/>
                <w:szCs w:val="24"/>
              </w:rPr>
              <w:t>ți</w:t>
            </w:r>
            <w:r w:rsidR="00AE0470" w:rsidRPr="001552C0">
              <w:rPr>
                <w:rFonts w:cstheme="minorHAnsi"/>
                <w:sz w:val="24"/>
                <w:szCs w:val="24"/>
              </w:rPr>
              <w:t xml:space="preserve">a </w:t>
            </w:r>
            <w:r w:rsidR="00071F70" w:rsidRPr="001552C0">
              <w:rPr>
                <w:rFonts w:cstheme="minorHAnsi"/>
                <w:sz w:val="24"/>
                <w:szCs w:val="24"/>
              </w:rPr>
              <w:t>națională actuală</w:t>
            </w:r>
            <w:r w:rsidR="00AE0470" w:rsidRPr="001552C0">
              <w:rPr>
                <w:rFonts w:cstheme="minorHAnsi"/>
                <w:sz w:val="24"/>
                <w:szCs w:val="24"/>
              </w:rPr>
              <w:t xml:space="preserve">, </w:t>
            </w:r>
            <w:r w:rsidR="00071F70" w:rsidRPr="001552C0">
              <w:rPr>
                <w:rFonts w:cstheme="minorHAnsi"/>
                <w:sz w:val="24"/>
                <w:szCs w:val="24"/>
              </w:rPr>
              <w:t>ș</w:t>
            </w:r>
            <w:r w:rsidR="00AE0470" w:rsidRPr="001552C0">
              <w:rPr>
                <w:rFonts w:cstheme="minorHAnsi"/>
                <w:sz w:val="24"/>
                <w:szCs w:val="24"/>
              </w:rPr>
              <w:t xml:space="preserve">i obiectivele </w:t>
            </w:r>
            <w:r w:rsidR="0094172E" w:rsidRPr="001552C0">
              <w:rPr>
                <w:rFonts w:cstheme="minorHAnsi"/>
                <w:sz w:val="24"/>
                <w:szCs w:val="24"/>
              </w:rPr>
              <w:t>ș</w:t>
            </w:r>
            <w:r w:rsidR="00AE0470" w:rsidRPr="001552C0">
              <w:rPr>
                <w:rFonts w:cstheme="minorHAnsi"/>
                <w:sz w:val="24"/>
                <w:szCs w:val="24"/>
              </w:rPr>
              <w:t xml:space="preserve">i </w:t>
            </w:r>
            <w:r w:rsidR="00071F70" w:rsidRPr="001552C0">
              <w:rPr>
                <w:rFonts w:cstheme="minorHAnsi"/>
                <w:sz w:val="24"/>
                <w:szCs w:val="24"/>
              </w:rPr>
              <w:t>țintele</w:t>
            </w:r>
            <w:r w:rsidR="00AE0470" w:rsidRPr="001552C0">
              <w:rPr>
                <w:rFonts w:cstheme="minorHAnsi"/>
                <w:sz w:val="24"/>
                <w:szCs w:val="24"/>
              </w:rPr>
              <w:t xml:space="preserve"> din P</w:t>
            </w:r>
            <w:r w:rsidR="0094172E" w:rsidRPr="001552C0">
              <w:rPr>
                <w:rFonts w:cstheme="minorHAnsi"/>
                <w:sz w:val="24"/>
                <w:szCs w:val="24"/>
              </w:rPr>
              <w:t>EC</w:t>
            </w:r>
            <w:r w:rsidR="00AE0470" w:rsidRPr="001552C0">
              <w:rPr>
                <w:rFonts w:cstheme="minorHAnsi"/>
                <w:sz w:val="24"/>
                <w:szCs w:val="24"/>
              </w:rPr>
              <w:t xml:space="preserve">. </w:t>
            </w:r>
          </w:p>
          <w:p w14:paraId="56A935B2" w14:textId="58C4E7F8" w:rsidR="00AE0470" w:rsidRPr="001552C0" w:rsidRDefault="00AE0470" w:rsidP="0079466B">
            <w:pPr>
              <w:jc w:val="both"/>
              <w:rPr>
                <w:rFonts w:cstheme="minorHAnsi"/>
                <w:sz w:val="24"/>
                <w:szCs w:val="24"/>
              </w:rPr>
            </w:pPr>
            <w:r w:rsidRPr="001552C0">
              <w:rPr>
                <w:rFonts w:cstheme="minorHAnsi"/>
                <w:sz w:val="24"/>
                <w:szCs w:val="24"/>
              </w:rPr>
              <w:t xml:space="preserve">Investițiile totale necesare la nivel </w:t>
            </w:r>
            <w:r w:rsidR="00071F70" w:rsidRPr="001552C0">
              <w:rPr>
                <w:rFonts w:cstheme="minorHAnsi"/>
                <w:sz w:val="24"/>
                <w:szCs w:val="24"/>
              </w:rPr>
              <w:t>național</w:t>
            </w:r>
            <w:r w:rsidRPr="001552C0">
              <w:rPr>
                <w:rFonts w:cstheme="minorHAnsi"/>
                <w:sz w:val="24"/>
                <w:szCs w:val="24"/>
              </w:rPr>
              <w:t xml:space="preserve"> pentru conformarea cu </w:t>
            </w:r>
            <w:r w:rsidR="00071F70" w:rsidRPr="001552C0">
              <w:rPr>
                <w:rFonts w:cstheme="minorHAnsi"/>
                <w:sz w:val="24"/>
                <w:szCs w:val="24"/>
              </w:rPr>
              <w:t>legislația</w:t>
            </w:r>
            <w:r w:rsidRPr="001552C0">
              <w:rPr>
                <w:rFonts w:cstheme="minorHAnsi"/>
                <w:sz w:val="24"/>
                <w:szCs w:val="24"/>
              </w:rPr>
              <w:t xml:space="preserve"> </w:t>
            </w:r>
            <w:r w:rsidR="00071F70" w:rsidRPr="001552C0">
              <w:rPr>
                <w:rFonts w:cstheme="minorHAnsi"/>
                <w:sz w:val="24"/>
                <w:szCs w:val="24"/>
              </w:rPr>
              <w:t>națională</w:t>
            </w:r>
            <w:r w:rsidRPr="001552C0">
              <w:rPr>
                <w:rFonts w:cstheme="minorHAnsi"/>
                <w:sz w:val="24"/>
                <w:szCs w:val="24"/>
              </w:rPr>
              <w:t xml:space="preserve"> </w:t>
            </w:r>
            <w:r w:rsidR="00071F70" w:rsidRPr="001552C0">
              <w:rPr>
                <w:rFonts w:cstheme="minorHAnsi"/>
                <w:sz w:val="24"/>
                <w:szCs w:val="24"/>
              </w:rPr>
              <w:t>ș</w:t>
            </w:r>
            <w:r w:rsidRPr="001552C0">
              <w:rPr>
                <w:rFonts w:cstheme="minorHAnsi"/>
                <w:sz w:val="24"/>
                <w:szCs w:val="24"/>
              </w:rPr>
              <w:t>i european</w:t>
            </w:r>
            <w:r w:rsidR="00071F70" w:rsidRPr="001552C0">
              <w:rPr>
                <w:rFonts w:cstheme="minorHAnsi"/>
                <w:sz w:val="24"/>
                <w:szCs w:val="24"/>
              </w:rPr>
              <w:t>ă</w:t>
            </w:r>
            <w:r w:rsidRPr="001552C0">
              <w:rPr>
                <w:rFonts w:cstheme="minorHAnsi"/>
                <w:sz w:val="24"/>
                <w:szCs w:val="24"/>
              </w:rPr>
              <w:t>, inclusiv prevederile P</w:t>
            </w:r>
            <w:r w:rsidR="0094172E" w:rsidRPr="001552C0">
              <w:rPr>
                <w:rFonts w:cstheme="minorHAnsi"/>
                <w:sz w:val="24"/>
                <w:szCs w:val="24"/>
              </w:rPr>
              <w:t>EC</w:t>
            </w:r>
            <w:r w:rsidRPr="001552C0">
              <w:rPr>
                <w:rFonts w:cstheme="minorHAnsi"/>
                <w:b/>
                <w:sz w:val="24"/>
                <w:szCs w:val="24"/>
              </w:rPr>
              <w:t xml:space="preserve"> </w:t>
            </w:r>
            <w:r w:rsidRPr="001552C0">
              <w:rPr>
                <w:rFonts w:cstheme="minorHAnsi"/>
                <w:sz w:val="24"/>
                <w:szCs w:val="24"/>
              </w:rPr>
              <w:t>sunt estimate</w:t>
            </w:r>
            <w:r w:rsidRPr="001552C0">
              <w:rPr>
                <w:rFonts w:cstheme="minorHAnsi"/>
                <w:b/>
                <w:sz w:val="24"/>
                <w:szCs w:val="24"/>
              </w:rPr>
              <w:t xml:space="preserve"> la 2 miliarde Euro</w:t>
            </w:r>
            <w:r w:rsidRPr="001552C0">
              <w:rPr>
                <w:rFonts w:cstheme="minorHAnsi"/>
                <w:sz w:val="24"/>
                <w:szCs w:val="24"/>
              </w:rPr>
              <w:t xml:space="preserve">. Dintre acestea, conform </w:t>
            </w:r>
            <w:r w:rsidR="00071F70" w:rsidRPr="001552C0">
              <w:rPr>
                <w:rFonts w:cstheme="minorHAnsi"/>
                <w:sz w:val="24"/>
                <w:szCs w:val="24"/>
              </w:rPr>
              <w:t>estimării</w:t>
            </w:r>
            <w:r w:rsidRPr="001552C0">
              <w:rPr>
                <w:rFonts w:cstheme="minorHAnsi"/>
                <w:sz w:val="24"/>
                <w:szCs w:val="24"/>
              </w:rPr>
              <w:t xml:space="preserve"> realizate de </w:t>
            </w:r>
            <w:r w:rsidR="0094172E" w:rsidRPr="001552C0">
              <w:rPr>
                <w:rFonts w:cstheme="minorHAnsi"/>
                <w:sz w:val="24"/>
                <w:szCs w:val="24"/>
              </w:rPr>
              <w:t>către</w:t>
            </w:r>
            <w:r w:rsidRPr="001552C0">
              <w:rPr>
                <w:rFonts w:cstheme="minorHAnsi"/>
                <w:sz w:val="24"/>
                <w:szCs w:val="24"/>
              </w:rPr>
              <w:t xml:space="preserve"> PASSA BEI, circa 1,3 miliarde Euro</w:t>
            </w:r>
            <w:r w:rsidRPr="001552C0">
              <w:rPr>
                <w:rFonts w:cstheme="minorHAnsi"/>
                <w:b/>
                <w:sz w:val="24"/>
                <w:szCs w:val="24"/>
              </w:rPr>
              <w:t xml:space="preserve"> </w:t>
            </w:r>
            <w:r w:rsidR="00071F70" w:rsidRPr="001552C0">
              <w:rPr>
                <w:rFonts w:cstheme="minorHAnsi"/>
                <w:sz w:val="24"/>
                <w:szCs w:val="24"/>
              </w:rPr>
              <w:t>reprezintă</w:t>
            </w:r>
            <w:r w:rsidRPr="001552C0">
              <w:rPr>
                <w:rFonts w:cstheme="minorHAnsi"/>
                <w:sz w:val="24"/>
                <w:szCs w:val="24"/>
              </w:rPr>
              <w:t xml:space="preserve"> valoarea </w:t>
            </w:r>
            <w:r w:rsidR="00071F70" w:rsidRPr="001552C0">
              <w:rPr>
                <w:rFonts w:cstheme="minorHAnsi"/>
                <w:sz w:val="24"/>
                <w:szCs w:val="24"/>
              </w:rPr>
              <w:t>investițiilor</w:t>
            </w:r>
            <w:r w:rsidRPr="001552C0">
              <w:rPr>
                <w:rFonts w:cstheme="minorHAnsi"/>
                <w:sz w:val="24"/>
                <w:szCs w:val="24"/>
              </w:rPr>
              <w:t xml:space="preserve"> pentru </w:t>
            </w:r>
            <w:r w:rsidR="0094172E" w:rsidRPr="001552C0">
              <w:rPr>
                <w:rFonts w:cstheme="minorHAnsi"/>
                <w:sz w:val="24"/>
                <w:szCs w:val="24"/>
              </w:rPr>
              <w:t>îmbunătățirea</w:t>
            </w:r>
            <w:r w:rsidRPr="001552C0">
              <w:rPr>
                <w:rFonts w:cstheme="minorHAnsi"/>
                <w:sz w:val="24"/>
                <w:szCs w:val="24"/>
              </w:rPr>
              <w:t xml:space="preserve"> </w:t>
            </w:r>
            <w:r w:rsidR="0094172E" w:rsidRPr="001552C0">
              <w:rPr>
                <w:rFonts w:cstheme="minorHAnsi"/>
                <w:sz w:val="24"/>
                <w:szCs w:val="24"/>
              </w:rPr>
              <w:t>ș</w:t>
            </w:r>
            <w:r w:rsidRPr="001552C0">
              <w:rPr>
                <w:rFonts w:cstheme="minorHAnsi"/>
                <w:sz w:val="24"/>
                <w:szCs w:val="24"/>
              </w:rPr>
              <w:t>i extinderea celor 32 proiecte SMID. Restul</w:t>
            </w:r>
            <w:r w:rsidR="000E34EE">
              <w:rPr>
                <w:rFonts w:cstheme="minorHAnsi"/>
                <w:sz w:val="24"/>
                <w:szCs w:val="24"/>
              </w:rPr>
              <w:t>,</w:t>
            </w:r>
            <w:r w:rsidRPr="001552C0">
              <w:rPr>
                <w:rFonts w:cstheme="minorHAnsi"/>
                <w:sz w:val="24"/>
                <w:szCs w:val="24"/>
              </w:rPr>
              <w:t xml:space="preserve"> de circa 0,7 miliarde Euro</w:t>
            </w:r>
            <w:r w:rsidR="000E34EE">
              <w:rPr>
                <w:rFonts w:cstheme="minorHAnsi"/>
                <w:sz w:val="24"/>
                <w:szCs w:val="24"/>
              </w:rPr>
              <w:t>,</w:t>
            </w:r>
            <w:r w:rsidRPr="001552C0">
              <w:rPr>
                <w:rFonts w:cstheme="minorHAnsi"/>
                <w:sz w:val="24"/>
                <w:szCs w:val="24"/>
              </w:rPr>
              <w:t xml:space="preserve"> </w:t>
            </w:r>
            <w:r w:rsidR="00071F70" w:rsidRPr="001552C0">
              <w:rPr>
                <w:rFonts w:cstheme="minorHAnsi"/>
                <w:sz w:val="24"/>
                <w:szCs w:val="24"/>
              </w:rPr>
              <w:t>reprezintă</w:t>
            </w:r>
            <w:r w:rsidRPr="001552C0">
              <w:rPr>
                <w:rFonts w:cstheme="minorHAnsi"/>
                <w:sz w:val="24"/>
                <w:szCs w:val="24"/>
              </w:rPr>
              <w:t xml:space="preserve"> valoarea </w:t>
            </w:r>
            <w:r w:rsidR="00071F70" w:rsidRPr="001552C0">
              <w:rPr>
                <w:rFonts w:cstheme="minorHAnsi"/>
                <w:sz w:val="24"/>
                <w:szCs w:val="24"/>
              </w:rPr>
              <w:t>investițiilor</w:t>
            </w:r>
            <w:r w:rsidRPr="001552C0">
              <w:rPr>
                <w:rFonts w:cstheme="minorHAnsi"/>
                <w:sz w:val="24"/>
                <w:szCs w:val="24"/>
              </w:rPr>
              <w:t xml:space="preserve"> necesare pentru conformare pentru cele 9 </w:t>
            </w:r>
            <w:r w:rsidR="00071F70" w:rsidRPr="001552C0">
              <w:rPr>
                <w:rFonts w:cstheme="minorHAnsi"/>
                <w:sz w:val="24"/>
                <w:szCs w:val="24"/>
              </w:rPr>
              <w:t>județe</w:t>
            </w:r>
            <w:r w:rsidRPr="001552C0">
              <w:rPr>
                <w:rFonts w:cstheme="minorHAnsi"/>
                <w:sz w:val="24"/>
                <w:szCs w:val="24"/>
              </w:rPr>
              <w:t xml:space="preserve"> si municipiul </w:t>
            </w:r>
            <w:r w:rsidR="00071F70" w:rsidRPr="001552C0">
              <w:rPr>
                <w:rFonts w:cstheme="minorHAnsi"/>
                <w:sz w:val="24"/>
                <w:szCs w:val="24"/>
              </w:rPr>
              <w:t>București, care încă</w:t>
            </w:r>
            <w:r w:rsidRPr="001552C0">
              <w:rPr>
                <w:rFonts w:cstheme="minorHAnsi"/>
                <w:sz w:val="24"/>
                <w:szCs w:val="24"/>
              </w:rPr>
              <w:t xml:space="preserve"> nu au implementat un proiect SMID. </w:t>
            </w:r>
          </w:p>
          <w:p w14:paraId="347DD30B" w14:textId="7B2CC236" w:rsidR="00AE0470" w:rsidRPr="001552C0" w:rsidRDefault="00071F70" w:rsidP="0079466B">
            <w:pPr>
              <w:jc w:val="both"/>
              <w:rPr>
                <w:rFonts w:cstheme="minorHAnsi"/>
                <w:sz w:val="24"/>
                <w:szCs w:val="24"/>
              </w:rPr>
            </w:pPr>
            <w:r w:rsidRPr="001552C0">
              <w:rPr>
                <w:rFonts w:cstheme="minorHAnsi"/>
                <w:sz w:val="24"/>
                <w:szCs w:val="24"/>
              </w:rPr>
              <w:t>Jumătate</w:t>
            </w:r>
            <w:r w:rsidR="00AE0470" w:rsidRPr="001552C0">
              <w:rPr>
                <w:rFonts w:cstheme="minorHAnsi"/>
                <w:sz w:val="24"/>
                <w:szCs w:val="24"/>
              </w:rPr>
              <w:t xml:space="preserve"> din </w:t>
            </w:r>
            <w:r w:rsidRPr="001552C0">
              <w:rPr>
                <w:rFonts w:cstheme="minorHAnsi"/>
                <w:sz w:val="24"/>
                <w:szCs w:val="24"/>
              </w:rPr>
              <w:t>necesarul</w:t>
            </w:r>
            <w:r w:rsidR="00AE0470" w:rsidRPr="001552C0">
              <w:rPr>
                <w:rFonts w:cstheme="minorHAnsi"/>
                <w:sz w:val="24"/>
                <w:szCs w:val="24"/>
              </w:rPr>
              <w:t xml:space="preserve"> de</w:t>
            </w:r>
            <w:r w:rsidR="00AE0470" w:rsidRPr="001552C0">
              <w:rPr>
                <w:rFonts w:cstheme="minorHAnsi"/>
                <w:b/>
                <w:sz w:val="24"/>
                <w:szCs w:val="24"/>
              </w:rPr>
              <w:t xml:space="preserve"> </w:t>
            </w:r>
            <w:r w:rsidR="00AE0470" w:rsidRPr="001552C0">
              <w:rPr>
                <w:rFonts w:cstheme="minorHAnsi"/>
                <w:sz w:val="24"/>
                <w:szCs w:val="24"/>
              </w:rPr>
              <w:t xml:space="preserve">investiții (circa 1 miliard Euro) sunt </w:t>
            </w:r>
            <w:r w:rsidRPr="001552C0">
              <w:rPr>
                <w:rFonts w:cstheme="minorHAnsi"/>
                <w:sz w:val="24"/>
                <w:szCs w:val="24"/>
              </w:rPr>
              <w:t>investiții</w:t>
            </w:r>
            <w:r w:rsidR="00AE0470" w:rsidRPr="001552C0">
              <w:rPr>
                <w:rFonts w:cstheme="minorHAnsi"/>
                <w:sz w:val="24"/>
                <w:szCs w:val="24"/>
              </w:rPr>
              <w:t xml:space="preserve"> necesare pe</w:t>
            </w:r>
            <w:r w:rsidRPr="001552C0">
              <w:rPr>
                <w:rFonts w:cstheme="minorHAnsi"/>
                <w:sz w:val="24"/>
                <w:szCs w:val="24"/>
              </w:rPr>
              <w:t>ntru atingerea obiectivelor de pregătire</w:t>
            </w:r>
            <w:r w:rsidR="00AE0470" w:rsidRPr="001552C0">
              <w:rPr>
                <w:rFonts w:cstheme="minorHAnsi"/>
                <w:sz w:val="24"/>
                <w:szCs w:val="24"/>
              </w:rPr>
              <w:t xml:space="preserve"> pentru reutilizare </w:t>
            </w:r>
            <w:r w:rsidR="0094172E" w:rsidRPr="001552C0">
              <w:rPr>
                <w:rFonts w:cstheme="minorHAnsi"/>
                <w:sz w:val="24"/>
                <w:szCs w:val="24"/>
              </w:rPr>
              <w:t>ș</w:t>
            </w:r>
            <w:r w:rsidR="00AE0470" w:rsidRPr="001552C0">
              <w:rPr>
                <w:rFonts w:cstheme="minorHAnsi"/>
                <w:sz w:val="24"/>
                <w:szCs w:val="24"/>
              </w:rPr>
              <w:t>i reciclare la nivelul obiectivelor din P</w:t>
            </w:r>
            <w:r w:rsidR="0094172E" w:rsidRPr="001552C0">
              <w:rPr>
                <w:rFonts w:cstheme="minorHAnsi"/>
                <w:sz w:val="24"/>
                <w:szCs w:val="24"/>
              </w:rPr>
              <w:t>EC</w:t>
            </w:r>
            <w:r w:rsidR="00AE0470" w:rsidRPr="001552C0">
              <w:rPr>
                <w:rFonts w:cstheme="minorHAnsi"/>
                <w:sz w:val="24"/>
                <w:szCs w:val="24"/>
              </w:rPr>
              <w:t xml:space="preserve"> (dezvoltarea </w:t>
            </w:r>
            <w:r w:rsidR="0094172E" w:rsidRPr="001552C0">
              <w:rPr>
                <w:rFonts w:cstheme="minorHAnsi"/>
                <w:sz w:val="24"/>
                <w:szCs w:val="24"/>
              </w:rPr>
              <w:t>sistemului de colectare separată</w:t>
            </w:r>
            <w:r w:rsidR="00AE0470" w:rsidRPr="001552C0">
              <w:rPr>
                <w:rFonts w:cstheme="minorHAnsi"/>
                <w:sz w:val="24"/>
                <w:szCs w:val="24"/>
              </w:rPr>
              <w:t xml:space="preserve"> a </w:t>
            </w:r>
            <w:r w:rsidRPr="001552C0">
              <w:rPr>
                <w:rFonts w:cstheme="minorHAnsi"/>
                <w:sz w:val="24"/>
                <w:szCs w:val="24"/>
              </w:rPr>
              <w:t>deșeurilor</w:t>
            </w:r>
            <w:r w:rsidR="00AE0470" w:rsidRPr="001552C0">
              <w:rPr>
                <w:rFonts w:cstheme="minorHAnsi"/>
                <w:sz w:val="24"/>
                <w:szCs w:val="24"/>
              </w:rPr>
              <w:t xml:space="preserve"> reciclabile </w:t>
            </w:r>
            <w:r w:rsidR="0094172E" w:rsidRPr="001552C0">
              <w:rPr>
                <w:rFonts w:cstheme="minorHAnsi"/>
                <w:sz w:val="24"/>
                <w:szCs w:val="24"/>
              </w:rPr>
              <w:t>ș</w:t>
            </w:r>
            <w:r w:rsidR="00AE0470" w:rsidRPr="001552C0">
              <w:rPr>
                <w:rFonts w:cstheme="minorHAnsi"/>
                <w:sz w:val="24"/>
                <w:szCs w:val="24"/>
              </w:rPr>
              <w:t>i bio</w:t>
            </w:r>
            <w:r w:rsidRPr="001552C0">
              <w:rPr>
                <w:rFonts w:cstheme="minorHAnsi"/>
                <w:sz w:val="24"/>
                <w:szCs w:val="24"/>
              </w:rPr>
              <w:t>-</w:t>
            </w:r>
            <w:r w:rsidR="00AE0470" w:rsidRPr="001552C0">
              <w:rPr>
                <w:rFonts w:cstheme="minorHAnsi"/>
                <w:sz w:val="24"/>
                <w:szCs w:val="24"/>
              </w:rPr>
              <w:t>de</w:t>
            </w:r>
            <w:r w:rsidRPr="001552C0">
              <w:rPr>
                <w:rFonts w:cstheme="minorHAnsi"/>
                <w:sz w:val="24"/>
                <w:szCs w:val="24"/>
              </w:rPr>
              <w:t>ș</w:t>
            </w:r>
            <w:r w:rsidR="00AE0470" w:rsidRPr="001552C0">
              <w:rPr>
                <w:rFonts w:cstheme="minorHAnsi"/>
                <w:sz w:val="24"/>
                <w:szCs w:val="24"/>
              </w:rPr>
              <w:t xml:space="preserve">eurilor, </w:t>
            </w:r>
            <w:r w:rsidRPr="001552C0">
              <w:rPr>
                <w:rFonts w:cstheme="minorHAnsi"/>
                <w:sz w:val="24"/>
                <w:szCs w:val="24"/>
              </w:rPr>
              <w:t>instalații</w:t>
            </w:r>
            <w:r w:rsidR="00AE0470" w:rsidRPr="001552C0">
              <w:rPr>
                <w:rFonts w:cstheme="minorHAnsi"/>
                <w:sz w:val="24"/>
                <w:szCs w:val="24"/>
              </w:rPr>
              <w:t xml:space="preserve"> de sortare </w:t>
            </w:r>
            <w:r w:rsidR="0094172E" w:rsidRPr="001552C0">
              <w:rPr>
                <w:rFonts w:cstheme="minorHAnsi"/>
                <w:sz w:val="24"/>
                <w:szCs w:val="24"/>
              </w:rPr>
              <w:t>ș</w:t>
            </w:r>
            <w:r w:rsidR="00AE0470" w:rsidRPr="001552C0">
              <w:rPr>
                <w:rFonts w:cstheme="minorHAnsi"/>
                <w:sz w:val="24"/>
                <w:szCs w:val="24"/>
              </w:rPr>
              <w:t xml:space="preserve">i </w:t>
            </w:r>
            <w:r w:rsidRPr="001552C0">
              <w:rPr>
                <w:rFonts w:cstheme="minorHAnsi"/>
                <w:sz w:val="24"/>
                <w:szCs w:val="24"/>
              </w:rPr>
              <w:t>instalații</w:t>
            </w:r>
            <w:r w:rsidR="00AE0470" w:rsidRPr="001552C0">
              <w:rPr>
                <w:rFonts w:cstheme="minorHAnsi"/>
                <w:sz w:val="24"/>
                <w:szCs w:val="24"/>
              </w:rPr>
              <w:t xml:space="preserve"> de tratare a bio</w:t>
            </w:r>
            <w:r w:rsidRPr="001552C0">
              <w:rPr>
                <w:rFonts w:cstheme="minorHAnsi"/>
                <w:sz w:val="24"/>
                <w:szCs w:val="24"/>
              </w:rPr>
              <w:t>-</w:t>
            </w:r>
            <w:r w:rsidR="00AE0470" w:rsidRPr="001552C0">
              <w:rPr>
                <w:rFonts w:cstheme="minorHAnsi"/>
                <w:sz w:val="24"/>
                <w:szCs w:val="24"/>
              </w:rPr>
              <w:t>de</w:t>
            </w:r>
            <w:r w:rsidRPr="001552C0">
              <w:rPr>
                <w:rFonts w:cstheme="minorHAnsi"/>
                <w:sz w:val="24"/>
                <w:szCs w:val="24"/>
              </w:rPr>
              <w:t>ș</w:t>
            </w:r>
            <w:r w:rsidR="00AE0470" w:rsidRPr="001552C0">
              <w:rPr>
                <w:rFonts w:cstheme="minorHAnsi"/>
                <w:sz w:val="24"/>
                <w:szCs w:val="24"/>
              </w:rPr>
              <w:t xml:space="preserve">eurilor colectate separat, respectiv </w:t>
            </w:r>
            <w:r w:rsidRPr="001552C0">
              <w:rPr>
                <w:rFonts w:cstheme="minorHAnsi"/>
                <w:sz w:val="24"/>
                <w:szCs w:val="24"/>
              </w:rPr>
              <w:t>instalații</w:t>
            </w:r>
            <w:r w:rsidR="00AE0470" w:rsidRPr="001552C0">
              <w:rPr>
                <w:rFonts w:cstheme="minorHAnsi"/>
                <w:sz w:val="24"/>
                <w:szCs w:val="24"/>
              </w:rPr>
              <w:t xml:space="preserve"> de digestie anaerob</w:t>
            </w:r>
            <w:r w:rsidR="003B20F3">
              <w:rPr>
                <w:rFonts w:cstheme="minorHAnsi"/>
                <w:sz w:val="24"/>
                <w:szCs w:val="24"/>
              </w:rPr>
              <w:t>ă</w:t>
            </w:r>
            <w:r w:rsidR="00AE0470" w:rsidRPr="001552C0">
              <w:rPr>
                <w:rFonts w:cstheme="minorHAnsi"/>
                <w:sz w:val="24"/>
                <w:szCs w:val="24"/>
              </w:rPr>
              <w:t xml:space="preserve"> </w:t>
            </w:r>
            <w:r w:rsidR="0094172E" w:rsidRPr="001552C0">
              <w:rPr>
                <w:rFonts w:cstheme="minorHAnsi"/>
                <w:sz w:val="24"/>
                <w:szCs w:val="24"/>
              </w:rPr>
              <w:t>ș</w:t>
            </w:r>
            <w:r w:rsidR="00AE0470" w:rsidRPr="001552C0">
              <w:rPr>
                <w:rFonts w:cstheme="minorHAnsi"/>
                <w:sz w:val="24"/>
                <w:szCs w:val="24"/>
              </w:rPr>
              <w:t xml:space="preserve">i </w:t>
            </w:r>
            <w:r w:rsidRPr="001552C0">
              <w:rPr>
                <w:rFonts w:cstheme="minorHAnsi"/>
                <w:sz w:val="24"/>
                <w:szCs w:val="24"/>
              </w:rPr>
              <w:t>instalații</w:t>
            </w:r>
            <w:r w:rsidR="00AE0470" w:rsidRPr="001552C0">
              <w:rPr>
                <w:rFonts w:cstheme="minorHAnsi"/>
                <w:sz w:val="24"/>
                <w:szCs w:val="24"/>
              </w:rPr>
              <w:t xml:space="preserve"> de compostare). Cealaltă jumătate a necesarului de </w:t>
            </w:r>
            <w:r w:rsidRPr="001552C0">
              <w:rPr>
                <w:rFonts w:cstheme="minorHAnsi"/>
                <w:sz w:val="24"/>
                <w:szCs w:val="24"/>
              </w:rPr>
              <w:t>investiții</w:t>
            </w:r>
            <w:r w:rsidR="00AE0470" w:rsidRPr="001552C0">
              <w:rPr>
                <w:rFonts w:cstheme="minorHAnsi"/>
                <w:sz w:val="24"/>
                <w:szCs w:val="24"/>
              </w:rPr>
              <w:t xml:space="preserve"> se refer</w:t>
            </w:r>
            <w:r w:rsidR="003B20F3">
              <w:rPr>
                <w:rFonts w:cstheme="minorHAnsi"/>
                <w:sz w:val="24"/>
                <w:szCs w:val="24"/>
              </w:rPr>
              <w:t>ă</w:t>
            </w:r>
            <w:r w:rsidR="00AE0470" w:rsidRPr="001552C0">
              <w:rPr>
                <w:rFonts w:cstheme="minorHAnsi"/>
                <w:sz w:val="24"/>
                <w:szCs w:val="24"/>
              </w:rPr>
              <w:t xml:space="preserve"> la tratarea deșeurilor reziduale (</w:t>
            </w:r>
            <w:r w:rsidRPr="001552C0">
              <w:rPr>
                <w:rFonts w:cstheme="minorHAnsi"/>
                <w:sz w:val="24"/>
                <w:szCs w:val="24"/>
              </w:rPr>
              <w:t>instalații de tratare mecano-biologică</w:t>
            </w:r>
            <w:r w:rsidR="00AE0470" w:rsidRPr="001552C0">
              <w:rPr>
                <w:rFonts w:cstheme="minorHAnsi"/>
                <w:sz w:val="24"/>
                <w:szCs w:val="24"/>
              </w:rPr>
              <w:t xml:space="preserve">, eventual una sau mai multe </w:t>
            </w:r>
            <w:r w:rsidRPr="001552C0">
              <w:rPr>
                <w:rFonts w:cstheme="minorHAnsi"/>
                <w:sz w:val="24"/>
                <w:szCs w:val="24"/>
              </w:rPr>
              <w:t>instalații</w:t>
            </w:r>
            <w:r w:rsidR="00AE0470" w:rsidRPr="001552C0">
              <w:rPr>
                <w:rFonts w:cstheme="minorHAnsi"/>
                <w:sz w:val="24"/>
                <w:szCs w:val="24"/>
              </w:rPr>
              <w:t xml:space="preserve"> de incinerare cu valorificare energetic</w:t>
            </w:r>
            <w:r w:rsidR="003B20F3">
              <w:rPr>
                <w:rFonts w:cstheme="minorHAnsi"/>
                <w:sz w:val="24"/>
                <w:szCs w:val="24"/>
              </w:rPr>
              <w:t>ă</w:t>
            </w:r>
            <w:r w:rsidR="00AE0470" w:rsidRPr="001552C0">
              <w:rPr>
                <w:rFonts w:cstheme="minorHAnsi"/>
                <w:sz w:val="24"/>
                <w:szCs w:val="24"/>
              </w:rPr>
              <w:t xml:space="preserve"> și extinderea </w:t>
            </w:r>
            <w:r w:rsidRPr="001552C0">
              <w:rPr>
                <w:rFonts w:cstheme="minorHAnsi"/>
                <w:sz w:val="24"/>
                <w:szCs w:val="24"/>
              </w:rPr>
              <w:t>capacităților</w:t>
            </w:r>
            <w:r w:rsidR="00AE0470" w:rsidRPr="001552C0">
              <w:rPr>
                <w:rFonts w:cstheme="minorHAnsi"/>
                <w:sz w:val="24"/>
                <w:szCs w:val="24"/>
              </w:rPr>
              <w:t xml:space="preserve"> de depozitare existent</w:t>
            </w:r>
            <w:r w:rsidR="003B20F3">
              <w:rPr>
                <w:rFonts w:cstheme="minorHAnsi"/>
                <w:sz w:val="24"/>
                <w:szCs w:val="24"/>
              </w:rPr>
              <w:t>e</w:t>
            </w:r>
            <w:r w:rsidR="00AE0470" w:rsidRPr="001552C0">
              <w:rPr>
                <w:rFonts w:cstheme="minorHAnsi"/>
                <w:sz w:val="24"/>
                <w:szCs w:val="24"/>
              </w:rPr>
              <w:t>).  Investițiile în instalații de tratare mecanico-biologi</w:t>
            </w:r>
            <w:r w:rsidR="003B20F3">
              <w:rPr>
                <w:rFonts w:cstheme="minorHAnsi"/>
                <w:sz w:val="24"/>
                <w:szCs w:val="24"/>
              </w:rPr>
              <w:t>că</w:t>
            </w:r>
            <w:r w:rsidR="00AE0470" w:rsidRPr="001552C0">
              <w:rPr>
                <w:rFonts w:cstheme="minorHAnsi"/>
                <w:sz w:val="24"/>
                <w:szCs w:val="24"/>
              </w:rPr>
              <w:t xml:space="preserve"> sunt </w:t>
            </w:r>
            <w:r w:rsidRPr="001552C0">
              <w:rPr>
                <w:rFonts w:cstheme="minorHAnsi"/>
                <w:sz w:val="24"/>
                <w:szCs w:val="24"/>
              </w:rPr>
              <w:t>investiții</w:t>
            </w:r>
            <w:r w:rsidR="00AE0470" w:rsidRPr="001552C0">
              <w:rPr>
                <w:rFonts w:cstheme="minorHAnsi"/>
                <w:sz w:val="24"/>
                <w:szCs w:val="24"/>
              </w:rPr>
              <w:t xml:space="preserve"> obligatorii pentru conformare, care pe de</w:t>
            </w:r>
            <w:r w:rsidRPr="001552C0">
              <w:rPr>
                <w:rFonts w:cstheme="minorHAnsi"/>
                <w:sz w:val="24"/>
                <w:szCs w:val="24"/>
              </w:rPr>
              <w:t xml:space="preserve"> </w:t>
            </w:r>
            <w:r w:rsidR="00AE0470" w:rsidRPr="001552C0">
              <w:rPr>
                <w:rFonts w:cstheme="minorHAnsi"/>
                <w:sz w:val="24"/>
                <w:szCs w:val="24"/>
              </w:rPr>
              <w:t xml:space="preserve">o parte contribuie la </w:t>
            </w:r>
            <w:r w:rsidRPr="001552C0">
              <w:rPr>
                <w:rFonts w:cstheme="minorHAnsi"/>
                <w:sz w:val="24"/>
                <w:szCs w:val="24"/>
              </w:rPr>
              <w:t>creșterea</w:t>
            </w:r>
            <w:r w:rsidR="00AE0470" w:rsidRPr="001552C0">
              <w:rPr>
                <w:rFonts w:cstheme="minorHAnsi"/>
                <w:sz w:val="24"/>
                <w:szCs w:val="24"/>
              </w:rPr>
              <w:t xml:space="preserve"> ratei </w:t>
            </w:r>
            <w:r w:rsidRPr="001552C0">
              <w:rPr>
                <w:rFonts w:cstheme="minorHAnsi"/>
                <w:sz w:val="24"/>
                <w:szCs w:val="24"/>
              </w:rPr>
              <w:t>de reciclare prin sortarea ma</w:t>
            </w:r>
            <w:r w:rsidR="00AE0470" w:rsidRPr="001552C0">
              <w:rPr>
                <w:rFonts w:cstheme="minorHAnsi"/>
                <w:sz w:val="24"/>
                <w:szCs w:val="24"/>
              </w:rPr>
              <w:t>t</w:t>
            </w:r>
            <w:r w:rsidRPr="001552C0">
              <w:rPr>
                <w:rFonts w:cstheme="minorHAnsi"/>
                <w:sz w:val="24"/>
                <w:szCs w:val="24"/>
              </w:rPr>
              <w:t>eri</w:t>
            </w:r>
            <w:r w:rsidR="00AE0470" w:rsidRPr="001552C0">
              <w:rPr>
                <w:rFonts w:cstheme="minorHAnsi"/>
                <w:sz w:val="24"/>
                <w:szCs w:val="24"/>
              </w:rPr>
              <w:t>a</w:t>
            </w:r>
            <w:r w:rsidRPr="001552C0">
              <w:rPr>
                <w:rFonts w:cstheme="minorHAnsi"/>
                <w:sz w:val="24"/>
                <w:szCs w:val="24"/>
              </w:rPr>
              <w:t>l</w:t>
            </w:r>
            <w:r w:rsidR="00AE0470" w:rsidRPr="001552C0">
              <w:rPr>
                <w:rFonts w:cstheme="minorHAnsi"/>
                <w:sz w:val="24"/>
                <w:szCs w:val="24"/>
              </w:rPr>
              <w:t xml:space="preserve">elor reciclabile din </w:t>
            </w:r>
            <w:r w:rsidRPr="001552C0">
              <w:rPr>
                <w:rFonts w:cstheme="minorHAnsi"/>
                <w:sz w:val="24"/>
                <w:szCs w:val="24"/>
              </w:rPr>
              <w:t>deșeurile</w:t>
            </w:r>
            <w:r w:rsidR="00AE0470" w:rsidRPr="001552C0">
              <w:rPr>
                <w:rFonts w:cstheme="minorHAnsi"/>
                <w:sz w:val="24"/>
                <w:szCs w:val="24"/>
              </w:rPr>
              <w:t xml:space="preserve"> </w:t>
            </w:r>
            <w:r w:rsidR="0094172E" w:rsidRPr="001552C0">
              <w:rPr>
                <w:rFonts w:cstheme="minorHAnsi"/>
                <w:sz w:val="24"/>
                <w:szCs w:val="24"/>
              </w:rPr>
              <w:t>reziduale</w:t>
            </w:r>
            <w:r w:rsidR="00AE0470" w:rsidRPr="001552C0">
              <w:rPr>
                <w:rFonts w:cstheme="minorHAnsi"/>
                <w:sz w:val="24"/>
                <w:szCs w:val="24"/>
              </w:rPr>
              <w:t xml:space="preserve"> </w:t>
            </w:r>
            <w:r w:rsidR="0094172E" w:rsidRPr="001552C0">
              <w:rPr>
                <w:rFonts w:cstheme="minorHAnsi"/>
                <w:sz w:val="24"/>
                <w:szCs w:val="24"/>
              </w:rPr>
              <w:t>ș</w:t>
            </w:r>
            <w:r w:rsidR="00AE0470" w:rsidRPr="001552C0">
              <w:rPr>
                <w:rFonts w:cstheme="minorHAnsi"/>
                <w:sz w:val="24"/>
                <w:szCs w:val="24"/>
              </w:rPr>
              <w:t xml:space="preserve">i asigură </w:t>
            </w:r>
            <w:r w:rsidRPr="001552C0">
              <w:rPr>
                <w:rFonts w:cstheme="minorHAnsi"/>
                <w:sz w:val="24"/>
                <w:szCs w:val="24"/>
              </w:rPr>
              <w:t>îndeplinirea</w:t>
            </w:r>
            <w:r w:rsidR="00AE0470" w:rsidRPr="001552C0">
              <w:rPr>
                <w:rFonts w:cstheme="minorHAnsi"/>
                <w:sz w:val="24"/>
                <w:szCs w:val="24"/>
              </w:rPr>
              <w:t xml:space="preserve"> obiectivului privind tratarea </w:t>
            </w:r>
            <w:r w:rsidRPr="001552C0">
              <w:rPr>
                <w:rFonts w:cstheme="minorHAnsi"/>
                <w:sz w:val="24"/>
                <w:szCs w:val="24"/>
              </w:rPr>
              <w:t>deșeurilor</w:t>
            </w:r>
            <w:r w:rsidR="00AE0470" w:rsidRPr="001552C0">
              <w:rPr>
                <w:rFonts w:cstheme="minorHAnsi"/>
                <w:sz w:val="24"/>
                <w:szCs w:val="24"/>
              </w:rPr>
              <w:t xml:space="preserve"> </w:t>
            </w:r>
            <w:r w:rsidRPr="001552C0">
              <w:rPr>
                <w:rFonts w:cstheme="minorHAnsi"/>
                <w:sz w:val="24"/>
                <w:szCs w:val="24"/>
              </w:rPr>
              <w:t>înaintea</w:t>
            </w:r>
            <w:r w:rsidR="00AE0470" w:rsidRPr="001552C0">
              <w:rPr>
                <w:rFonts w:cstheme="minorHAnsi"/>
                <w:sz w:val="24"/>
                <w:szCs w:val="24"/>
              </w:rPr>
              <w:t xml:space="preserve"> depozit</w:t>
            </w:r>
            <w:r w:rsidR="003B20F3">
              <w:rPr>
                <w:rFonts w:cstheme="minorHAnsi"/>
                <w:sz w:val="24"/>
                <w:szCs w:val="24"/>
              </w:rPr>
              <w:t>ă</w:t>
            </w:r>
            <w:r w:rsidR="00AE0470" w:rsidRPr="001552C0">
              <w:rPr>
                <w:rFonts w:cstheme="minorHAnsi"/>
                <w:sz w:val="24"/>
                <w:szCs w:val="24"/>
              </w:rPr>
              <w:t xml:space="preserve">rii (criteriile Malagrotta,) precum </w:t>
            </w:r>
            <w:r w:rsidR="0094172E" w:rsidRPr="001552C0">
              <w:rPr>
                <w:rFonts w:cstheme="minorHAnsi"/>
                <w:sz w:val="24"/>
                <w:szCs w:val="24"/>
              </w:rPr>
              <w:t>ș</w:t>
            </w:r>
            <w:r w:rsidR="00AE0470" w:rsidRPr="001552C0">
              <w:rPr>
                <w:rFonts w:cstheme="minorHAnsi"/>
                <w:sz w:val="24"/>
                <w:szCs w:val="24"/>
              </w:rPr>
              <w:t>i a obiecti</w:t>
            </w:r>
            <w:r w:rsidRPr="001552C0">
              <w:rPr>
                <w:rFonts w:cstheme="minorHAnsi"/>
                <w:sz w:val="24"/>
                <w:szCs w:val="24"/>
              </w:rPr>
              <w:t>vului privind reducerea cantităț</w:t>
            </w:r>
            <w:r w:rsidR="00AE0470" w:rsidRPr="001552C0">
              <w:rPr>
                <w:rFonts w:cstheme="minorHAnsi"/>
                <w:sz w:val="24"/>
                <w:szCs w:val="24"/>
              </w:rPr>
              <w:t xml:space="preserve">ii de </w:t>
            </w:r>
            <w:r w:rsidRPr="001552C0">
              <w:rPr>
                <w:rFonts w:cstheme="minorHAnsi"/>
                <w:sz w:val="24"/>
                <w:szCs w:val="24"/>
              </w:rPr>
              <w:t>deșeuri</w:t>
            </w:r>
            <w:r w:rsidR="00AE0470" w:rsidRPr="001552C0">
              <w:rPr>
                <w:rFonts w:cstheme="minorHAnsi"/>
                <w:sz w:val="24"/>
                <w:szCs w:val="24"/>
              </w:rPr>
              <w:t xml:space="preserve"> depozitare.</w:t>
            </w:r>
          </w:p>
          <w:p w14:paraId="5A161D9E" w14:textId="7F239D81" w:rsidR="00AE0470" w:rsidRPr="001552C0" w:rsidRDefault="0094172E" w:rsidP="0079466B">
            <w:pPr>
              <w:jc w:val="both"/>
              <w:rPr>
                <w:rFonts w:cstheme="minorHAnsi"/>
                <w:sz w:val="24"/>
                <w:szCs w:val="24"/>
              </w:rPr>
            </w:pPr>
            <w:r w:rsidRPr="001552C0">
              <w:rPr>
                <w:rFonts w:cstheme="minorHAnsi"/>
                <w:sz w:val="24"/>
                <w:szCs w:val="24"/>
              </w:rPr>
              <w:t>Î</w:t>
            </w:r>
            <w:r w:rsidR="00AE0470" w:rsidRPr="001552C0">
              <w:rPr>
                <w:rFonts w:cstheme="minorHAnsi"/>
                <w:sz w:val="24"/>
                <w:szCs w:val="24"/>
              </w:rPr>
              <w:t xml:space="preserve">n ceea ce </w:t>
            </w:r>
            <w:r w:rsidR="00071F70" w:rsidRPr="001552C0">
              <w:rPr>
                <w:rFonts w:cstheme="minorHAnsi"/>
                <w:sz w:val="24"/>
                <w:szCs w:val="24"/>
              </w:rPr>
              <w:t>privește</w:t>
            </w:r>
            <w:r w:rsidR="00AE0470" w:rsidRPr="001552C0">
              <w:rPr>
                <w:rFonts w:cstheme="minorHAnsi"/>
                <w:sz w:val="24"/>
                <w:szCs w:val="24"/>
              </w:rPr>
              <w:t xml:space="preserve"> </w:t>
            </w:r>
            <w:r w:rsidR="00AE0470" w:rsidRPr="001552C0">
              <w:rPr>
                <w:rFonts w:cstheme="minorHAnsi"/>
                <w:b/>
                <w:sz w:val="24"/>
                <w:szCs w:val="24"/>
              </w:rPr>
              <w:t xml:space="preserve">depozitele neconforme de </w:t>
            </w:r>
            <w:r w:rsidR="00071F70" w:rsidRPr="001552C0">
              <w:rPr>
                <w:rFonts w:cstheme="minorHAnsi"/>
                <w:b/>
                <w:sz w:val="24"/>
                <w:szCs w:val="24"/>
              </w:rPr>
              <w:t>deșeuri</w:t>
            </w:r>
            <w:r w:rsidR="00AE0470" w:rsidRPr="001552C0">
              <w:rPr>
                <w:rFonts w:cstheme="minorHAnsi"/>
                <w:b/>
                <w:sz w:val="24"/>
                <w:szCs w:val="24"/>
              </w:rPr>
              <w:t xml:space="preserve"> municipale</w:t>
            </w:r>
            <w:r w:rsidR="00AE0470" w:rsidRPr="001552C0">
              <w:rPr>
                <w:rFonts w:cstheme="minorHAnsi"/>
                <w:sz w:val="24"/>
                <w:szCs w:val="24"/>
              </w:rPr>
              <w:t xml:space="preserve">, </w:t>
            </w:r>
            <w:r w:rsidR="003B20F3">
              <w:rPr>
                <w:rFonts w:cstheme="minorHAnsi"/>
                <w:sz w:val="24"/>
                <w:szCs w:val="24"/>
              </w:rPr>
              <w:t>î</w:t>
            </w:r>
            <w:r w:rsidR="00AE0470" w:rsidRPr="001552C0">
              <w:rPr>
                <w:rFonts w:cstheme="minorHAnsi"/>
                <w:sz w:val="24"/>
                <w:szCs w:val="24"/>
              </w:rPr>
              <w:t>n conformitate cu Tratatul de Aderare şi cu directivele aplicabile, România trebui</w:t>
            </w:r>
            <w:r w:rsidRPr="001552C0">
              <w:rPr>
                <w:rFonts w:cstheme="minorHAnsi"/>
                <w:sz w:val="24"/>
                <w:szCs w:val="24"/>
              </w:rPr>
              <w:t>a</w:t>
            </w:r>
            <w:r w:rsidR="00AE0470" w:rsidRPr="001552C0">
              <w:rPr>
                <w:rFonts w:cstheme="minorHAnsi"/>
                <w:sz w:val="24"/>
                <w:szCs w:val="24"/>
              </w:rPr>
              <w:t xml:space="preserve"> să se conformeze următoarelor obligaţii principale: sistarea treptată a activităţii şi închiderea a 240 depozite municipale clasa ”b” neconforme până în 2017 (Directiva 1999/31/CE). Din</w:t>
            </w:r>
            <w:r w:rsidR="00FC1B5F">
              <w:rPr>
                <w:rFonts w:cstheme="minorHAnsi"/>
                <w:sz w:val="24"/>
                <w:szCs w:val="24"/>
              </w:rPr>
              <w:t>tre</w:t>
            </w:r>
            <w:r w:rsidR="00AE0470" w:rsidRPr="001552C0">
              <w:rPr>
                <w:rFonts w:cstheme="minorHAnsi"/>
                <w:sz w:val="24"/>
                <w:szCs w:val="24"/>
              </w:rPr>
              <w:t xml:space="preserve"> acestea</w:t>
            </w:r>
            <w:r w:rsidR="00FC1B5F">
              <w:rPr>
                <w:rFonts w:cstheme="minorHAnsi"/>
                <w:sz w:val="24"/>
                <w:szCs w:val="24"/>
              </w:rPr>
              <w:t>,</w:t>
            </w:r>
            <w:r w:rsidR="00AE0470" w:rsidRPr="001552C0">
              <w:rPr>
                <w:rFonts w:cstheme="minorHAnsi"/>
                <w:sz w:val="24"/>
                <w:szCs w:val="24"/>
              </w:rPr>
              <w:t xml:space="preserve"> 139 au fost închise în perioada 2004 – 2009, iar 101 au sistat activitatea de depozitare până în anul 2017.  Dintre cele 240 depozite, 28 depozite neconforme fac parte din cauza C-301/2017 prin care Comisia Europeană a constatat nerespectarea unor prevederi din legislația aplicabilă, anume sistarea activității de depozitare fără a finali</w:t>
            </w:r>
            <w:r w:rsidRPr="001552C0">
              <w:rPr>
                <w:rFonts w:cstheme="minorHAnsi"/>
                <w:sz w:val="24"/>
                <w:szCs w:val="24"/>
              </w:rPr>
              <w:t>za și lucrările de închidere.  Î</w:t>
            </w:r>
            <w:r w:rsidR="00AE0470" w:rsidRPr="001552C0">
              <w:rPr>
                <w:rFonts w:cstheme="minorHAnsi"/>
                <w:sz w:val="24"/>
                <w:szCs w:val="24"/>
              </w:rPr>
              <w:t xml:space="preserve">n perioada 2017-2018 au fost deja </w:t>
            </w:r>
            <w:r w:rsidR="00071F70" w:rsidRPr="001552C0">
              <w:rPr>
                <w:rFonts w:cstheme="minorHAnsi"/>
                <w:sz w:val="24"/>
                <w:szCs w:val="24"/>
              </w:rPr>
              <w:t>închise</w:t>
            </w:r>
            <w:r w:rsidR="00AE0470" w:rsidRPr="001552C0">
              <w:rPr>
                <w:rFonts w:cstheme="minorHAnsi"/>
                <w:sz w:val="24"/>
                <w:szCs w:val="24"/>
              </w:rPr>
              <w:t xml:space="preserve"> 16 depozite. În prezent sunt in </w:t>
            </w:r>
            <w:r w:rsidR="00AE0470" w:rsidRPr="001552C0">
              <w:rPr>
                <w:rFonts w:cstheme="minorHAnsi"/>
                <w:sz w:val="24"/>
                <w:szCs w:val="24"/>
              </w:rPr>
              <w:lastRenderedPageBreak/>
              <w:t xml:space="preserve">procedura de </w:t>
            </w:r>
            <w:r w:rsidR="00071F70" w:rsidRPr="001552C0">
              <w:rPr>
                <w:rFonts w:cstheme="minorHAnsi"/>
                <w:sz w:val="24"/>
                <w:szCs w:val="24"/>
              </w:rPr>
              <w:t>închidere</w:t>
            </w:r>
            <w:r w:rsidR="00AE0470" w:rsidRPr="001552C0">
              <w:rPr>
                <w:rFonts w:cstheme="minorHAnsi"/>
                <w:sz w:val="24"/>
                <w:szCs w:val="24"/>
              </w:rPr>
              <w:t xml:space="preserve"> sau </w:t>
            </w:r>
            <w:r w:rsidR="00071F70" w:rsidRPr="001552C0">
              <w:rPr>
                <w:rFonts w:cstheme="minorHAnsi"/>
                <w:sz w:val="24"/>
                <w:szCs w:val="24"/>
              </w:rPr>
              <w:t>urmează</w:t>
            </w:r>
            <w:r w:rsidR="00AE0470" w:rsidRPr="001552C0">
              <w:rPr>
                <w:rFonts w:cstheme="minorHAnsi"/>
                <w:sz w:val="24"/>
                <w:szCs w:val="24"/>
              </w:rPr>
              <w:t xml:space="preserve"> a fi </w:t>
            </w:r>
            <w:r w:rsidR="00071F70" w:rsidRPr="001552C0">
              <w:rPr>
                <w:rFonts w:cstheme="minorHAnsi"/>
                <w:sz w:val="24"/>
                <w:szCs w:val="24"/>
              </w:rPr>
              <w:t>închise</w:t>
            </w:r>
            <w:r w:rsidR="00AE0470" w:rsidRPr="001552C0">
              <w:rPr>
                <w:rFonts w:cstheme="minorHAnsi"/>
                <w:sz w:val="24"/>
                <w:szCs w:val="24"/>
              </w:rPr>
              <w:t xml:space="preserve"> 12 depozite</w:t>
            </w:r>
            <w:r w:rsidRPr="001552C0">
              <w:rPr>
                <w:rFonts w:cstheme="minorHAnsi"/>
                <w:sz w:val="24"/>
                <w:szCs w:val="24"/>
              </w:rPr>
              <w:t xml:space="preserve">. </w:t>
            </w:r>
            <w:r w:rsidR="00AE0470" w:rsidRPr="001552C0">
              <w:rPr>
                <w:rFonts w:cstheme="minorHAnsi"/>
                <w:sz w:val="24"/>
                <w:szCs w:val="24"/>
              </w:rPr>
              <w:t xml:space="preserve"> </w:t>
            </w:r>
          </w:p>
          <w:p w14:paraId="2406CEDE" w14:textId="77612C82" w:rsidR="00E61A4B" w:rsidRPr="001552C0" w:rsidRDefault="00E61A4B" w:rsidP="0079466B">
            <w:pPr>
              <w:jc w:val="both"/>
              <w:rPr>
                <w:rFonts w:cstheme="minorHAnsi"/>
                <w:sz w:val="24"/>
                <w:szCs w:val="24"/>
              </w:rPr>
            </w:pPr>
            <w:r w:rsidRPr="001552C0">
              <w:rPr>
                <w:rFonts w:cstheme="minorHAnsi"/>
                <w:sz w:val="24"/>
                <w:szCs w:val="24"/>
              </w:rPr>
              <w:t>Pentru investiţiile ce</w:t>
            </w:r>
            <w:r w:rsidR="0094172E" w:rsidRPr="001552C0">
              <w:rPr>
                <w:rFonts w:cstheme="minorHAnsi"/>
                <w:sz w:val="24"/>
                <w:szCs w:val="24"/>
              </w:rPr>
              <w:t xml:space="preserve"> vizează gestionarea deşeurilor</w:t>
            </w:r>
            <w:r w:rsidRPr="001552C0">
              <w:rPr>
                <w:rFonts w:cstheme="minorHAnsi"/>
                <w:sz w:val="24"/>
                <w:szCs w:val="24"/>
              </w:rPr>
              <w:t xml:space="preserve"> este necesară asigurarea amplasării acestora în afara ariilor naturale protejate şi a coridoarelor ecologice, pentru a evita apariţia unor elemente perturbatoare în apropierea zonelor de habitat şi de deplasare a speciilor de animale sălbatice.</w:t>
            </w:r>
          </w:p>
          <w:p w14:paraId="1CB8E0DF" w14:textId="145E62DD" w:rsidR="00236265" w:rsidRPr="001552C0" w:rsidRDefault="00F90A4C" w:rsidP="0079466B">
            <w:pPr>
              <w:jc w:val="both"/>
              <w:rPr>
                <w:rFonts w:cstheme="minorHAnsi"/>
                <w:sz w:val="24"/>
                <w:szCs w:val="24"/>
              </w:rPr>
            </w:pPr>
            <w:r w:rsidRPr="001552C0">
              <w:rPr>
                <w:rFonts w:cstheme="minorHAnsi"/>
                <w:sz w:val="24"/>
                <w:szCs w:val="24"/>
              </w:rPr>
              <w:t>Totodată</w:t>
            </w:r>
            <w:r w:rsidR="00236265" w:rsidRPr="001552C0">
              <w:rPr>
                <w:rFonts w:cstheme="minorHAnsi"/>
                <w:sz w:val="24"/>
                <w:szCs w:val="24"/>
              </w:rPr>
              <w:t xml:space="preserve">, se are </w:t>
            </w:r>
            <w:r w:rsidR="007A63C2">
              <w:rPr>
                <w:rFonts w:cstheme="minorHAnsi"/>
                <w:sz w:val="24"/>
                <w:szCs w:val="24"/>
              </w:rPr>
              <w:t>î</w:t>
            </w:r>
            <w:r w:rsidR="00236265" w:rsidRPr="001552C0">
              <w:rPr>
                <w:rFonts w:cstheme="minorHAnsi"/>
                <w:sz w:val="24"/>
                <w:szCs w:val="24"/>
              </w:rPr>
              <w:t xml:space="preserve">n vedere finanțarea acțiunilor de consolidare a capacității de reglementare economică a sectorului, astfel încât să se </w:t>
            </w:r>
            <w:r w:rsidR="00967A2A" w:rsidRPr="001552C0">
              <w:rPr>
                <w:rFonts w:cstheme="minorHAnsi"/>
                <w:sz w:val="24"/>
                <w:szCs w:val="24"/>
              </w:rPr>
              <w:t>asigure funcționalitatea și sustenabilitatea sistemelor de management integrat al deșeurilor și să se îndeplinească obligațiile de conformare</w:t>
            </w:r>
            <w:r w:rsidR="00236265" w:rsidRPr="001552C0">
              <w:rPr>
                <w:rFonts w:cstheme="minorHAnsi"/>
                <w:sz w:val="24"/>
                <w:szCs w:val="24"/>
              </w:rPr>
              <w:t>.</w:t>
            </w:r>
          </w:p>
          <w:p w14:paraId="5BAAA4D7" w14:textId="668D181F" w:rsidR="00AE0470" w:rsidRPr="001552C0" w:rsidRDefault="00341ED3" w:rsidP="0079466B">
            <w:pPr>
              <w:jc w:val="both"/>
              <w:rPr>
                <w:rFonts w:cstheme="minorHAnsi"/>
                <w:sz w:val="24"/>
                <w:szCs w:val="24"/>
              </w:rPr>
            </w:pPr>
            <w:r w:rsidRPr="001552C0">
              <w:rPr>
                <w:rFonts w:cstheme="minorHAnsi"/>
                <w:sz w:val="24"/>
                <w:szCs w:val="24"/>
              </w:rPr>
              <w:t>Având</w:t>
            </w:r>
            <w:r w:rsidR="00AE0470" w:rsidRPr="001552C0">
              <w:rPr>
                <w:rFonts w:cstheme="minorHAnsi"/>
                <w:sz w:val="24"/>
                <w:szCs w:val="24"/>
              </w:rPr>
              <w:t xml:space="preserve"> </w:t>
            </w:r>
            <w:r w:rsidR="00964827">
              <w:rPr>
                <w:rFonts w:cstheme="minorHAnsi"/>
                <w:sz w:val="24"/>
                <w:szCs w:val="24"/>
              </w:rPr>
              <w:t>î</w:t>
            </w:r>
            <w:r w:rsidR="00AE0470" w:rsidRPr="001552C0">
              <w:rPr>
                <w:rFonts w:cstheme="minorHAnsi"/>
                <w:sz w:val="24"/>
                <w:szCs w:val="24"/>
              </w:rPr>
              <w:t xml:space="preserve">n vedere cele de mai sus, </w:t>
            </w:r>
            <w:r w:rsidR="00964827">
              <w:rPr>
                <w:rFonts w:cstheme="minorHAnsi"/>
                <w:sz w:val="24"/>
                <w:szCs w:val="24"/>
              </w:rPr>
              <w:t>î</w:t>
            </w:r>
            <w:r w:rsidR="00AE0470" w:rsidRPr="001552C0">
              <w:rPr>
                <w:rFonts w:cstheme="minorHAnsi"/>
                <w:sz w:val="24"/>
                <w:szCs w:val="24"/>
              </w:rPr>
              <w:t xml:space="preserve">n vederea </w:t>
            </w:r>
            <w:r w:rsidRPr="001552C0">
              <w:rPr>
                <w:rFonts w:cstheme="minorHAnsi"/>
                <w:sz w:val="24"/>
                <w:szCs w:val="24"/>
              </w:rPr>
              <w:t>conformării</w:t>
            </w:r>
            <w:r w:rsidR="00AE0470" w:rsidRPr="001552C0">
              <w:rPr>
                <w:rFonts w:cstheme="minorHAnsi"/>
                <w:sz w:val="24"/>
                <w:szCs w:val="24"/>
              </w:rPr>
              <w:t xml:space="preserve"> cu </w:t>
            </w:r>
            <w:r w:rsidRPr="001552C0">
              <w:rPr>
                <w:rFonts w:cstheme="minorHAnsi"/>
                <w:sz w:val="24"/>
                <w:szCs w:val="24"/>
              </w:rPr>
              <w:t>legislația</w:t>
            </w:r>
            <w:r w:rsidR="00AE0470" w:rsidRPr="001552C0">
              <w:rPr>
                <w:rFonts w:cstheme="minorHAnsi"/>
                <w:sz w:val="24"/>
                <w:szCs w:val="24"/>
              </w:rPr>
              <w:t xml:space="preserve"> </w:t>
            </w:r>
            <w:r w:rsidR="00964827">
              <w:rPr>
                <w:rFonts w:cstheme="minorHAnsi"/>
                <w:sz w:val="24"/>
                <w:szCs w:val="24"/>
              </w:rPr>
              <w:t>ș</w:t>
            </w:r>
            <w:r w:rsidR="00AE0470" w:rsidRPr="001552C0">
              <w:rPr>
                <w:rFonts w:cstheme="minorHAnsi"/>
                <w:sz w:val="24"/>
                <w:szCs w:val="24"/>
              </w:rPr>
              <w:t xml:space="preserve">i accelerarea </w:t>
            </w:r>
            <w:r w:rsidRPr="001552C0">
              <w:rPr>
                <w:rFonts w:cstheme="minorHAnsi"/>
                <w:sz w:val="24"/>
                <w:szCs w:val="24"/>
              </w:rPr>
              <w:t>tranziție</w:t>
            </w:r>
            <w:r w:rsidR="00AE0470" w:rsidRPr="001552C0">
              <w:rPr>
                <w:rFonts w:cstheme="minorHAnsi"/>
                <w:sz w:val="24"/>
                <w:szCs w:val="24"/>
              </w:rPr>
              <w:t xml:space="preserve"> spre economia circular</w:t>
            </w:r>
            <w:r w:rsidR="00964827">
              <w:rPr>
                <w:rFonts w:cstheme="minorHAnsi"/>
                <w:sz w:val="24"/>
                <w:szCs w:val="24"/>
              </w:rPr>
              <w:t>ă</w:t>
            </w:r>
            <w:r w:rsidR="00AE0470" w:rsidRPr="001552C0">
              <w:rPr>
                <w:rFonts w:cstheme="minorHAnsi"/>
                <w:sz w:val="24"/>
                <w:szCs w:val="24"/>
              </w:rPr>
              <w:t xml:space="preserve">, PODD va viza </w:t>
            </w:r>
            <w:r w:rsidRPr="001552C0">
              <w:rPr>
                <w:rFonts w:cstheme="minorHAnsi"/>
                <w:sz w:val="24"/>
                <w:szCs w:val="24"/>
              </w:rPr>
              <w:t>următoarele</w:t>
            </w:r>
            <w:r w:rsidR="00AE0470" w:rsidRPr="001552C0">
              <w:rPr>
                <w:rFonts w:cstheme="minorHAnsi"/>
                <w:sz w:val="24"/>
                <w:szCs w:val="24"/>
              </w:rPr>
              <w:t xml:space="preserve"> </w:t>
            </w:r>
            <w:r w:rsidR="00F2759A" w:rsidRPr="001552C0">
              <w:rPr>
                <w:rFonts w:cstheme="minorHAnsi"/>
                <w:b/>
                <w:sz w:val="24"/>
                <w:szCs w:val="24"/>
              </w:rPr>
              <w:t>tipuri majore de</w:t>
            </w:r>
            <w:r w:rsidR="005C1BBE">
              <w:rPr>
                <w:rFonts w:cstheme="minorHAnsi"/>
                <w:b/>
                <w:sz w:val="24"/>
                <w:szCs w:val="24"/>
              </w:rPr>
              <w:t xml:space="preserve"> intervenții/măsuri</w:t>
            </w:r>
            <w:r w:rsidR="00AE0470" w:rsidRPr="001552C0">
              <w:rPr>
                <w:rFonts w:cstheme="minorHAnsi"/>
                <w:sz w:val="24"/>
                <w:szCs w:val="24"/>
              </w:rPr>
              <w:t>, astfel:</w:t>
            </w:r>
          </w:p>
          <w:p w14:paraId="3C82A306" w14:textId="4DE354B2" w:rsidR="00AE0470" w:rsidRPr="001552C0" w:rsidRDefault="00341ED3" w:rsidP="007B5B2A">
            <w:pPr>
              <w:pStyle w:val="ListParagraph"/>
              <w:numPr>
                <w:ilvl w:val="0"/>
                <w:numId w:val="67"/>
              </w:numPr>
              <w:spacing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Îmbunătățirea</w:t>
            </w:r>
            <w:r w:rsidR="00AE0470" w:rsidRPr="001552C0">
              <w:rPr>
                <w:rFonts w:asciiTheme="minorHAnsi" w:hAnsiTheme="minorHAnsi" w:cstheme="minorHAnsi"/>
                <w:b/>
                <w:szCs w:val="24"/>
                <w:lang w:val="ro-RO"/>
              </w:rPr>
              <w:t xml:space="preserve"> modului de gestionare a </w:t>
            </w:r>
            <w:r w:rsidRPr="001552C0">
              <w:rPr>
                <w:rFonts w:asciiTheme="minorHAnsi" w:hAnsiTheme="minorHAnsi" w:cstheme="minorHAnsi"/>
                <w:b/>
                <w:szCs w:val="24"/>
                <w:lang w:val="ro-RO"/>
              </w:rPr>
              <w:t>deșeurilor</w:t>
            </w:r>
            <w:r w:rsidR="0094172E" w:rsidRPr="001552C0">
              <w:rPr>
                <w:rFonts w:asciiTheme="minorHAnsi" w:hAnsiTheme="minorHAnsi" w:cstheme="minorHAnsi"/>
                <w:b/>
                <w:szCs w:val="24"/>
                <w:lang w:val="ro-RO"/>
              </w:rPr>
              <w:t xml:space="preserve"> municipale î</w:t>
            </w:r>
            <w:r w:rsidR="00AE0470" w:rsidRPr="001552C0">
              <w:rPr>
                <w:rFonts w:asciiTheme="minorHAnsi" w:hAnsiTheme="minorHAnsi" w:cstheme="minorHAnsi"/>
                <w:b/>
                <w:szCs w:val="24"/>
                <w:lang w:val="ro-RO"/>
              </w:rPr>
              <w:t xml:space="preserve">n vedere </w:t>
            </w:r>
            <w:r w:rsidRPr="001552C0">
              <w:rPr>
                <w:rFonts w:asciiTheme="minorHAnsi" w:hAnsiTheme="minorHAnsi" w:cstheme="minorHAnsi"/>
                <w:b/>
                <w:szCs w:val="24"/>
                <w:lang w:val="ro-RO"/>
              </w:rPr>
              <w:t>asigurării</w:t>
            </w:r>
            <w:r w:rsidR="00AE0470" w:rsidRPr="001552C0">
              <w:rPr>
                <w:rFonts w:asciiTheme="minorHAnsi" w:hAnsiTheme="minorHAnsi" w:cstheme="minorHAnsi"/>
                <w:b/>
                <w:szCs w:val="24"/>
                <w:lang w:val="ro-RO"/>
              </w:rPr>
              <w:t xml:space="preserve"> </w:t>
            </w:r>
            <w:r w:rsidRPr="001552C0">
              <w:rPr>
                <w:rFonts w:asciiTheme="minorHAnsi" w:hAnsiTheme="minorHAnsi" w:cstheme="minorHAnsi"/>
                <w:b/>
                <w:szCs w:val="24"/>
                <w:lang w:val="ro-RO"/>
              </w:rPr>
              <w:t>tranziției</w:t>
            </w:r>
            <w:r w:rsidR="00AE0470" w:rsidRPr="001552C0">
              <w:rPr>
                <w:rFonts w:asciiTheme="minorHAnsi" w:hAnsiTheme="minorHAnsi" w:cstheme="minorHAnsi"/>
                <w:b/>
                <w:szCs w:val="24"/>
                <w:lang w:val="ro-RO"/>
              </w:rPr>
              <w:t xml:space="preserve"> spre economia circular</w:t>
            </w:r>
            <w:r w:rsidR="00964827">
              <w:rPr>
                <w:rFonts w:asciiTheme="minorHAnsi" w:hAnsiTheme="minorHAnsi" w:cstheme="minorHAnsi"/>
                <w:b/>
                <w:szCs w:val="24"/>
                <w:lang w:val="ro-RO"/>
              </w:rPr>
              <w:t>ă</w:t>
            </w:r>
            <w:r w:rsidR="00AE0470" w:rsidRPr="001552C0">
              <w:rPr>
                <w:rFonts w:asciiTheme="minorHAnsi" w:hAnsiTheme="minorHAnsi" w:cstheme="minorHAnsi"/>
                <w:szCs w:val="24"/>
                <w:lang w:val="ro-RO"/>
              </w:rPr>
              <w:t>, în conformitate cu nevoile identificate în PNGD și PJGD-uri, respectiv:</w:t>
            </w:r>
          </w:p>
          <w:p w14:paraId="2A182A04" w14:textId="3C6C0FAE" w:rsidR="0094172E" w:rsidRPr="001552C0" w:rsidRDefault="0094172E" w:rsidP="0094172E">
            <w:pPr>
              <w:pStyle w:val="ListParagraph"/>
              <w:numPr>
                <w:ilvl w:val="1"/>
                <w:numId w:val="67"/>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Investiții în extinderea sistemelor de colectare separată atât în ceea ce privește colectarea din poartă în poartă a deșeurile reciclabile și a biodeșeuril</w:t>
            </w:r>
            <w:r w:rsidR="00DA132A">
              <w:rPr>
                <w:rFonts w:asciiTheme="minorHAnsi" w:hAnsiTheme="minorHAnsi" w:cstheme="minorHAnsi"/>
                <w:szCs w:val="24"/>
                <w:lang w:val="ro-RO"/>
              </w:rPr>
              <w:t>r</w:t>
            </w:r>
            <w:r w:rsidRPr="001552C0">
              <w:rPr>
                <w:rFonts w:asciiTheme="minorHAnsi" w:hAnsiTheme="minorHAnsi" w:cstheme="minorHAnsi"/>
                <w:szCs w:val="24"/>
                <w:lang w:val="ro-RO"/>
              </w:rPr>
              <w:t>, dar și colectarea deșeuril</w:t>
            </w:r>
            <w:r w:rsidR="00964827">
              <w:rPr>
                <w:rFonts w:asciiTheme="minorHAnsi" w:hAnsiTheme="minorHAnsi" w:cstheme="minorHAnsi"/>
                <w:szCs w:val="24"/>
                <w:lang w:val="ro-RO"/>
              </w:rPr>
              <w:t>or</w:t>
            </w:r>
            <w:r w:rsidRPr="001552C0">
              <w:rPr>
                <w:rFonts w:asciiTheme="minorHAnsi" w:hAnsiTheme="minorHAnsi" w:cstheme="minorHAnsi"/>
                <w:szCs w:val="24"/>
                <w:lang w:val="ro-RO"/>
              </w:rPr>
              <w:t xml:space="preserve"> textile și deșeuril</w:t>
            </w:r>
            <w:r w:rsidR="00964827">
              <w:rPr>
                <w:rFonts w:asciiTheme="minorHAnsi" w:hAnsiTheme="minorHAnsi" w:cstheme="minorHAnsi"/>
                <w:szCs w:val="24"/>
                <w:lang w:val="ro-RO"/>
              </w:rPr>
              <w:t>or</w:t>
            </w:r>
            <w:r w:rsidRPr="001552C0">
              <w:rPr>
                <w:rFonts w:asciiTheme="minorHAnsi" w:hAnsiTheme="minorHAnsi" w:cstheme="minorHAnsi"/>
                <w:szCs w:val="24"/>
                <w:lang w:val="ro-RO"/>
              </w:rPr>
              <w:t xml:space="preserve"> periculoase menajere (echipamente mobile de colectare, mașini pentru colectarea separată, infrastructura suport pentru colectarea, transportul și stocarea temporară</w:t>
            </w:r>
            <w:r w:rsidR="00964827">
              <w:rPr>
                <w:rFonts w:asciiTheme="minorHAnsi" w:hAnsiTheme="minorHAnsi" w:cstheme="minorHAnsi"/>
                <w:szCs w:val="24"/>
                <w:lang w:val="ro-RO"/>
              </w:rPr>
              <w:t xml:space="preserve"> a deșeurilor</w:t>
            </w:r>
            <w:r w:rsidRPr="001552C0">
              <w:rPr>
                <w:rFonts w:asciiTheme="minorHAnsi" w:hAnsiTheme="minorHAnsi" w:cstheme="minorHAnsi"/>
                <w:szCs w:val="24"/>
                <w:lang w:val="ro-RO"/>
              </w:rPr>
              <w:t>, inclusiv centre de colectare prin aport voluntar)</w:t>
            </w:r>
            <w:r w:rsidR="00964827">
              <w:rPr>
                <w:rFonts w:asciiTheme="minorHAnsi" w:hAnsiTheme="minorHAnsi" w:cstheme="minorHAnsi"/>
                <w:szCs w:val="24"/>
                <w:lang w:val="ro-RO"/>
              </w:rPr>
              <w:t>;</w:t>
            </w:r>
            <w:r w:rsidRPr="001552C0">
              <w:rPr>
                <w:rFonts w:asciiTheme="minorHAnsi" w:hAnsiTheme="minorHAnsi" w:cstheme="minorHAnsi"/>
                <w:szCs w:val="24"/>
                <w:lang w:val="ro-RO"/>
              </w:rPr>
              <w:t xml:space="preserve"> </w:t>
            </w:r>
          </w:p>
          <w:p w14:paraId="7C10B1EB" w14:textId="18A26320" w:rsidR="0094172E" w:rsidRPr="001552C0" w:rsidRDefault="0094172E" w:rsidP="0094172E">
            <w:pPr>
              <w:pStyle w:val="ListParagraph"/>
              <w:numPr>
                <w:ilvl w:val="1"/>
                <w:numId w:val="67"/>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Investiții privind valorificarea material</w:t>
            </w:r>
            <w:r w:rsidR="00964827">
              <w:rPr>
                <w:rFonts w:asciiTheme="minorHAnsi" w:hAnsiTheme="minorHAnsi" w:cstheme="minorHAnsi"/>
                <w:szCs w:val="24"/>
                <w:lang w:val="ro-RO"/>
              </w:rPr>
              <w:t>ă</w:t>
            </w:r>
            <w:r w:rsidRPr="001552C0">
              <w:rPr>
                <w:rFonts w:asciiTheme="minorHAnsi" w:hAnsiTheme="minorHAnsi" w:cstheme="minorHAnsi"/>
                <w:szCs w:val="24"/>
                <w:lang w:val="ro-RO"/>
              </w:rPr>
              <w:t xml:space="preserve"> a deșeurilor (stații de sortare, stații de compostare și instalații de digestie anaerobă)</w:t>
            </w:r>
            <w:r w:rsidR="00964827">
              <w:rPr>
                <w:rFonts w:asciiTheme="minorHAnsi" w:hAnsiTheme="minorHAnsi" w:cstheme="minorHAnsi"/>
                <w:szCs w:val="24"/>
                <w:lang w:val="ro-RO"/>
              </w:rPr>
              <w:t>;</w:t>
            </w:r>
          </w:p>
          <w:p w14:paraId="34355192" w14:textId="27868CBE" w:rsidR="00AE0470" w:rsidRPr="001552C0" w:rsidRDefault="0094172E" w:rsidP="0094172E">
            <w:pPr>
              <w:pStyle w:val="ListParagraph"/>
              <w:numPr>
                <w:ilvl w:val="1"/>
                <w:numId w:val="67"/>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Investiții privind instalații de tratare a deșeurilor reziduale, inclusiv îmbunătățirea instalațiilor TMB existente</w:t>
            </w:r>
            <w:r w:rsidR="00AE0470" w:rsidRPr="001552C0">
              <w:rPr>
                <w:rFonts w:asciiTheme="minorHAnsi" w:hAnsiTheme="minorHAnsi" w:cstheme="minorHAnsi"/>
                <w:szCs w:val="24"/>
                <w:lang w:val="ro-RO"/>
              </w:rPr>
              <w:t>.</w:t>
            </w:r>
          </w:p>
          <w:p w14:paraId="65A1F079" w14:textId="28C17F18" w:rsidR="00AE0470" w:rsidRPr="001552C0" w:rsidRDefault="00AE0470" w:rsidP="007B5B2A">
            <w:pPr>
              <w:pStyle w:val="ListParagraph"/>
              <w:numPr>
                <w:ilvl w:val="0"/>
                <w:numId w:val="68"/>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 xml:space="preserve">Investiții individuale suplimentare pentru </w:t>
            </w:r>
            <w:r w:rsidRPr="001552C0">
              <w:rPr>
                <w:rFonts w:asciiTheme="minorHAnsi" w:hAnsiTheme="minorHAnsi" w:cstheme="minorHAnsi"/>
                <w:b/>
                <w:szCs w:val="24"/>
                <w:lang w:val="ro-RO"/>
              </w:rPr>
              <w:t>închiderea depozitelor de deșeuri neconforme</w:t>
            </w:r>
            <w:r w:rsidR="00964827">
              <w:rPr>
                <w:rFonts w:asciiTheme="minorHAnsi" w:hAnsiTheme="minorHAnsi" w:cstheme="minorHAnsi"/>
                <w:szCs w:val="24"/>
                <w:lang w:val="ro-RO"/>
              </w:rPr>
              <w:t>,</w:t>
            </w:r>
          </w:p>
          <w:p w14:paraId="7ABEAEDD" w14:textId="7A531C2A" w:rsidR="00AE0470" w:rsidRPr="001552C0" w:rsidRDefault="00341ED3" w:rsidP="007B5B2A">
            <w:pPr>
              <w:pStyle w:val="ListParagraph"/>
              <w:numPr>
                <w:ilvl w:val="0"/>
                <w:numId w:val="68"/>
              </w:numPr>
              <w:spacing w:line="276" w:lineRule="auto"/>
              <w:jc w:val="both"/>
              <w:rPr>
                <w:rFonts w:asciiTheme="minorHAnsi" w:hAnsiTheme="minorHAnsi" w:cstheme="minorHAnsi"/>
                <w:szCs w:val="24"/>
                <w:lang w:val="ro-RO"/>
              </w:rPr>
            </w:pPr>
            <w:r w:rsidRPr="001552C0">
              <w:rPr>
                <w:rFonts w:asciiTheme="minorHAnsi" w:hAnsiTheme="minorHAnsi" w:cstheme="minorHAnsi"/>
                <w:b/>
                <w:szCs w:val="24"/>
                <w:lang w:val="ro-RO"/>
              </w:rPr>
              <w:t>Întărirea</w:t>
            </w:r>
            <w:r w:rsidR="00AE0470" w:rsidRPr="001552C0">
              <w:rPr>
                <w:rFonts w:asciiTheme="minorHAnsi" w:hAnsiTheme="minorHAnsi" w:cstheme="minorHAnsi"/>
                <w:b/>
                <w:szCs w:val="24"/>
                <w:lang w:val="ro-RO"/>
              </w:rPr>
              <w:t xml:space="preserve"> </w:t>
            </w:r>
            <w:r w:rsidRPr="001552C0">
              <w:rPr>
                <w:rFonts w:asciiTheme="minorHAnsi" w:hAnsiTheme="minorHAnsi" w:cstheme="minorHAnsi"/>
                <w:b/>
                <w:szCs w:val="24"/>
                <w:lang w:val="ro-RO"/>
              </w:rPr>
              <w:t>capacității</w:t>
            </w:r>
            <w:r w:rsidR="00AE0470" w:rsidRPr="001552C0">
              <w:rPr>
                <w:rFonts w:asciiTheme="minorHAnsi" w:hAnsiTheme="minorHAnsi" w:cstheme="minorHAnsi"/>
                <w:b/>
                <w:szCs w:val="24"/>
                <w:lang w:val="ro-RO"/>
              </w:rPr>
              <w:t xml:space="preserve"> </w:t>
            </w:r>
            <w:r w:rsidRPr="001552C0">
              <w:rPr>
                <w:rFonts w:asciiTheme="minorHAnsi" w:hAnsiTheme="minorHAnsi" w:cstheme="minorHAnsi"/>
                <w:b/>
                <w:szCs w:val="24"/>
                <w:lang w:val="ro-RO"/>
              </w:rPr>
              <w:t>instituționale</w:t>
            </w:r>
            <w:r w:rsidR="00236265" w:rsidRPr="001552C0">
              <w:rPr>
                <w:rFonts w:asciiTheme="minorHAnsi" w:hAnsiTheme="minorHAnsi" w:cstheme="minorHAnsi"/>
                <w:b/>
                <w:szCs w:val="24"/>
                <w:lang w:val="ro-RO"/>
              </w:rPr>
              <w:t xml:space="preserve"> a actorilor din sector</w:t>
            </w:r>
            <w:r w:rsidR="00AE0470" w:rsidRPr="001552C0">
              <w:rPr>
                <w:rFonts w:asciiTheme="minorHAnsi" w:hAnsiTheme="minorHAnsi" w:cstheme="minorHAnsi"/>
                <w:szCs w:val="24"/>
                <w:lang w:val="ro-RO"/>
              </w:rPr>
              <w:t xml:space="preserve"> (MMAP, ANPM, UAT, ADI-uri</w:t>
            </w:r>
            <w:r w:rsidR="00236265" w:rsidRPr="001552C0">
              <w:rPr>
                <w:rFonts w:asciiTheme="minorHAnsi" w:hAnsiTheme="minorHAnsi" w:cstheme="minorHAnsi"/>
                <w:szCs w:val="24"/>
                <w:lang w:val="ro-RO"/>
              </w:rPr>
              <w:t>, ANRSC</w:t>
            </w:r>
            <w:r w:rsidR="00AE0470" w:rsidRPr="001552C0">
              <w:rPr>
                <w:rFonts w:asciiTheme="minorHAnsi" w:hAnsiTheme="minorHAnsi" w:cstheme="minorHAnsi"/>
                <w:szCs w:val="24"/>
                <w:lang w:val="ro-RO"/>
              </w:rPr>
              <w:t xml:space="preserve">) </w:t>
            </w:r>
            <w:r w:rsidR="007A63C2">
              <w:rPr>
                <w:rFonts w:asciiTheme="minorHAnsi" w:hAnsiTheme="minorHAnsi" w:cstheme="minorHAnsi"/>
                <w:szCs w:val="24"/>
                <w:lang w:val="ro-RO"/>
              </w:rPr>
              <w:t>î</w:t>
            </w:r>
            <w:r w:rsidR="00AE0470" w:rsidRPr="001552C0">
              <w:rPr>
                <w:rFonts w:asciiTheme="minorHAnsi" w:hAnsiTheme="minorHAnsi" w:cstheme="minorHAnsi"/>
                <w:szCs w:val="24"/>
                <w:lang w:val="ro-RO"/>
              </w:rPr>
              <w:t xml:space="preserve">n vederea </w:t>
            </w:r>
            <w:r w:rsidRPr="001552C0">
              <w:rPr>
                <w:rFonts w:asciiTheme="minorHAnsi" w:hAnsiTheme="minorHAnsi" w:cstheme="minorHAnsi"/>
                <w:szCs w:val="24"/>
                <w:lang w:val="ro-RO"/>
              </w:rPr>
              <w:t>accelerării</w:t>
            </w:r>
            <w:r w:rsidR="00AE0470" w:rsidRPr="001552C0">
              <w:rPr>
                <w:rFonts w:asciiTheme="minorHAnsi" w:hAnsiTheme="minorHAnsi" w:cstheme="minorHAnsi"/>
                <w:szCs w:val="24"/>
                <w:lang w:val="ro-RO"/>
              </w:rPr>
              <w:t xml:space="preserve"> </w:t>
            </w:r>
            <w:r w:rsidRPr="001552C0">
              <w:rPr>
                <w:rFonts w:asciiTheme="minorHAnsi" w:hAnsiTheme="minorHAnsi" w:cstheme="minorHAnsi"/>
                <w:szCs w:val="24"/>
                <w:lang w:val="ro-RO"/>
              </w:rPr>
              <w:t>tranziției</w:t>
            </w:r>
            <w:r w:rsidR="00AE0470" w:rsidRPr="001552C0">
              <w:rPr>
                <w:rFonts w:asciiTheme="minorHAnsi" w:hAnsiTheme="minorHAnsi" w:cstheme="minorHAnsi"/>
                <w:szCs w:val="24"/>
                <w:lang w:val="ro-RO"/>
              </w:rPr>
              <w:t xml:space="preserve"> spre economia circular</w:t>
            </w:r>
            <w:r w:rsidR="007A63C2">
              <w:rPr>
                <w:rFonts w:asciiTheme="minorHAnsi" w:hAnsiTheme="minorHAnsi" w:cstheme="minorHAnsi"/>
                <w:szCs w:val="24"/>
                <w:lang w:val="ro-RO"/>
              </w:rPr>
              <w:t>ă</w:t>
            </w:r>
            <w:r w:rsidR="00AE0470" w:rsidRPr="001552C0">
              <w:rPr>
                <w:rFonts w:asciiTheme="minorHAnsi" w:hAnsiTheme="minorHAnsi" w:cstheme="minorHAnsi"/>
                <w:szCs w:val="24"/>
                <w:lang w:val="ro-RO"/>
              </w:rPr>
              <w:t>.</w:t>
            </w:r>
          </w:p>
          <w:p w14:paraId="00473F36" w14:textId="77777777" w:rsidR="00AE0470" w:rsidRPr="001552C0" w:rsidRDefault="00AE0470" w:rsidP="0079466B">
            <w:pPr>
              <w:ind w:left="166"/>
              <w:contextualSpacing/>
              <w:jc w:val="both"/>
              <w:rPr>
                <w:rFonts w:cstheme="minorHAnsi"/>
                <w:sz w:val="24"/>
                <w:szCs w:val="24"/>
              </w:rPr>
            </w:pPr>
          </w:p>
          <w:p w14:paraId="080B3263" w14:textId="2F0C7CB4" w:rsidR="0041213E" w:rsidRPr="001552C0" w:rsidRDefault="00AE0470" w:rsidP="00967A2A">
            <w:pPr>
              <w:ind w:left="166"/>
              <w:contextualSpacing/>
              <w:jc w:val="both"/>
              <w:rPr>
                <w:rFonts w:ascii="Times New Roman" w:eastAsia="Times New Roman" w:hAnsi="Times New Roman" w:cs="Times New Roman"/>
                <w:i/>
                <w:noProof/>
              </w:rPr>
            </w:pPr>
            <w:r w:rsidRPr="001552C0">
              <w:rPr>
                <w:rFonts w:cstheme="minorHAnsi"/>
                <w:b/>
                <w:sz w:val="24"/>
                <w:szCs w:val="24"/>
              </w:rPr>
              <w:t xml:space="preserve">Beneficiari </w:t>
            </w:r>
            <w:r w:rsidRPr="001552C0">
              <w:rPr>
                <w:rFonts w:cstheme="minorHAnsi"/>
                <w:sz w:val="24"/>
                <w:szCs w:val="24"/>
              </w:rPr>
              <w:t>- Asociaţiile de Dezvoltare Intercomunitară prin Consiliile Județene/ Primăria Municipiului Bucureşti</w:t>
            </w:r>
            <w:r w:rsidR="0094172E" w:rsidRPr="001552C0">
              <w:rPr>
                <w:rFonts w:cstheme="minorHAnsi"/>
                <w:sz w:val="24"/>
                <w:szCs w:val="24"/>
              </w:rPr>
              <w:t>/primăriile de sector</w:t>
            </w:r>
            <w:r w:rsidRPr="001552C0">
              <w:rPr>
                <w:rFonts w:cstheme="minorHAnsi"/>
                <w:sz w:val="24"/>
                <w:szCs w:val="24"/>
              </w:rPr>
              <w:t>, Autorități publice centrale (ex. MMAP, ANPM</w:t>
            </w:r>
            <w:r w:rsidR="00967A2A" w:rsidRPr="001552C0">
              <w:rPr>
                <w:rFonts w:cstheme="minorHAnsi"/>
                <w:sz w:val="24"/>
                <w:szCs w:val="24"/>
              </w:rPr>
              <w:t>, ANRSC</w:t>
            </w:r>
            <w:r w:rsidRPr="001552C0">
              <w:rPr>
                <w:rFonts w:cstheme="minorHAnsi"/>
                <w:sz w:val="24"/>
                <w:szCs w:val="24"/>
              </w:rPr>
              <w:t>)</w:t>
            </w:r>
          </w:p>
        </w:tc>
      </w:tr>
    </w:tbl>
    <w:p w14:paraId="6F0A9382" w14:textId="77777777" w:rsidR="0041213E" w:rsidRPr="001552C0" w:rsidRDefault="0041213E" w:rsidP="007A5507">
      <w:pPr>
        <w:spacing w:before="120" w:after="120" w:line="360" w:lineRule="auto"/>
        <w:rPr>
          <w:rFonts w:ascii="Times New Roman" w:eastAsia="Times New Roman" w:hAnsi="Times New Roman" w:cs="Times New Roman"/>
          <w:i/>
          <w:noProof/>
          <w:sz w:val="24"/>
          <w:szCs w:val="24"/>
        </w:rPr>
      </w:pPr>
    </w:p>
    <w:p w14:paraId="30D7D47D" w14:textId="6C47377B" w:rsidR="007A5507" w:rsidRPr="001552C0" w:rsidRDefault="007A5507" w:rsidP="007A5507">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t>The main target groups - Article 17(3)(d)(iii):</w:t>
      </w:r>
      <w:r w:rsidR="001E2955" w:rsidRPr="001552C0">
        <w:rPr>
          <w:rFonts w:ascii="Times New Roman" w:eastAsia="Times New Roman" w:hAnsi="Times New Roman" w:cs="Times New Roman"/>
          <w:i/>
          <w:noProof/>
          <w:sz w:val="24"/>
          <w:szCs w:val="24"/>
        </w:rPr>
        <w:t>,</w:t>
      </w:r>
    </w:p>
    <w:p w14:paraId="62FF8E4F" w14:textId="77777777" w:rsidR="007A5507" w:rsidRPr="001552C0"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[1 000]</w:t>
      </w:r>
    </w:p>
    <w:p w14:paraId="010350CF" w14:textId="77777777" w:rsidR="007A5507" w:rsidRPr="001552C0" w:rsidRDefault="007A5507" w:rsidP="007A5507">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lastRenderedPageBreak/>
        <w:t>Specific territories tageted, including the planned use of territorial tools – Article 17(3)(d)(iv)</w:t>
      </w:r>
    </w:p>
    <w:p w14:paraId="773FBC15" w14:textId="77777777" w:rsidR="007A5507" w:rsidRPr="001552C0"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[2 000]</w:t>
      </w:r>
    </w:p>
    <w:p w14:paraId="662A201B" w14:textId="77777777" w:rsidR="007A5507" w:rsidRPr="001552C0" w:rsidRDefault="007A5507" w:rsidP="007A5507">
      <w:pPr>
        <w:spacing w:before="120" w:after="120" w:line="240" w:lineRule="auto"/>
        <w:rPr>
          <w:b/>
          <w:iCs/>
        </w:rPr>
      </w:pPr>
      <w:r w:rsidRPr="001552C0">
        <w:rPr>
          <w:b/>
          <w:iCs/>
        </w:rPr>
        <w:t>2.A.3.2 Indicators</w:t>
      </w:r>
    </w:p>
    <w:p w14:paraId="791EA603" w14:textId="77777777" w:rsidR="007A5507" w:rsidRPr="001552C0" w:rsidRDefault="007A5507" w:rsidP="007A5507">
      <w:pPr>
        <w:rPr>
          <w:b/>
          <w:bCs/>
          <w:i/>
        </w:rPr>
      </w:pPr>
      <w:r w:rsidRPr="001552C0">
        <w:rPr>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467"/>
        <w:gridCol w:w="597"/>
        <w:gridCol w:w="989"/>
        <w:gridCol w:w="531"/>
        <w:gridCol w:w="1352"/>
        <w:gridCol w:w="1277"/>
        <w:gridCol w:w="974"/>
        <w:gridCol w:w="1443"/>
      </w:tblGrid>
      <w:tr w:rsidR="00B96B06" w:rsidRPr="001552C0" w14:paraId="0323BB21" w14:textId="77777777" w:rsidTr="001D27CD">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27D3CB1C" w14:textId="77777777" w:rsidR="007A5507" w:rsidRPr="001552C0" w:rsidRDefault="007A5507" w:rsidP="007A5507">
            <w:pPr>
              <w:rPr>
                <w:b/>
              </w:rPr>
            </w:pPr>
            <w:r w:rsidRPr="001552C0">
              <w:rPr>
                <w:b/>
                <w:iCs/>
              </w:rPr>
              <w:t>Table 2: Output indicators</w:t>
            </w:r>
          </w:p>
        </w:tc>
      </w:tr>
      <w:tr w:rsidR="00B96B06" w:rsidRPr="001552C0" w14:paraId="617790CB" w14:textId="77777777" w:rsidTr="00484976">
        <w:trPr>
          <w:trHeight w:val="1647"/>
        </w:trPr>
        <w:tc>
          <w:tcPr>
            <w:tcW w:w="630" w:type="pct"/>
            <w:tcBorders>
              <w:top w:val="single" w:sz="4" w:space="0" w:color="auto"/>
              <w:left w:val="single" w:sz="4" w:space="0" w:color="auto"/>
              <w:bottom w:val="single" w:sz="4" w:space="0" w:color="auto"/>
              <w:right w:val="single" w:sz="4" w:space="0" w:color="auto"/>
            </w:tcBorders>
            <w:hideMark/>
          </w:tcPr>
          <w:p w14:paraId="0CCE9F2F" w14:textId="77777777" w:rsidR="007A5507" w:rsidRPr="001552C0" w:rsidRDefault="007A5507" w:rsidP="007A5507">
            <w:pPr>
              <w:rPr>
                <w:b/>
              </w:rPr>
            </w:pPr>
            <w:r w:rsidRPr="001552C0">
              <w:rPr>
                <w:b/>
              </w:rPr>
              <w:t xml:space="preserve">Priority </w:t>
            </w:r>
          </w:p>
        </w:tc>
        <w:tc>
          <w:tcPr>
            <w:tcW w:w="754" w:type="pct"/>
            <w:tcBorders>
              <w:top w:val="single" w:sz="4" w:space="0" w:color="auto"/>
              <w:left w:val="single" w:sz="4" w:space="0" w:color="auto"/>
              <w:bottom w:val="single" w:sz="4" w:space="0" w:color="auto"/>
              <w:right w:val="single" w:sz="4" w:space="0" w:color="auto"/>
            </w:tcBorders>
            <w:hideMark/>
          </w:tcPr>
          <w:p w14:paraId="6DBD7869" w14:textId="77777777" w:rsidR="007A5507" w:rsidRPr="001552C0" w:rsidRDefault="007A5507" w:rsidP="007A5507">
            <w:pPr>
              <w:rPr>
                <w:b/>
              </w:rPr>
            </w:pPr>
            <w:r w:rsidRPr="001552C0">
              <w:rPr>
                <w:b/>
              </w:rPr>
              <w:t>Specific objective (Investment for Jobs and Growth goal or EMFF)</w:t>
            </w:r>
          </w:p>
        </w:tc>
        <w:tc>
          <w:tcPr>
            <w:tcW w:w="306" w:type="pct"/>
            <w:tcBorders>
              <w:top w:val="single" w:sz="4" w:space="0" w:color="auto"/>
              <w:left w:val="single" w:sz="4" w:space="0" w:color="auto"/>
              <w:bottom w:val="single" w:sz="4" w:space="0" w:color="auto"/>
              <w:right w:val="single" w:sz="4" w:space="0" w:color="auto"/>
            </w:tcBorders>
            <w:hideMark/>
          </w:tcPr>
          <w:p w14:paraId="18C136AB" w14:textId="77777777" w:rsidR="007A5507" w:rsidRPr="001552C0" w:rsidRDefault="007A5507" w:rsidP="007A5507">
            <w:pPr>
              <w:rPr>
                <w:b/>
              </w:rPr>
            </w:pPr>
            <w:r w:rsidRPr="001552C0">
              <w:rPr>
                <w:b/>
              </w:rPr>
              <w:t>Fund</w:t>
            </w:r>
          </w:p>
        </w:tc>
        <w:tc>
          <w:tcPr>
            <w:tcW w:w="508" w:type="pct"/>
            <w:tcBorders>
              <w:top w:val="single" w:sz="4" w:space="0" w:color="auto"/>
              <w:left w:val="single" w:sz="4" w:space="0" w:color="auto"/>
              <w:bottom w:val="single" w:sz="4" w:space="0" w:color="auto"/>
              <w:right w:val="single" w:sz="4" w:space="0" w:color="auto"/>
            </w:tcBorders>
            <w:hideMark/>
          </w:tcPr>
          <w:p w14:paraId="475B0348" w14:textId="77777777" w:rsidR="007A5507" w:rsidRPr="001552C0" w:rsidRDefault="007A5507" w:rsidP="007A5507">
            <w:pPr>
              <w:rPr>
                <w:b/>
              </w:rPr>
            </w:pPr>
            <w:r w:rsidRPr="001552C0">
              <w:rPr>
                <w:b/>
              </w:rPr>
              <w:t>Category of region</w:t>
            </w:r>
          </w:p>
        </w:tc>
        <w:tc>
          <w:tcPr>
            <w:tcW w:w="272" w:type="pct"/>
            <w:tcBorders>
              <w:top w:val="single" w:sz="4" w:space="0" w:color="auto"/>
              <w:left w:val="single" w:sz="4" w:space="0" w:color="auto"/>
              <w:bottom w:val="single" w:sz="4" w:space="0" w:color="auto"/>
              <w:right w:val="single" w:sz="4" w:space="0" w:color="auto"/>
            </w:tcBorders>
            <w:hideMark/>
          </w:tcPr>
          <w:p w14:paraId="0999ADBD" w14:textId="77777777" w:rsidR="007A5507" w:rsidRPr="001552C0" w:rsidRDefault="007A5507" w:rsidP="007A5507">
            <w:pPr>
              <w:rPr>
                <w:b/>
              </w:rPr>
            </w:pPr>
            <w:r w:rsidRPr="001552C0">
              <w:rPr>
                <w:b/>
              </w:rPr>
              <w:t>ID [5]</w:t>
            </w:r>
          </w:p>
        </w:tc>
        <w:tc>
          <w:tcPr>
            <w:tcW w:w="631" w:type="pct"/>
            <w:tcBorders>
              <w:top w:val="single" w:sz="4" w:space="0" w:color="auto"/>
              <w:left w:val="single" w:sz="4" w:space="0" w:color="auto"/>
              <w:bottom w:val="single" w:sz="4" w:space="0" w:color="auto"/>
              <w:right w:val="single" w:sz="4" w:space="0" w:color="auto"/>
            </w:tcBorders>
            <w:hideMark/>
          </w:tcPr>
          <w:p w14:paraId="67AAD132" w14:textId="77777777" w:rsidR="007A5507" w:rsidRPr="001552C0" w:rsidRDefault="007A5507" w:rsidP="007A5507">
            <w:pPr>
              <w:rPr>
                <w:b/>
              </w:rPr>
            </w:pPr>
            <w:r w:rsidRPr="001552C0">
              <w:rPr>
                <w:b/>
              </w:rPr>
              <w:t xml:space="preserve">Indicator [255] </w:t>
            </w:r>
          </w:p>
        </w:tc>
        <w:tc>
          <w:tcPr>
            <w:tcW w:w="657" w:type="pct"/>
            <w:tcBorders>
              <w:top w:val="single" w:sz="4" w:space="0" w:color="auto"/>
              <w:left w:val="single" w:sz="4" w:space="0" w:color="auto"/>
              <w:bottom w:val="single" w:sz="4" w:space="0" w:color="auto"/>
              <w:right w:val="single" w:sz="4" w:space="0" w:color="auto"/>
            </w:tcBorders>
            <w:hideMark/>
          </w:tcPr>
          <w:p w14:paraId="1F286B72" w14:textId="77777777" w:rsidR="007A5507" w:rsidRPr="001552C0" w:rsidRDefault="007A5507" w:rsidP="007A5507">
            <w:pPr>
              <w:rPr>
                <w:b/>
              </w:rPr>
            </w:pPr>
            <w:r w:rsidRPr="001552C0">
              <w:rPr>
                <w:b/>
              </w:rPr>
              <w:t>Measurement unit</w:t>
            </w:r>
          </w:p>
        </w:tc>
        <w:tc>
          <w:tcPr>
            <w:tcW w:w="500" w:type="pct"/>
            <w:tcBorders>
              <w:top w:val="single" w:sz="4" w:space="0" w:color="auto"/>
              <w:left w:val="single" w:sz="4" w:space="0" w:color="auto"/>
              <w:bottom w:val="single" w:sz="4" w:space="0" w:color="auto"/>
              <w:right w:val="single" w:sz="4" w:space="0" w:color="auto"/>
            </w:tcBorders>
          </w:tcPr>
          <w:p w14:paraId="6CAEA6B0" w14:textId="77777777" w:rsidR="007A5507" w:rsidRPr="001552C0" w:rsidRDefault="007A5507" w:rsidP="007A5507">
            <w:pPr>
              <w:rPr>
                <w:b/>
              </w:rPr>
            </w:pPr>
            <w:r w:rsidRPr="001552C0">
              <w:rPr>
                <w:b/>
              </w:rPr>
              <w:t>Milestone (2024)</w:t>
            </w:r>
          </w:p>
          <w:p w14:paraId="033DA993" w14:textId="77777777" w:rsidR="007A5507" w:rsidRPr="001552C0" w:rsidRDefault="007A5507" w:rsidP="007A5507">
            <w:pPr>
              <w:rPr>
                <w:b/>
              </w:rPr>
            </w:pPr>
          </w:p>
        </w:tc>
        <w:tc>
          <w:tcPr>
            <w:tcW w:w="742" w:type="pct"/>
            <w:tcBorders>
              <w:top w:val="single" w:sz="4" w:space="0" w:color="auto"/>
              <w:left w:val="single" w:sz="4" w:space="0" w:color="auto"/>
              <w:bottom w:val="single" w:sz="4" w:space="0" w:color="auto"/>
              <w:right w:val="single" w:sz="4" w:space="0" w:color="auto"/>
            </w:tcBorders>
          </w:tcPr>
          <w:p w14:paraId="6F9F14C9" w14:textId="77777777" w:rsidR="007A5507" w:rsidRPr="001552C0" w:rsidRDefault="007A5507" w:rsidP="007A5507">
            <w:pPr>
              <w:rPr>
                <w:b/>
              </w:rPr>
            </w:pPr>
            <w:r w:rsidRPr="001552C0">
              <w:rPr>
                <w:b/>
              </w:rPr>
              <w:t>Target (2029)</w:t>
            </w:r>
          </w:p>
          <w:p w14:paraId="44ED5F8D" w14:textId="77777777" w:rsidR="007A5507" w:rsidRPr="001552C0" w:rsidRDefault="007A5507" w:rsidP="007A5507">
            <w:pPr>
              <w:rPr>
                <w:b/>
              </w:rPr>
            </w:pPr>
          </w:p>
        </w:tc>
      </w:tr>
      <w:tr w:rsidR="00B96B06" w:rsidRPr="001552C0" w14:paraId="1D5A5DD8" w14:textId="77777777" w:rsidTr="00484976">
        <w:trPr>
          <w:trHeight w:val="340"/>
        </w:trPr>
        <w:tc>
          <w:tcPr>
            <w:tcW w:w="630" w:type="pct"/>
            <w:tcBorders>
              <w:top w:val="single" w:sz="4" w:space="0" w:color="auto"/>
              <w:left w:val="single" w:sz="4" w:space="0" w:color="auto"/>
              <w:bottom w:val="single" w:sz="4" w:space="0" w:color="auto"/>
              <w:right w:val="single" w:sz="4" w:space="0" w:color="auto"/>
            </w:tcBorders>
          </w:tcPr>
          <w:p w14:paraId="509849CA" w14:textId="77777777" w:rsidR="00F37836" w:rsidRPr="001552C0" w:rsidRDefault="00F37836" w:rsidP="007A5507">
            <w:r w:rsidRPr="001552C0">
              <w:t>Prioritatea 2. Dezvoltarea infrastructurii de apă și apă uzată și tranziția la o  economie circulară</w:t>
            </w:r>
          </w:p>
          <w:p w14:paraId="42FA9D27" w14:textId="7D53B3A7" w:rsidR="007A5507" w:rsidRPr="001552C0" w:rsidRDefault="00F37836" w:rsidP="007A5507">
            <w:r w:rsidRPr="001552C0">
              <w:t>2.1 Investiții în sectorul apei și apei uzate, pentru a îndeplini cerințele directivelor de mediu</w:t>
            </w:r>
          </w:p>
        </w:tc>
        <w:tc>
          <w:tcPr>
            <w:tcW w:w="754" w:type="pct"/>
            <w:tcBorders>
              <w:top w:val="single" w:sz="4" w:space="0" w:color="auto"/>
              <w:left w:val="single" w:sz="4" w:space="0" w:color="auto"/>
              <w:bottom w:val="single" w:sz="4" w:space="0" w:color="auto"/>
              <w:right w:val="single" w:sz="4" w:space="0" w:color="auto"/>
            </w:tcBorders>
          </w:tcPr>
          <w:p w14:paraId="5A629FE6" w14:textId="6C183659" w:rsidR="00F37836" w:rsidRPr="001552C0" w:rsidRDefault="00F37836" w:rsidP="00F37836">
            <w:r w:rsidRPr="001552C0">
              <w:t xml:space="preserve"> (v) Promovarea managementului durabil al apei</w:t>
            </w:r>
          </w:p>
          <w:p w14:paraId="236BC01B" w14:textId="77777777" w:rsidR="007A5507" w:rsidRPr="001552C0" w:rsidRDefault="007A5507" w:rsidP="007A5507"/>
        </w:tc>
        <w:tc>
          <w:tcPr>
            <w:tcW w:w="306" w:type="pct"/>
            <w:tcBorders>
              <w:top w:val="single" w:sz="4" w:space="0" w:color="auto"/>
              <w:left w:val="single" w:sz="4" w:space="0" w:color="auto"/>
              <w:bottom w:val="single" w:sz="4" w:space="0" w:color="auto"/>
              <w:right w:val="single" w:sz="4" w:space="0" w:color="auto"/>
            </w:tcBorders>
          </w:tcPr>
          <w:p w14:paraId="0F2015BE" w14:textId="77777777" w:rsidR="007A5507" w:rsidRPr="001552C0" w:rsidRDefault="00F37836" w:rsidP="007A5507">
            <w:r w:rsidRPr="001552C0">
              <w:t>FEDR</w:t>
            </w:r>
          </w:p>
          <w:p w14:paraId="77B5849A" w14:textId="4F7F827C" w:rsidR="00F37836" w:rsidRPr="001552C0" w:rsidRDefault="00F37836" w:rsidP="007A5507">
            <w:r w:rsidRPr="001552C0">
              <w:t>FC</w:t>
            </w:r>
          </w:p>
        </w:tc>
        <w:tc>
          <w:tcPr>
            <w:tcW w:w="508" w:type="pct"/>
            <w:tcBorders>
              <w:top w:val="single" w:sz="4" w:space="0" w:color="auto"/>
              <w:left w:val="single" w:sz="4" w:space="0" w:color="auto"/>
              <w:bottom w:val="single" w:sz="4" w:space="0" w:color="auto"/>
              <w:right w:val="single" w:sz="4" w:space="0" w:color="auto"/>
            </w:tcBorders>
          </w:tcPr>
          <w:p w14:paraId="3ED02C45" w14:textId="77777777" w:rsidR="00F37836" w:rsidRPr="001552C0" w:rsidRDefault="00F37836" w:rsidP="00F37836">
            <w:r w:rsidRPr="001552C0">
              <w:t>Mai dezvoltate</w:t>
            </w:r>
          </w:p>
          <w:p w14:paraId="09ACFC03" w14:textId="533F1DFE" w:rsidR="007A5507" w:rsidRPr="001552C0" w:rsidRDefault="00F37836" w:rsidP="00F37836">
            <w:pPr>
              <w:rPr>
                <w:b/>
                <w:i/>
              </w:rPr>
            </w:pPr>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4C4CC080" w14:textId="77777777" w:rsidR="007A5507" w:rsidRPr="001552C0" w:rsidRDefault="00396A19" w:rsidP="007A5507">
            <w:r w:rsidRPr="001552C0">
              <w:t>RCO 30</w:t>
            </w:r>
          </w:p>
        </w:tc>
        <w:tc>
          <w:tcPr>
            <w:tcW w:w="631" w:type="pct"/>
            <w:tcBorders>
              <w:top w:val="single" w:sz="4" w:space="0" w:color="auto"/>
              <w:left w:val="single" w:sz="4" w:space="0" w:color="auto"/>
              <w:bottom w:val="single" w:sz="4" w:space="0" w:color="auto"/>
              <w:right w:val="single" w:sz="4" w:space="0" w:color="auto"/>
            </w:tcBorders>
          </w:tcPr>
          <w:p w14:paraId="3781DE4B" w14:textId="710CA911" w:rsidR="007A5507" w:rsidRPr="001552C0" w:rsidRDefault="00396A19" w:rsidP="007A5507">
            <w:r w:rsidRPr="001552C0">
              <w:t xml:space="preserve"> </w:t>
            </w:r>
            <w:r w:rsidR="004E3A7A" w:rsidRPr="001552C0">
              <w:t>Length of new or upgraded pipes for the distribution systems of public water supply</w:t>
            </w:r>
            <w:r w:rsidRPr="001552C0">
              <w:t>;</w:t>
            </w:r>
            <w:r w:rsidR="002A2475" w:rsidRPr="001552C0">
              <w:t xml:space="preserve"> (acţiunea v.2)</w:t>
            </w:r>
          </w:p>
        </w:tc>
        <w:tc>
          <w:tcPr>
            <w:tcW w:w="657" w:type="pct"/>
            <w:tcBorders>
              <w:top w:val="single" w:sz="4" w:space="0" w:color="auto"/>
              <w:left w:val="single" w:sz="4" w:space="0" w:color="auto"/>
              <w:bottom w:val="single" w:sz="4" w:space="0" w:color="auto"/>
              <w:right w:val="single" w:sz="4" w:space="0" w:color="auto"/>
            </w:tcBorders>
          </w:tcPr>
          <w:p w14:paraId="0C39BD63" w14:textId="687069C6" w:rsidR="007A5507" w:rsidRPr="001552C0" w:rsidRDefault="00AA3124" w:rsidP="007A5507">
            <w:r w:rsidRPr="001552C0">
              <w:t>km</w:t>
            </w:r>
          </w:p>
        </w:tc>
        <w:tc>
          <w:tcPr>
            <w:tcW w:w="500" w:type="pct"/>
            <w:tcBorders>
              <w:top w:val="single" w:sz="4" w:space="0" w:color="auto"/>
              <w:left w:val="single" w:sz="4" w:space="0" w:color="auto"/>
              <w:bottom w:val="single" w:sz="4" w:space="0" w:color="auto"/>
              <w:right w:val="single" w:sz="4" w:space="0" w:color="auto"/>
            </w:tcBorders>
          </w:tcPr>
          <w:p w14:paraId="1E234626" w14:textId="337CAE28" w:rsidR="007A5507" w:rsidRPr="001552C0" w:rsidRDefault="001740CC" w:rsidP="007A5507">
            <w:r w:rsidRPr="001552C0">
              <w:t>&gt;=0</w:t>
            </w:r>
          </w:p>
        </w:tc>
        <w:tc>
          <w:tcPr>
            <w:tcW w:w="742" w:type="pct"/>
            <w:tcBorders>
              <w:top w:val="single" w:sz="4" w:space="0" w:color="auto"/>
              <w:left w:val="single" w:sz="4" w:space="0" w:color="auto"/>
              <w:bottom w:val="single" w:sz="4" w:space="0" w:color="auto"/>
              <w:right w:val="single" w:sz="4" w:space="0" w:color="auto"/>
            </w:tcBorders>
          </w:tcPr>
          <w:p w14:paraId="5977A8AC" w14:textId="77777777" w:rsidR="007A5507" w:rsidRPr="001552C0" w:rsidRDefault="001740CC" w:rsidP="007A5507">
            <w:r w:rsidRPr="001552C0">
              <w:t>&gt;0</w:t>
            </w:r>
          </w:p>
          <w:p w14:paraId="4A46E8B6" w14:textId="0E1C7240" w:rsidR="00484976" w:rsidRPr="001552C0" w:rsidRDefault="00484976" w:rsidP="00484976">
            <w:r w:rsidRPr="001552C0">
              <w:t>Target value will be quantified by summing up the indicator from projects to be phased from 2014-2020 programming period. It is assumed that new projects will be only completed during the programming period post 2027, given the historic duration of project preparation, selection and implementation.</w:t>
            </w:r>
          </w:p>
        </w:tc>
      </w:tr>
      <w:tr w:rsidR="00B96B06" w:rsidRPr="001552C0" w14:paraId="67C98D7E"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7ACF5C9F" w14:textId="77777777" w:rsidR="00484976" w:rsidRPr="001552C0" w:rsidRDefault="00484976" w:rsidP="00A446DA">
            <w:r w:rsidRPr="001552C0">
              <w:t xml:space="preserve">Prioritatea 2. </w:t>
            </w:r>
            <w:r w:rsidRPr="001552C0">
              <w:lastRenderedPageBreak/>
              <w:t>Dezvoltarea infrastructurii de apă și apă uzată și tranziția la o  economie circulară</w:t>
            </w:r>
          </w:p>
          <w:p w14:paraId="2ECEE523" w14:textId="00213601" w:rsidR="00484976" w:rsidRPr="001552C0" w:rsidRDefault="00484976" w:rsidP="00F37836">
            <w:pPr>
              <w:rPr>
                <w:b/>
                <w:i/>
              </w:rPr>
            </w:pPr>
            <w:r w:rsidRPr="001552C0">
              <w:t>2.1 Investiții în sectorul apei și apei uzate, pentru a îndeplini cerințele directivelor de mediu</w:t>
            </w:r>
          </w:p>
        </w:tc>
        <w:tc>
          <w:tcPr>
            <w:tcW w:w="754" w:type="pct"/>
            <w:tcBorders>
              <w:top w:val="single" w:sz="4" w:space="0" w:color="auto"/>
              <w:left w:val="single" w:sz="4" w:space="0" w:color="auto"/>
              <w:bottom w:val="single" w:sz="4" w:space="0" w:color="auto"/>
              <w:right w:val="single" w:sz="4" w:space="0" w:color="auto"/>
            </w:tcBorders>
          </w:tcPr>
          <w:p w14:paraId="1521699B" w14:textId="77777777" w:rsidR="00484976" w:rsidRPr="001552C0" w:rsidRDefault="00484976" w:rsidP="00A446DA">
            <w:r w:rsidRPr="001552C0">
              <w:lastRenderedPageBreak/>
              <w:t xml:space="preserve"> (v) Promovarea </w:t>
            </w:r>
            <w:r w:rsidRPr="001552C0">
              <w:lastRenderedPageBreak/>
              <w:t>managementului durabil al apei</w:t>
            </w:r>
          </w:p>
          <w:p w14:paraId="523935FF" w14:textId="77777777" w:rsidR="00484976" w:rsidRPr="001552C0" w:rsidRDefault="00484976" w:rsidP="007A5507">
            <w:pPr>
              <w:rPr>
                <w:b/>
                <w:i/>
              </w:rPr>
            </w:pPr>
          </w:p>
        </w:tc>
        <w:tc>
          <w:tcPr>
            <w:tcW w:w="306" w:type="pct"/>
            <w:tcBorders>
              <w:top w:val="single" w:sz="4" w:space="0" w:color="auto"/>
              <w:left w:val="single" w:sz="4" w:space="0" w:color="auto"/>
              <w:bottom w:val="single" w:sz="4" w:space="0" w:color="auto"/>
              <w:right w:val="single" w:sz="4" w:space="0" w:color="auto"/>
            </w:tcBorders>
          </w:tcPr>
          <w:p w14:paraId="3DDD1D5A" w14:textId="77777777" w:rsidR="00484976" w:rsidRPr="001552C0" w:rsidRDefault="00484976" w:rsidP="00A446DA">
            <w:r w:rsidRPr="001552C0">
              <w:lastRenderedPageBreak/>
              <w:t>FED</w:t>
            </w:r>
            <w:r w:rsidRPr="001552C0">
              <w:lastRenderedPageBreak/>
              <w:t>R</w:t>
            </w:r>
          </w:p>
          <w:p w14:paraId="77D96002" w14:textId="66BBD6D2" w:rsidR="00484976" w:rsidRPr="001552C0" w:rsidRDefault="00484976" w:rsidP="007A5507">
            <w:pPr>
              <w:rPr>
                <w:b/>
                <w:i/>
              </w:rPr>
            </w:pPr>
            <w:r w:rsidRPr="001552C0">
              <w:t>FC</w:t>
            </w:r>
          </w:p>
        </w:tc>
        <w:tc>
          <w:tcPr>
            <w:tcW w:w="508" w:type="pct"/>
            <w:tcBorders>
              <w:top w:val="single" w:sz="4" w:space="0" w:color="auto"/>
              <w:left w:val="single" w:sz="4" w:space="0" w:color="auto"/>
              <w:bottom w:val="single" w:sz="4" w:space="0" w:color="auto"/>
              <w:right w:val="single" w:sz="4" w:space="0" w:color="auto"/>
            </w:tcBorders>
          </w:tcPr>
          <w:p w14:paraId="4F2D337E" w14:textId="77777777" w:rsidR="00484976" w:rsidRPr="001552C0" w:rsidRDefault="00484976" w:rsidP="00A446DA">
            <w:r w:rsidRPr="001552C0">
              <w:lastRenderedPageBreak/>
              <w:t>Mai dezvolta</w:t>
            </w:r>
            <w:r w:rsidRPr="001552C0">
              <w:lastRenderedPageBreak/>
              <w:t>te</w:t>
            </w:r>
          </w:p>
          <w:p w14:paraId="69452DE7" w14:textId="141D569F" w:rsidR="00484976" w:rsidRPr="001552C0" w:rsidRDefault="00484976" w:rsidP="007A5507">
            <w:pPr>
              <w:rPr>
                <w:b/>
                <w:i/>
              </w:rPr>
            </w:pPr>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1DFED674" w14:textId="77777777" w:rsidR="00484976" w:rsidRPr="001552C0" w:rsidRDefault="00484976" w:rsidP="007A5507">
            <w:r w:rsidRPr="001552C0">
              <w:lastRenderedPageBreak/>
              <w:t xml:space="preserve">RCO </w:t>
            </w:r>
            <w:r w:rsidRPr="001552C0">
              <w:lastRenderedPageBreak/>
              <w:t>31</w:t>
            </w:r>
          </w:p>
        </w:tc>
        <w:tc>
          <w:tcPr>
            <w:tcW w:w="631" w:type="pct"/>
            <w:tcBorders>
              <w:top w:val="single" w:sz="4" w:space="0" w:color="auto"/>
              <w:left w:val="single" w:sz="4" w:space="0" w:color="auto"/>
              <w:bottom w:val="single" w:sz="4" w:space="0" w:color="auto"/>
              <w:right w:val="single" w:sz="4" w:space="0" w:color="auto"/>
            </w:tcBorders>
          </w:tcPr>
          <w:p w14:paraId="5475EA52" w14:textId="1CF7F573" w:rsidR="00484976" w:rsidRPr="001552C0" w:rsidRDefault="00484976" w:rsidP="00396A19">
            <w:r w:rsidRPr="001552C0">
              <w:lastRenderedPageBreak/>
              <w:t xml:space="preserve">Length of new or </w:t>
            </w:r>
            <w:r w:rsidRPr="001552C0">
              <w:lastRenderedPageBreak/>
              <w:t>upgraded pipes for the public network for collection of waste water; (acţiunea v.1)</w:t>
            </w:r>
          </w:p>
        </w:tc>
        <w:tc>
          <w:tcPr>
            <w:tcW w:w="657" w:type="pct"/>
            <w:tcBorders>
              <w:top w:val="single" w:sz="4" w:space="0" w:color="auto"/>
              <w:left w:val="single" w:sz="4" w:space="0" w:color="auto"/>
              <w:bottom w:val="single" w:sz="4" w:space="0" w:color="auto"/>
              <w:right w:val="single" w:sz="4" w:space="0" w:color="auto"/>
            </w:tcBorders>
          </w:tcPr>
          <w:p w14:paraId="4AAB1EE2" w14:textId="5D559FA9" w:rsidR="00484976" w:rsidRPr="001552C0" w:rsidRDefault="00484976" w:rsidP="007A5507">
            <w:r w:rsidRPr="001552C0">
              <w:lastRenderedPageBreak/>
              <w:t>km</w:t>
            </w:r>
          </w:p>
        </w:tc>
        <w:tc>
          <w:tcPr>
            <w:tcW w:w="500" w:type="pct"/>
            <w:tcBorders>
              <w:top w:val="single" w:sz="4" w:space="0" w:color="auto"/>
              <w:left w:val="single" w:sz="4" w:space="0" w:color="auto"/>
              <w:bottom w:val="single" w:sz="4" w:space="0" w:color="auto"/>
              <w:right w:val="single" w:sz="4" w:space="0" w:color="auto"/>
            </w:tcBorders>
          </w:tcPr>
          <w:p w14:paraId="21CCAECD" w14:textId="141A194E" w:rsidR="00484976" w:rsidRPr="001552C0" w:rsidRDefault="00484976" w:rsidP="007A5507">
            <w:pPr>
              <w:rPr>
                <w:b/>
              </w:rPr>
            </w:pPr>
            <w:r w:rsidRPr="001552C0">
              <w:t>&gt;=0</w:t>
            </w:r>
          </w:p>
        </w:tc>
        <w:tc>
          <w:tcPr>
            <w:tcW w:w="742" w:type="pct"/>
            <w:tcBorders>
              <w:top w:val="single" w:sz="4" w:space="0" w:color="auto"/>
              <w:left w:val="single" w:sz="4" w:space="0" w:color="auto"/>
              <w:bottom w:val="single" w:sz="4" w:space="0" w:color="auto"/>
              <w:right w:val="single" w:sz="4" w:space="0" w:color="auto"/>
            </w:tcBorders>
          </w:tcPr>
          <w:p w14:paraId="484972BE" w14:textId="77777777" w:rsidR="00484976" w:rsidRPr="001552C0" w:rsidRDefault="00484976" w:rsidP="0070675A">
            <w:r w:rsidRPr="001552C0">
              <w:t>&gt;0</w:t>
            </w:r>
          </w:p>
          <w:p w14:paraId="445ABB20" w14:textId="44C3BFB6" w:rsidR="00484976" w:rsidRPr="001552C0" w:rsidRDefault="00484976" w:rsidP="007A5507">
            <w:pPr>
              <w:rPr>
                <w:b/>
              </w:rPr>
            </w:pPr>
            <w:r w:rsidRPr="001552C0">
              <w:lastRenderedPageBreak/>
              <w:t>Target value will be quantified by summing up the indicator from projects to be phased from 2014-2020 programming period. It is assumed that new projects will be only completed during the programming period post 2027, given the historic duration of project preparation, selection and implementation.</w:t>
            </w:r>
          </w:p>
        </w:tc>
      </w:tr>
      <w:tr w:rsidR="00B96B06" w:rsidRPr="001552C0" w14:paraId="38DABE3F"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1FBBCB61" w14:textId="77777777" w:rsidR="0029672E" w:rsidRPr="001552C0" w:rsidRDefault="0029672E" w:rsidP="00A446DA">
            <w:r w:rsidRPr="001552C0">
              <w:lastRenderedPageBreak/>
              <w:t>Prioritatea 2. Dezvoltarea infrastructurii de apă și apă uzată și tranziția la o  economie circulară</w:t>
            </w:r>
          </w:p>
          <w:p w14:paraId="3A4616EE" w14:textId="0275FB1E" w:rsidR="0029672E" w:rsidRPr="001552C0" w:rsidRDefault="0029672E" w:rsidP="007A5507">
            <w:pPr>
              <w:rPr>
                <w:b/>
                <w:i/>
              </w:rPr>
            </w:pPr>
            <w:r w:rsidRPr="001552C0">
              <w:t xml:space="preserve">2.1 Investiții în sectorul apei și apei uzate, pentru a </w:t>
            </w:r>
            <w:r w:rsidRPr="001552C0">
              <w:lastRenderedPageBreak/>
              <w:t>îndeplini cerințele directivelor de mediu</w:t>
            </w:r>
          </w:p>
        </w:tc>
        <w:tc>
          <w:tcPr>
            <w:tcW w:w="754" w:type="pct"/>
            <w:tcBorders>
              <w:top w:val="single" w:sz="4" w:space="0" w:color="auto"/>
              <w:left w:val="single" w:sz="4" w:space="0" w:color="auto"/>
              <w:bottom w:val="single" w:sz="4" w:space="0" w:color="auto"/>
              <w:right w:val="single" w:sz="4" w:space="0" w:color="auto"/>
            </w:tcBorders>
          </w:tcPr>
          <w:p w14:paraId="032F6E31" w14:textId="77777777" w:rsidR="0029672E" w:rsidRPr="001552C0" w:rsidRDefault="0029672E" w:rsidP="00A446DA">
            <w:r w:rsidRPr="001552C0">
              <w:lastRenderedPageBreak/>
              <w:t xml:space="preserve"> (v) Promovarea managementului durabil al apei</w:t>
            </w:r>
          </w:p>
          <w:p w14:paraId="2DEA817A" w14:textId="77777777" w:rsidR="0029672E" w:rsidRPr="001552C0" w:rsidRDefault="0029672E" w:rsidP="007A5507">
            <w:pPr>
              <w:rPr>
                <w:b/>
                <w:i/>
              </w:rPr>
            </w:pPr>
          </w:p>
        </w:tc>
        <w:tc>
          <w:tcPr>
            <w:tcW w:w="306" w:type="pct"/>
            <w:tcBorders>
              <w:top w:val="single" w:sz="4" w:space="0" w:color="auto"/>
              <w:left w:val="single" w:sz="4" w:space="0" w:color="auto"/>
              <w:bottom w:val="single" w:sz="4" w:space="0" w:color="auto"/>
              <w:right w:val="single" w:sz="4" w:space="0" w:color="auto"/>
            </w:tcBorders>
          </w:tcPr>
          <w:p w14:paraId="4DA2FB6F" w14:textId="77777777" w:rsidR="0029672E" w:rsidRPr="001552C0" w:rsidRDefault="0029672E" w:rsidP="00A446DA">
            <w:r w:rsidRPr="001552C0">
              <w:t>FEDR</w:t>
            </w:r>
          </w:p>
          <w:p w14:paraId="1875F712" w14:textId="0094B38E" w:rsidR="0029672E" w:rsidRPr="001552C0" w:rsidRDefault="0029672E" w:rsidP="007A5507">
            <w:pPr>
              <w:rPr>
                <w:b/>
                <w:i/>
              </w:rPr>
            </w:pPr>
            <w:r w:rsidRPr="001552C0">
              <w:t>FC</w:t>
            </w:r>
          </w:p>
        </w:tc>
        <w:tc>
          <w:tcPr>
            <w:tcW w:w="508" w:type="pct"/>
            <w:tcBorders>
              <w:top w:val="single" w:sz="4" w:space="0" w:color="auto"/>
              <w:left w:val="single" w:sz="4" w:space="0" w:color="auto"/>
              <w:bottom w:val="single" w:sz="4" w:space="0" w:color="auto"/>
              <w:right w:val="single" w:sz="4" w:space="0" w:color="auto"/>
            </w:tcBorders>
          </w:tcPr>
          <w:p w14:paraId="63B8FF70" w14:textId="77777777" w:rsidR="0029672E" w:rsidRPr="001552C0" w:rsidRDefault="0029672E" w:rsidP="00A446DA">
            <w:r w:rsidRPr="001552C0">
              <w:t>Mai dezvoltate</w:t>
            </w:r>
          </w:p>
          <w:p w14:paraId="0094278A" w14:textId="4B2C5603" w:rsidR="0029672E" w:rsidRPr="001552C0" w:rsidRDefault="0029672E" w:rsidP="007A5507">
            <w:pPr>
              <w:rPr>
                <w:b/>
                <w:i/>
              </w:rPr>
            </w:pPr>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4EBD7CDF" w14:textId="77777777" w:rsidR="0029672E" w:rsidRPr="001552C0" w:rsidRDefault="0029672E" w:rsidP="007A5507">
            <w:r w:rsidRPr="001552C0">
              <w:t>RCO 32</w:t>
            </w:r>
          </w:p>
        </w:tc>
        <w:tc>
          <w:tcPr>
            <w:tcW w:w="631" w:type="pct"/>
            <w:tcBorders>
              <w:top w:val="single" w:sz="4" w:space="0" w:color="auto"/>
              <w:left w:val="single" w:sz="4" w:space="0" w:color="auto"/>
              <w:bottom w:val="single" w:sz="4" w:space="0" w:color="auto"/>
              <w:right w:val="single" w:sz="4" w:space="0" w:color="auto"/>
            </w:tcBorders>
          </w:tcPr>
          <w:p w14:paraId="566C6981" w14:textId="356584F5" w:rsidR="0029672E" w:rsidRPr="001552C0" w:rsidRDefault="0029672E" w:rsidP="007A5507">
            <w:r w:rsidRPr="001552C0">
              <w:t>New or upgraded capacity for waste water treatment (acţiunea v.1)</w:t>
            </w:r>
          </w:p>
        </w:tc>
        <w:tc>
          <w:tcPr>
            <w:tcW w:w="657" w:type="pct"/>
            <w:tcBorders>
              <w:top w:val="single" w:sz="4" w:space="0" w:color="auto"/>
              <w:left w:val="single" w:sz="4" w:space="0" w:color="auto"/>
              <w:bottom w:val="single" w:sz="4" w:space="0" w:color="auto"/>
              <w:right w:val="single" w:sz="4" w:space="0" w:color="auto"/>
            </w:tcBorders>
          </w:tcPr>
          <w:p w14:paraId="18184DC9" w14:textId="5A113B6F" w:rsidR="0029672E" w:rsidRPr="001552C0" w:rsidRDefault="0029672E" w:rsidP="00AA3124">
            <w:pPr>
              <w:rPr>
                <w:b/>
                <w:i/>
              </w:rPr>
            </w:pPr>
            <w:r w:rsidRPr="001552C0">
              <w:t>l.e</w:t>
            </w:r>
          </w:p>
        </w:tc>
        <w:tc>
          <w:tcPr>
            <w:tcW w:w="500" w:type="pct"/>
            <w:tcBorders>
              <w:top w:val="single" w:sz="4" w:space="0" w:color="auto"/>
              <w:left w:val="single" w:sz="4" w:space="0" w:color="auto"/>
              <w:bottom w:val="single" w:sz="4" w:space="0" w:color="auto"/>
              <w:right w:val="single" w:sz="4" w:space="0" w:color="auto"/>
            </w:tcBorders>
          </w:tcPr>
          <w:p w14:paraId="776CDC47" w14:textId="5D622AB6" w:rsidR="0029672E" w:rsidRPr="001552C0" w:rsidRDefault="0029672E" w:rsidP="007A5507">
            <w:pPr>
              <w:rPr>
                <w:b/>
              </w:rPr>
            </w:pPr>
            <w:r w:rsidRPr="001552C0">
              <w:t>&gt;=0</w:t>
            </w:r>
          </w:p>
        </w:tc>
        <w:tc>
          <w:tcPr>
            <w:tcW w:w="742" w:type="pct"/>
            <w:tcBorders>
              <w:top w:val="single" w:sz="4" w:space="0" w:color="auto"/>
              <w:left w:val="single" w:sz="4" w:space="0" w:color="auto"/>
              <w:bottom w:val="single" w:sz="4" w:space="0" w:color="auto"/>
              <w:right w:val="single" w:sz="4" w:space="0" w:color="auto"/>
            </w:tcBorders>
          </w:tcPr>
          <w:p w14:paraId="1A0D77EA" w14:textId="77777777" w:rsidR="0029672E" w:rsidRPr="001552C0" w:rsidRDefault="0029672E" w:rsidP="0070675A">
            <w:r w:rsidRPr="001552C0">
              <w:t>&gt;0</w:t>
            </w:r>
          </w:p>
          <w:p w14:paraId="264B7BD7" w14:textId="11BDFFC9" w:rsidR="0029672E" w:rsidRPr="001552C0" w:rsidRDefault="0029672E" w:rsidP="007A5507">
            <w:pPr>
              <w:rPr>
                <w:b/>
              </w:rPr>
            </w:pPr>
            <w:r w:rsidRPr="001552C0">
              <w:t xml:space="preserve">Target value will be quantified by summing up the indicator from projects to be phased from 2014-2020 programming period. It is assumed that new projects will be only completed during the programming </w:t>
            </w:r>
            <w:r w:rsidRPr="001552C0">
              <w:lastRenderedPageBreak/>
              <w:t>period post 2027, given the historic duration of project preparation, selection and implementation.</w:t>
            </w:r>
          </w:p>
        </w:tc>
      </w:tr>
      <w:tr w:rsidR="00B96B06" w:rsidRPr="001552C0" w14:paraId="673F34AD"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36AF6040" w14:textId="77777777" w:rsidR="003B271F" w:rsidRPr="001552C0" w:rsidRDefault="003B271F" w:rsidP="0070675A">
            <w:r w:rsidRPr="001552C0">
              <w:lastRenderedPageBreak/>
              <w:t>Prioritatea 2. Dezvoltarea infrastructurii de apă și apă uzată și tranziția la o  economie circulară</w:t>
            </w:r>
          </w:p>
          <w:p w14:paraId="3E3DD559" w14:textId="010C572A" w:rsidR="003B271F" w:rsidRPr="001552C0" w:rsidRDefault="003B271F" w:rsidP="00A446DA">
            <w:r w:rsidRPr="001552C0">
              <w:t>2.1 Investiții în sectorul apei și apei uzate, pentru a îndeplini cerințele directivelor de mediu</w:t>
            </w:r>
          </w:p>
        </w:tc>
        <w:tc>
          <w:tcPr>
            <w:tcW w:w="754" w:type="pct"/>
            <w:tcBorders>
              <w:top w:val="single" w:sz="4" w:space="0" w:color="auto"/>
              <w:left w:val="single" w:sz="4" w:space="0" w:color="auto"/>
              <w:bottom w:val="single" w:sz="4" w:space="0" w:color="auto"/>
              <w:right w:val="single" w:sz="4" w:space="0" w:color="auto"/>
            </w:tcBorders>
          </w:tcPr>
          <w:p w14:paraId="5178868D" w14:textId="77777777" w:rsidR="003B271F" w:rsidRPr="001552C0" w:rsidRDefault="003B271F" w:rsidP="0070675A">
            <w:r w:rsidRPr="001552C0">
              <w:t xml:space="preserve"> (v) Promovarea managementului durabil al apei</w:t>
            </w:r>
          </w:p>
          <w:p w14:paraId="652E83FB" w14:textId="77777777" w:rsidR="003B271F" w:rsidRPr="001552C0" w:rsidRDefault="003B271F" w:rsidP="00A446DA"/>
        </w:tc>
        <w:tc>
          <w:tcPr>
            <w:tcW w:w="306" w:type="pct"/>
            <w:tcBorders>
              <w:top w:val="single" w:sz="4" w:space="0" w:color="auto"/>
              <w:left w:val="single" w:sz="4" w:space="0" w:color="auto"/>
              <w:bottom w:val="single" w:sz="4" w:space="0" w:color="auto"/>
              <w:right w:val="single" w:sz="4" w:space="0" w:color="auto"/>
            </w:tcBorders>
          </w:tcPr>
          <w:p w14:paraId="17CEB415" w14:textId="77777777" w:rsidR="003B271F" w:rsidRPr="001552C0" w:rsidRDefault="003B271F" w:rsidP="0070675A">
            <w:r w:rsidRPr="001552C0">
              <w:t>FEDR</w:t>
            </w:r>
          </w:p>
          <w:p w14:paraId="448A2D6B" w14:textId="6FDF34EF" w:rsidR="003B271F" w:rsidRPr="001552C0" w:rsidRDefault="003B271F" w:rsidP="00A446DA">
            <w:r w:rsidRPr="001552C0">
              <w:t>FC</w:t>
            </w:r>
          </w:p>
        </w:tc>
        <w:tc>
          <w:tcPr>
            <w:tcW w:w="508" w:type="pct"/>
            <w:tcBorders>
              <w:top w:val="single" w:sz="4" w:space="0" w:color="auto"/>
              <w:left w:val="single" w:sz="4" w:space="0" w:color="auto"/>
              <w:bottom w:val="single" w:sz="4" w:space="0" w:color="auto"/>
              <w:right w:val="single" w:sz="4" w:space="0" w:color="auto"/>
            </w:tcBorders>
          </w:tcPr>
          <w:p w14:paraId="60FEB493" w14:textId="77777777" w:rsidR="003B271F" w:rsidRPr="001552C0" w:rsidRDefault="003B271F" w:rsidP="0070675A">
            <w:r w:rsidRPr="001552C0">
              <w:t>Mai dezvoltate</w:t>
            </w:r>
          </w:p>
          <w:p w14:paraId="03FD37AB" w14:textId="26626011" w:rsidR="003B271F" w:rsidRPr="001552C0" w:rsidRDefault="003B271F" w:rsidP="00A446DA">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244D4DC6" w14:textId="7239D06A" w:rsidR="003B271F" w:rsidRPr="001552C0" w:rsidRDefault="003B271F" w:rsidP="007A5507">
            <w:r w:rsidRPr="001552C0">
              <w:t>2S3</w:t>
            </w:r>
          </w:p>
        </w:tc>
        <w:tc>
          <w:tcPr>
            <w:tcW w:w="631" w:type="pct"/>
            <w:tcBorders>
              <w:top w:val="single" w:sz="4" w:space="0" w:color="auto"/>
              <w:left w:val="single" w:sz="4" w:space="0" w:color="auto"/>
              <w:bottom w:val="single" w:sz="4" w:space="0" w:color="auto"/>
              <w:right w:val="single" w:sz="4" w:space="0" w:color="auto"/>
            </w:tcBorders>
          </w:tcPr>
          <w:p w14:paraId="44AD76AD" w14:textId="3FBF160A" w:rsidR="003B271F" w:rsidRPr="001552C0" w:rsidRDefault="003B271F" w:rsidP="007A5507">
            <w:r w:rsidRPr="001552C0">
              <w:t>Investiții în infrastructura de apă și apă uzată ce necesită continuare în perioada următoare de programare</w:t>
            </w:r>
          </w:p>
        </w:tc>
        <w:tc>
          <w:tcPr>
            <w:tcW w:w="657" w:type="pct"/>
            <w:tcBorders>
              <w:top w:val="single" w:sz="4" w:space="0" w:color="auto"/>
              <w:left w:val="single" w:sz="4" w:space="0" w:color="auto"/>
              <w:bottom w:val="single" w:sz="4" w:space="0" w:color="auto"/>
              <w:right w:val="single" w:sz="4" w:space="0" w:color="auto"/>
            </w:tcBorders>
          </w:tcPr>
          <w:p w14:paraId="4DAEAB34" w14:textId="2EFD54E4" w:rsidR="003B271F" w:rsidRPr="001552C0" w:rsidRDefault="003B271F" w:rsidP="00AA3124">
            <w:r w:rsidRPr="001552C0">
              <w:t>lei</w:t>
            </w:r>
          </w:p>
        </w:tc>
        <w:tc>
          <w:tcPr>
            <w:tcW w:w="500" w:type="pct"/>
            <w:tcBorders>
              <w:top w:val="single" w:sz="4" w:space="0" w:color="auto"/>
              <w:left w:val="single" w:sz="4" w:space="0" w:color="auto"/>
              <w:bottom w:val="single" w:sz="4" w:space="0" w:color="auto"/>
              <w:right w:val="single" w:sz="4" w:space="0" w:color="auto"/>
            </w:tcBorders>
          </w:tcPr>
          <w:p w14:paraId="40EADA5C" w14:textId="496EF9F3" w:rsidR="003B271F" w:rsidRPr="001552C0" w:rsidRDefault="0029672E" w:rsidP="007A5507">
            <w:pPr>
              <w:rPr>
                <w:b/>
              </w:rPr>
            </w:pPr>
            <w:r w:rsidRPr="001552C0">
              <w:t>&gt;=0</w:t>
            </w:r>
          </w:p>
        </w:tc>
        <w:tc>
          <w:tcPr>
            <w:tcW w:w="742" w:type="pct"/>
            <w:tcBorders>
              <w:top w:val="single" w:sz="4" w:space="0" w:color="auto"/>
              <w:left w:val="single" w:sz="4" w:space="0" w:color="auto"/>
              <w:bottom w:val="single" w:sz="4" w:space="0" w:color="auto"/>
              <w:right w:val="single" w:sz="4" w:space="0" w:color="auto"/>
            </w:tcBorders>
          </w:tcPr>
          <w:p w14:paraId="4177C807" w14:textId="1C44ED4B" w:rsidR="0029672E" w:rsidRPr="001552C0" w:rsidRDefault="0029672E" w:rsidP="007A5507">
            <w:r w:rsidRPr="001552C0">
              <w:t>&gt;0</w:t>
            </w:r>
          </w:p>
          <w:p w14:paraId="0CC7C78D" w14:textId="2A979A0B" w:rsidR="003B271F" w:rsidRPr="001552C0" w:rsidRDefault="0029672E" w:rsidP="007A5507">
            <w:pPr>
              <w:rPr>
                <w:b/>
              </w:rPr>
            </w:pPr>
            <w:r w:rsidRPr="001552C0">
              <w:t>Target value is quantified in lei, based on the difference between the indicative allocation for this specific objective and the eligible budget of projects phased from 2014-2020 programming period</w:t>
            </w:r>
          </w:p>
        </w:tc>
      </w:tr>
      <w:tr w:rsidR="00B96B06" w:rsidRPr="001552C0" w14:paraId="4C920569"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2F2BADDC" w14:textId="77777777" w:rsidR="00F37836" w:rsidRPr="001552C0" w:rsidRDefault="00F37836" w:rsidP="00A446DA">
            <w:r w:rsidRPr="001552C0">
              <w:t xml:space="preserve">Prioritatea 2. Dezvoltarea infrastructurii de apă și apă uzată și tranziția la o  economie </w:t>
            </w:r>
            <w:r w:rsidRPr="001552C0">
              <w:lastRenderedPageBreak/>
              <w:t>circulară</w:t>
            </w:r>
          </w:p>
          <w:p w14:paraId="35624BD1" w14:textId="39B9A119" w:rsidR="00F37836" w:rsidRPr="001552C0" w:rsidRDefault="00F37836" w:rsidP="007A5507">
            <w:pPr>
              <w:rPr>
                <w:b/>
                <w:i/>
              </w:rPr>
            </w:pPr>
            <w:r w:rsidRPr="001552C0">
              <w:t>2.1 Investiții în sectorul apei și apei uzate, pentru a îndeplini cerințele directivelor de mediu</w:t>
            </w:r>
          </w:p>
        </w:tc>
        <w:tc>
          <w:tcPr>
            <w:tcW w:w="754" w:type="pct"/>
            <w:tcBorders>
              <w:top w:val="single" w:sz="4" w:space="0" w:color="auto"/>
              <w:left w:val="single" w:sz="4" w:space="0" w:color="auto"/>
              <w:bottom w:val="single" w:sz="4" w:space="0" w:color="auto"/>
              <w:right w:val="single" w:sz="4" w:space="0" w:color="auto"/>
            </w:tcBorders>
          </w:tcPr>
          <w:p w14:paraId="2165FD32" w14:textId="77777777" w:rsidR="00F37836" w:rsidRPr="001552C0" w:rsidRDefault="00F37836" w:rsidP="00A446DA">
            <w:r w:rsidRPr="001552C0">
              <w:lastRenderedPageBreak/>
              <w:t xml:space="preserve"> (v) Promovarea managementului durabil al apei</w:t>
            </w:r>
          </w:p>
          <w:p w14:paraId="1703702A" w14:textId="77777777" w:rsidR="00F37836" w:rsidRPr="001552C0" w:rsidRDefault="00F37836" w:rsidP="007A5507">
            <w:pPr>
              <w:rPr>
                <w:b/>
                <w:i/>
              </w:rPr>
            </w:pPr>
          </w:p>
        </w:tc>
        <w:tc>
          <w:tcPr>
            <w:tcW w:w="306" w:type="pct"/>
            <w:tcBorders>
              <w:top w:val="single" w:sz="4" w:space="0" w:color="auto"/>
              <w:left w:val="single" w:sz="4" w:space="0" w:color="auto"/>
              <w:bottom w:val="single" w:sz="4" w:space="0" w:color="auto"/>
              <w:right w:val="single" w:sz="4" w:space="0" w:color="auto"/>
            </w:tcBorders>
          </w:tcPr>
          <w:p w14:paraId="60AF3B15" w14:textId="77777777" w:rsidR="00F37836" w:rsidRPr="001552C0" w:rsidRDefault="00F37836" w:rsidP="00A446DA">
            <w:r w:rsidRPr="001552C0">
              <w:t>FEDR</w:t>
            </w:r>
          </w:p>
          <w:p w14:paraId="79F2A98F" w14:textId="3D7A7F41" w:rsidR="00F37836" w:rsidRPr="001552C0" w:rsidRDefault="00F37836" w:rsidP="007A5507">
            <w:pPr>
              <w:rPr>
                <w:b/>
                <w:i/>
              </w:rPr>
            </w:pPr>
            <w:r w:rsidRPr="001552C0">
              <w:t>FC</w:t>
            </w:r>
          </w:p>
        </w:tc>
        <w:tc>
          <w:tcPr>
            <w:tcW w:w="508" w:type="pct"/>
            <w:tcBorders>
              <w:top w:val="single" w:sz="4" w:space="0" w:color="auto"/>
              <w:left w:val="single" w:sz="4" w:space="0" w:color="auto"/>
              <w:bottom w:val="single" w:sz="4" w:space="0" w:color="auto"/>
              <w:right w:val="single" w:sz="4" w:space="0" w:color="auto"/>
            </w:tcBorders>
          </w:tcPr>
          <w:p w14:paraId="1F70A64D" w14:textId="77777777" w:rsidR="00F37836" w:rsidRPr="001552C0" w:rsidRDefault="00F37836" w:rsidP="00A446DA">
            <w:r w:rsidRPr="001552C0">
              <w:t>Mai dezvoltate</w:t>
            </w:r>
          </w:p>
          <w:p w14:paraId="6D5FDCE4" w14:textId="3FA8889A" w:rsidR="00F37836" w:rsidRPr="001552C0" w:rsidRDefault="00F37836" w:rsidP="007A5507">
            <w:pPr>
              <w:rPr>
                <w:b/>
                <w:i/>
              </w:rPr>
            </w:pPr>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11AA001B" w14:textId="3B5EE3F0" w:rsidR="00F37836" w:rsidRPr="001552C0" w:rsidRDefault="00F37836" w:rsidP="00092C9D">
            <w:r w:rsidRPr="001552C0">
              <w:t>2S</w:t>
            </w:r>
            <w:r w:rsidR="00092C9D" w:rsidRPr="001552C0">
              <w:t>4</w:t>
            </w:r>
          </w:p>
        </w:tc>
        <w:tc>
          <w:tcPr>
            <w:tcW w:w="631" w:type="pct"/>
            <w:tcBorders>
              <w:top w:val="single" w:sz="4" w:space="0" w:color="auto"/>
              <w:left w:val="single" w:sz="4" w:space="0" w:color="auto"/>
              <w:bottom w:val="single" w:sz="4" w:space="0" w:color="auto"/>
              <w:right w:val="single" w:sz="4" w:space="0" w:color="auto"/>
            </w:tcBorders>
          </w:tcPr>
          <w:p w14:paraId="41D2C73A" w14:textId="69ECB23D" w:rsidR="00F37836" w:rsidRPr="001552C0" w:rsidRDefault="00F37836" w:rsidP="007A5507">
            <w:r w:rsidRPr="001552C0">
              <w:t>Organizaţii din domeniul apei şi apei uzate sprijinite (acţiunea v.3)</w:t>
            </w:r>
          </w:p>
        </w:tc>
        <w:tc>
          <w:tcPr>
            <w:tcW w:w="657" w:type="pct"/>
            <w:tcBorders>
              <w:top w:val="single" w:sz="4" w:space="0" w:color="auto"/>
              <w:left w:val="single" w:sz="4" w:space="0" w:color="auto"/>
              <w:bottom w:val="single" w:sz="4" w:space="0" w:color="auto"/>
              <w:right w:val="single" w:sz="4" w:space="0" w:color="auto"/>
            </w:tcBorders>
          </w:tcPr>
          <w:p w14:paraId="4E31D77B" w14:textId="1E76448E" w:rsidR="00F37836" w:rsidRPr="001552C0" w:rsidRDefault="00F155C1" w:rsidP="007A5507">
            <w:pPr>
              <w:rPr>
                <w:b/>
                <w:i/>
              </w:rPr>
            </w:pPr>
            <w:r w:rsidRPr="001552C0">
              <w:t>organizații</w:t>
            </w:r>
          </w:p>
        </w:tc>
        <w:tc>
          <w:tcPr>
            <w:tcW w:w="500" w:type="pct"/>
            <w:tcBorders>
              <w:top w:val="single" w:sz="4" w:space="0" w:color="auto"/>
              <w:left w:val="single" w:sz="4" w:space="0" w:color="auto"/>
              <w:bottom w:val="single" w:sz="4" w:space="0" w:color="auto"/>
              <w:right w:val="single" w:sz="4" w:space="0" w:color="auto"/>
            </w:tcBorders>
          </w:tcPr>
          <w:p w14:paraId="69247A99" w14:textId="77777777" w:rsidR="00F37836" w:rsidRPr="001552C0" w:rsidRDefault="00F37836" w:rsidP="007A5507">
            <w:pPr>
              <w:rPr>
                <w:b/>
              </w:rPr>
            </w:pPr>
          </w:p>
        </w:tc>
        <w:tc>
          <w:tcPr>
            <w:tcW w:w="742" w:type="pct"/>
            <w:tcBorders>
              <w:top w:val="single" w:sz="4" w:space="0" w:color="auto"/>
              <w:left w:val="single" w:sz="4" w:space="0" w:color="auto"/>
              <w:bottom w:val="single" w:sz="4" w:space="0" w:color="auto"/>
              <w:right w:val="single" w:sz="4" w:space="0" w:color="auto"/>
            </w:tcBorders>
          </w:tcPr>
          <w:p w14:paraId="37803585" w14:textId="6F79BE3E" w:rsidR="00F37836" w:rsidRPr="001552C0" w:rsidRDefault="00AD4E02" w:rsidP="007A5507">
            <w:pPr>
              <w:rPr>
                <w:b/>
              </w:rPr>
            </w:pPr>
            <w:r w:rsidRPr="001552C0">
              <w:t xml:space="preserve">Target value is quantified based on counting the number of organisations involved in designing and applying the policy in the field of water and </w:t>
            </w:r>
            <w:r w:rsidRPr="001552C0">
              <w:lastRenderedPageBreak/>
              <w:t>wastewater, assuming that each of them will be covered by capacity building projects</w:t>
            </w:r>
          </w:p>
        </w:tc>
      </w:tr>
      <w:tr w:rsidR="00B96B06" w:rsidRPr="001552C0" w14:paraId="5DF99FDF"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5783B639" w14:textId="77777777" w:rsidR="00F37836" w:rsidRPr="001552C0" w:rsidRDefault="00F37836" w:rsidP="00F37836">
            <w:r w:rsidRPr="001552C0">
              <w:lastRenderedPageBreak/>
              <w:t>Prioritatea 2. Dezvoltarea infrastructurii de apă și apă uzată și tranziția la o  economie circulară</w:t>
            </w:r>
          </w:p>
          <w:p w14:paraId="3AC15A3E" w14:textId="3990F51C" w:rsidR="00F37836" w:rsidRPr="001552C0" w:rsidRDefault="00F37836" w:rsidP="00842F93">
            <w:r w:rsidRPr="001552C0">
              <w:t>2.2 Gestionarea eficienta a deseurilor în vederea accelerarii tranzitiei spre economia circulara</w:t>
            </w:r>
          </w:p>
        </w:tc>
        <w:tc>
          <w:tcPr>
            <w:tcW w:w="754" w:type="pct"/>
            <w:tcBorders>
              <w:top w:val="single" w:sz="4" w:space="0" w:color="auto"/>
              <w:left w:val="single" w:sz="4" w:space="0" w:color="auto"/>
              <w:bottom w:val="single" w:sz="4" w:space="0" w:color="auto"/>
              <w:right w:val="single" w:sz="4" w:space="0" w:color="auto"/>
            </w:tcBorders>
          </w:tcPr>
          <w:p w14:paraId="26AFD0D2" w14:textId="7FBB9E45" w:rsidR="00F37836" w:rsidRPr="001552C0" w:rsidRDefault="00F37836" w:rsidP="00F37836">
            <w:pPr>
              <w:rPr>
                <w:b/>
                <w:i/>
              </w:rPr>
            </w:pPr>
            <w:r w:rsidRPr="001552C0">
              <w:t xml:space="preserve"> (vi) Promovarea tranziţiei către o economie circulară</w:t>
            </w:r>
          </w:p>
        </w:tc>
        <w:tc>
          <w:tcPr>
            <w:tcW w:w="306" w:type="pct"/>
            <w:tcBorders>
              <w:top w:val="single" w:sz="4" w:space="0" w:color="auto"/>
              <w:left w:val="single" w:sz="4" w:space="0" w:color="auto"/>
              <w:bottom w:val="single" w:sz="4" w:space="0" w:color="auto"/>
              <w:right w:val="single" w:sz="4" w:space="0" w:color="auto"/>
            </w:tcBorders>
          </w:tcPr>
          <w:p w14:paraId="41EAC907" w14:textId="0E64E336" w:rsidR="00F37836" w:rsidRPr="001552C0" w:rsidRDefault="00F37836" w:rsidP="007A5507">
            <w:pPr>
              <w:rPr>
                <w:b/>
                <w:i/>
              </w:rPr>
            </w:pPr>
            <w:r w:rsidRPr="001552C0">
              <w:t>FC</w:t>
            </w:r>
          </w:p>
        </w:tc>
        <w:tc>
          <w:tcPr>
            <w:tcW w:w="508" w:type="pct"/>
            <w:tcBorders>
              <w:top w:val="single" w:sz="4" w:space="0" w:color="auto"/>
              <w:left w:val="single" w:sz="4" w:space="0" w:color="auto"/>
              <w:bottom w:val="single" w:sz="4" w:space="0" w:color="auto"/>
              <w:right w:val="single" w:sz="4" w:space="0" w:color="auto"/>
            </w:tcBorders>
          </w:tcPr>
          <w:p w14:paraId="4F6D4C0F" w14:textId="77777777" w:rsidR="00F37836" w:rsidRPr="001552C0" w:rsidRDefault="00F37836" w:rsidP="00A446DA">
            <w:r w:rsidRPr="001552C0">
              <w:t>Mai dezvoltate</w:t>
            </w:r>
          </w:p>
          <w:p w14:paraId="672EE8FB" w14:textId="2F0BB331" w:rsidR="00F37836" w:rsidRPr="001552C0" w:rsidRDefault="00F37836" w:rsidP="007A5507">
            <w:pPr>
              <w:rPr>
                <w:b/>
                <w:i/>
              </w:rPr>
            </w:pPr>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0DACE46A" w14:textId="7967B359" w:rsidR="00F37836" w:rsidRPr="001552C0" w:rsidRDefault="00092C9D" w:rsidP="007A5507">
            <w:r w:rsidRPr="001552C0">
              <w:t>RCO 107</w:t>
            </w:r>
          </w:p>
        </w:tc>
        <w:tc>
          <w:tcPr>
            <w:tcW w:w="631" w:type="pct"/>
            <w:tcBorders>
              <w:top w:val="single" w:sz="4" w:space="0" w:color="auto"/>
              <w:left w:val="single" w:sz="4" w:space="0" w:color="auto"/>
              <w:bottom w:val="single" w:sz="4" w:space="0" w:color="auto"/>
              <w:right w:val="single" w:sz="4" w:space="0" w:color="auto"/>
            </w:tcBorders>
          </w:tcPr>
          <w:p w14:paraId="3CC37A52" w14:textId="31083200" w:rsidR="00F37836" w:rsidRPr="001552C0" w:rsidRDefault="00092C9D" w:rsidP="007A5507">
            <w:r w:rsidRPr="001552C0">
              <w:t>Investments in facilities for separate waste collection</w:t>
            </w:r>
          </w:p>
        </w:tc>
        <w:tc>
          <w:tcPr>
            <w:tcW w:w="657" w:type="pct"/>
            <w:tcBorders>
              <w:top w:val="single" w:sz="4" w:space="0" w:color="auto"/>
              <w:left w:val="single" w:sz="4" w:space="0" w:color="auto"/>
              <w:bottom w:val="single" w:sz="4" w:space="0" w:color="auto"/>
              <w:right w:val="single" w:sz="4" w:space="0" w:color="auto"/>
            </w:tcBorders>
          </w:tcPr>
          <w:p w14:paraId="32385E07" w14:textId="2273057D" w:rsidR="00F37836" w:rsidRPr="001552C0" w:rsidRDefault="00092C9D" w:rsidP="007A5507">
            <w:pPr>
              <w:rPr>
                <w:b/>
                <w:i/>
              </w:rPr>
            </w:pPr>
            <w:r w:rsidRPr="001552C0">
              <w:t>euro</w:t>
            </w:r>
          </w:p>
        </w:tc>
        <w:tc>
          <w:tcPr>
            <w:tcW w:w="500" w:type="pct"/>
            <w:tcBorders>
              <w:top w:val="single" w:sz="4" w:space="0" w:color="auto"/>
              <w:left w:val="single" w:sz="4" w:space="0" w:color="auto"/>
              <w:bottom w:val="single" w:sz="4" w:space="0" w:color="auto"/>
              <w:right w:val="single" w:sz="4" w:space="0" w:color="auto"/>
            </w:tcBorders>
          </w:tcPr>
          <w:p w14:paraId="377BFBE6" w14:textId="2B587EBF" w:rsidR="00F37836" w:rsidRPr="001552C0" w:rsidRDefault="00E51626" w:rsidP="007A5507">
            <w:r w:rsidRPr="001552C0">
              <w:t>&gt;=0</w:t>
            </w:r>
          </w:p>
        </w:tc>
        <w:tc>
          <w:tcPr>
            <w:tcW w:w="742" w:type="pct"/>
            <w:tcBorders>
              <w:top w:val="single" w:sz="4" w:space="0" w:color="auto"/>
              <w:left w:val="single" w:sz="4" w:space="0" w:color="auto"/>
              <w:bottom w:val="single" w:sz="4" w:space="0" w:color="auto"/>
              <w:right w:val="single" w:sz="4" w:space="0" w:color="auto"/>
            </w:tcBorders>
          </w:tcPr>
          <w:p w14:paraId="7D033D93" w14:textId="567C6E81" w:rsidR="00E51626" w:rsidRPr="001552C0" w:rsidRDefault="00E51626" w:rsidP="007A5507">
            <w:r w:rsidRPr="001552C0">
              <w:t>&gt;0</w:t>
            </w:r>
          </w:p>
          <w:p w14:paraId="2A7B79BA" w14:textId="6D59B4AF" w:rsidR="00F37836" w:rsidRPr="001552C0" w:rsidRDefault="00E51626" w:rsidP="007A5507">
            <w:r w:rsidRPr="001552C0">
              <w:t>Target value will be quantified based on the indicative allocation for separate waste collection.</w:t>
            </w:r>
          </w:p>
        </w:tc>
      </w:tr>
      <w:tr w:rsidR="00B96B06" w:rsidRPr="001552C0" w14:paraId="434243B3"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5326CEBB" w14:textId="77777777" w:rsidR="0041577F" w:rsidRPr="001552C0" w:rsidRDefault="0041577F" w:rsidP="0070675A">
            <w:r w:rsidRPr="001552C0">
              <w:t xml:space="preserve">Prioritatea 2. Dezvoltarea infrastructurii de apă și apă uzată și </w:t>
            </w:r>
            <w:r w:rsidRPr="001552C0">
              <w:lastRenderedPageBreak/>
              <w:t>tranziția la o  economie circulară</w:t>
            </w:r>
          </w:p>
          <w:p w14:paraId="75D4C814" w14:textId="12D5CB21" w:rsidR="0041577F" w:rsidRPr="001552C0" w:rsidRDefault="0041577F" w:rsidP="00F37836">
            <w:r w:rsidRPr="001552C0">
              <w:t>2.2 Gestionarea eficienta a deseurilor în vederea accelerarii tranzitiei spre economia circulara</w:t>
            </w:r>
          </w:p>
        </w:tc>
        <w:tc>
          <w:tcPr>
            <w:tcW w:w="754" w:type="pct"/>
            <w:tcBorders>
              <w:top w:val="single" w:sz="4" w:space="0" w:color="auto"/>
              <w:left w:val="single" w:sz="4" w:space="0" w:color="auto"/>
              <w:bottom w:val="single" w:sz="4" w:space="0" w:color="auto"/>
              <w:right w:val="single" w:sz="4" w:space="0" w:color="auto"/>
            </w:tcBorders>
          </w:tcPr>
          <w:p w14:paraId="7F0C8E70" w14:textId="2EDE79BF" w:rsidR="0041577F" w:rsidRPr="001552C0" w:rsidRDefault="0041577F" w:rsidP="00F37836">
            <w:r w:rsidRPr="001552C0">
              <w:lastRenderedPageBreak/>
              <w:t xml:space="preserve"> (vi) Promovarea tranziţiei către o economie circulară</w:t>
            </w:r>
          </w:p>
        </w:tc>
        <w:tc>
          <w:tcPr>
            <w:tcW w:w="306" w:type="pct"/>
            <w:tcBorders>
              <w:top w:val="single" w:sz="4" w:space="0" w:color="auto"/>
              <w:left w:val="single" w:sz="4" w:space="0" w:color="auto"/>
              <w:bottom w:val="single" w:sz="4" w:space="0" w:color="auto"/>
              <w:right w:val="single" w:sz="4" w:space="0" w:color="auto"/>
            </w:tcBorders>
          </w:tcPr>
          <w:p w14:paraId="1FC1638A" w14:textId="27F1562D" w:rsidR="0041577F" w:rsidRPr="001552C0" w:rsidRDefault="0041577F" w:rsidP="007A5507">
            <w:r w:rsidRPr="001552C0">
              <w:t>FC</w:t>
            </w:r>
          </w:p>
        </w:tc>
        <w:tc>
          <w:tcPr>
            <w:tcW w:w="508" w:type="pct"/>
            <w:tcBorders>
              <w:top w:val="single" w:sz="4" w:space="0" w:color="auto"/>
              <w:left w:val="single" w:sz="4" w:space="0" w:color="auto"/>
              <w:bottom w:val="single" w:sz="4" w:space="0" w:color="auto"/>
              <w:right w:val="single" w:sz="4" w:space="0" w:color="auto"/>
            </w:tcBorders>
          </w:tcPr>
          <w:p w14:paraId="7083C241" w14:textId="77777777" w:rsidR="0041577F" w:rsidRPr="001552C0" w:rsidRDefault="0041577F" w:rsidP="0070675A">
            <w:r w:rsidRPr="001552C0">
              <w:t>Mai dezvoltate</w:t>
            </w:r>
          </w:p>
          <w:p w14:paraId="59145A8E" w14:textId="09C02383" w:rsidR="0041577F" w:rsidRPr="001552C0" w:rsidRDefault="0041577F" w:rsidP="00A446DA">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7CE2E6FA" w14:textId="56AB7463" w:rsidR="0041577F" w:rsidRPr="001552C0" w:rsidRDefault="0041577F" w:rsidP="007A5507">
            <w:r w:rsidRPr="001552C0">
              <w:t>2S5</w:t>
            </w:r>
          </w:p>
        </w:tc>
        <w:tc>
          <w:tcPr>
            <w:tcW w:w="631" w:type="pct"/>
            <w:tcBorders>
              <w:top w:val="single" w:sz="4" w:space="0" w:color="auto"/>
              <w:left w:val="single" w:sz="4" w:space="0" w:color="auto"/>
              <w:bottom w:val="single" w:sz="4" w:space="0" w:color="auto"/>
              <w:right w:val="single" w:sz="4" w:space="0" w:color="auto"/>
            </w:tcBorders>
          </w:tcPr>
          <w:p w14:paraId="27C40C84" w14:textId="6FC0D2A8" w:rsidR="0041577F" w:rsidRPr="001552C0" w:rsidRDefault="0094172E" w:rsidP="0041577F">
            <w:r w:rsidRPr="001552C0">
              <w:t>Capacități suplimentare pentru reciclarea deșeurilor</w:t>
            </w:r>
          </w:p>
        </w:tc>
        <w:tc>
          <w:tcPr>
            <w:tcW w:w="657" w:type="pct"/>
            <w:tcBorders>
              <w:top w:val="single" w:sz="4" w:space="0" w:color="auto"/>
              <w:left w:val="single" w:sz="4" w:space="0" w:color="auto"/>
              <w:bottom w:val="single" w:sz="4" w:space="0" w:color="auto"/>
              <w:right w:val="single" w:sz="4" w:space="0" w:color="auto"/>
            </w:tcBorders>
          </w:tcPr>
          <w:p w14:paraId="2720FBFF" w14:textId="0A9CCE90" w:rsidR="0041577F" w:rsidRPr="001552C0" w:rsidRDefault="0041577F" w:rsidP="007A5507">
            <w:r w:rsidRPr="001552C0">
              <w:t>lei</w:t>
            </w:r>
          </w:p>
        </w:tc>
        <w:tc>
          <w:tcPr>
            <w:tcW w:w="500" w:type="pct"/>
            <w:tcBorders>
              <w:top w:val="single" w:sz="4" w:space="0" w:color="auto"/>
              <w:left w:val="single" w:sz="4" w:space="0" w:color="auto"/>
              <w:bottom w:val="single" w:sz="4" w:space="0" w:color="auto"/>
              <w:right w:val="single" w:sz="4" w:space="0" w:color="auto"/>
            </w:tcBorders>
          </w:tcPr>
          <w:p w14:paraId="37702986" w14:textId="6F5C9368" w:rsidR="0041577F" w:rsidRPr="001552C0" w:rsidRDefault="009233FE" w:rsidP="007A5507">
            <w:r w:rsidRPr="001552C0">
              <w:t>&gt;=0</w:t>
            </w:r>
          </w:p>
        </w:tc>
        <w:tc>
          <w:tcPr>
            <w:tcW w:w="742" w:type="pct"/>
            <w:tcBorders>
              <w:top w:val="single" w:sz="4" w:space="0" w:color="auto"/>
              <w:left w:val="single" w:sz="4" w:space="0" w:color="auto"/>
              <w:bottom w:val="single" w:sz="4" w:space="0" w:color="auto"/>
              <w:right w:val="single" w:sz="4" w:space="0" w:color="auto"/>
            </w:tcBorders>
          </w:tcPr>
          <w:p w14:paraId="2E51C490" w14:textId="078C1572" w:rsidR="009233FE" w:rsidRPr="001552C0" w:rsidRDefault="009233FE" w:rsidP="007A5507">
            <w:r w:rsidRPr="001552C0">
              <w:t>&gt;0</w:t>
            </w:r>
          </w:p>
          <w:p w14:paraId="64F5C2E2" w14:textId="61AC7A4D" w:rsidR="0041577F" w:rsidRPr="001552C0" w:rsidRDefault="009233FE" w:rsidP="007A5507">
            <w:pPr>
              <w:rPr>
                <w:b/>
              </w:rPr>
            </w:pPr>
            <w:r w:rsidRPr="001552C0">
              <w:t xml:space="preserve">Target value will be quantified based on the indicative allocation for sorting, </w:t>
            </w:r>
            <w:r w:rsidRPr="001552C0">
              <w:lastRenderedPageBreak/>
              <w:t>biomechanical and/or composting of waste.</w:t>
            </w:r>
          </w:p>
        </w:tc>
      </w:tr>
      <w:tr w:rsidR="00B96B06" w:rsidRPr="001552C0" w14:paraId="6C1FE4FC"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24661EC7" w14:textId="77777777" w:rsidR="00883B9B" w:rsidRPr="001552C0" w:rsidRDefault="00883B9B" w:rsidP="0070675A">
            <w:r w:rsidRPr="001552C0">
              <w:lastRenderedPageBreak/>
              <w:t>Prioritatea 2. Dezvoltarea infrastructurii de apă și apă uzată și tranziția la o  economie circulară</w:t>
            </w:r>
          </w:p>
          <w:p w14:paraId="382EC0A9" w14:textId="7CB78CCF" w:rsidR="00883B9B" w:rsidRPr="001552C0" w:rsidRDefault="00883B9B" w:rsidP="00F37836">
            <w:r w:rsidRPr="001552C0">
              <w:t>2.2 Gestionarea eficienta a deseurilor în vederea accelerarii tranzitiei spre economia circulara</w:t>
            </w:r>
          </w:p>
        </w:tc>
        <w:tc>
          <w:tcPr>
            <w:tcW w:w="754" w:type="pct"/>
            <w:tcBorders>
              <w:top w:val="single" w:sz="4" w:space="0" w:color="auto"/>
              <w:left w:val="single" w:sz="4" w:space="0" w:color="auto"/>
              <w:bottom w:val="single" w:sz="4" w:space="0" w:color="auto"/>
              <w:right w:val="single" w:sz="4" w:space="0" w:color="auto"/>
            </w:tcBorders>
          </w:tcPr>
          <w:p w14:paraId="74A1EA9C" w14:textId="28A1DD35" w:rsidR="00883B9B" w:rsidRPr="001552C0" w:rsidRDefault="00883B9B" w:rsidP="00F37836">
            <w:r w:rsidRPr="001552C0">
              <w:t xml:space="preserve"> (vi) Promovarea tranziţiei către o economie circulară</w:t>
            </w:r>
          </w:p>
        </w:tc>
        <w:tc>
          <w:tcPr>
            <w:tcW w:w="306" w:type="pct"/>
            <w:tcBorders>
              <w:top w:val="single" w:sz="4" w:space="0" w:color="auto"/>
              <w:left w:val="single" w:sz="4" w:space="0" w:color="auto"/>
              <w:bottom w:val="single" w:sz="4" w:space="0" w:color="auto"/>
              <w:right w:val="single" w:sz="4" w:space="0" w:color="auto"/>
            </w:tcBorders>
          </w:tcPr>
          <w:p w14:paraId="02B24D00" w14:textId="64B00568" w:rsidR="00883B9B" w:rsidRPr="001552C0" w:rsidRDefault="00883B9B" w:rsidP="007A5507">
            <w:r w:rsidRPr="001552C0">
              <w:t>FC</w:t>
            </w:r>
          </w:p>
        </w:tc>
        <w:tc>
          <w:tcPr>
            <w:tcW w:w="508" w:type="pct"/>
            <w:tcBorders>
              <w:top w:val="single" w:sz="4" w:space="0" w:color="auto"/>
              <w:left w:val="single" w:sz="4" w:space="0" w:color="auto"/>
              <w:bottom w:val="single" w:sz="4" w:space="0" w:color="auto"/>
              <w:right w:val="single" w:sz="4" w:space="0" w:color="auto"/>
            </w:tcBorders>
          </w:tcPr>
          <w:p w14:paraId="4FCC47BD" w14:textId="77777777" w:rsidR="00883B9B" w:rsidRPr="001552C0" w:rsidRDefault="00883B9B" w:rsidP="0070675A">
            <w:r w:rsidRPr="001552C0">
              <w:t>Mai dezvoltate</w:t>
            </w:r>
          </w:p>
          <w:p w14:paraId="0D40A2E3" w14:textId="6AE8F925" w:rsidR="00883B9B" w:rsidRPr="001552C0" w:rsidRDefault="00883B9B" w:rsidP="00A446DA">
            <w:r w:rsidRPr="001552C0">
              <w:t>Mai puțin dezvoltate</w:t>
            </w:r>
          </w:p>
        </w:tc>
        <w:tc>
          <w:tcPr>
            <w:tcW w:w="272" w:type="pct"/>
            <w:tcBorders>
              <w:top w:val="single" w:sz="4" w:space="0" w:color="auto"/>
              <w:left w:val="single" w:sz="4" w:space="0" w:color="auto"/>
              <w:bottom w:val="single" w:sz="4" w:space="0" w:color="auto"/>
              <w:right w:val="single" w:sz="4" w:space="0" w:color="auto"/>
            </w:tcBorders>
          </w:tcPr>
          <w:p w14:paraId="03B5A68D" w14:textId="7AD736DE" w:rsidR="00883B9B" w:rsidRPr="001552C0" w:rsidRDefault="00883B9B" w:rsidP="007A5507">
            <w:r w:rsidRPr="001552C0">
              <w:t>2S6</w:t>
            </w:r>
          </w:p>
        </w:tc>
        <w:tc>
          <w:tcPr>
            <w:tcW w:w="631" w:type="pct"/>
            <w:tcBorders>
              <w:top w:val="single" w:sz="4" w:space="0" w:color="auto"/>
              <w:left w:val="single" w:sz="4" w:space="0" w:color="auto"/>
              <w:bottom w:val="single" w:sz="4" w:space="0" w:color="auto"/>
              <w:right w:val="single" w:sz="4" w:space="0" w:color="auto"/>
            </w:tcBorders>
          </w:tcPr>
          <w:p w14:paraId="6AC32FA6" w14:textId="40AC0EC3" w:rsidR="00883B9B" w:rsidRPr="001552C0" w:rsidRDefault="00883B9B" w:rsidP="007A5507">
            <w:r w:rsidRPr="001552C0">
              <w:t>Depozite neconforme de deşeuri municipale închise în condiţii de siguranţă pentru mediu şi sănătatea umană</w:t>
            </w:r>
          </w:p>
        </w:tc>
        <w:tc>
          <w:tcPr>
            <w:tcW w:w="657" w:type="pct"/>
            <w:tcBorders>
              <w:top w:val="single" w:sz="4" w:space="0" w:color="auto"/>
              <w:left w:val="single" w:sz="4" w:space="0" w:color="auto"/>
              <w:bottom w:val="single" w:sz="4" w:space="0" w:color="auto"/>
              <w:right w:val="single" w:sz="4" w:space="0" w:color="auto"/>
            </w:tcBorders>
          </w:tcPr>
          <w:p w14:paraId="5D07EC57" w14:textId="3524F590" w:rsidR="00883B9B" w:rsidRPr="001552C0" w:rsidRDefault="00883B9B" w:rsidP="007A5507">
            <w:r w:rsidRPr="001552C0">
              <w:t>Depozite neconforme</w:t>
            </w:r>
          </w:p>
        </w:tc>
        <w:tc>
          <w:tcPr>
            <w:tcW w:w="500" w:type="pct"/>
            <w:tcBorders>
              <w:top w:val="single" w:sz="4" w:space="0" w:color="auto"/>
              <w:left w:val="single" w:sz="4" w:space="0" w:color="auto"/>
              <w:bottom w:val="single" w:sz="4" w:space="0" w:color="auto"/>
              <w:right w:val="single" w:sz="4" w:space="0" w:color="auto"/>
            </w:tcBorders>
          </w:tcPr>
          <w:p w14:paraId="1402B447" w14:textId="20E03DEE" w:rsidR="00883B9B" w:rsidRPr="001552C0" w:rsidRDefault="009233FE" w:rsidP="007A5507">
            <w:pPr>
              <w:rPr>
                <w:b/>
              </w:rPr>
            </w:pPr>
            <w:r w:rsidRPr="001552C0">
              <w:t>&gt;=0</w:t>
            </w:r>
          </w:p>
        </w:tc>
        <w:tc>
          <w:tcPr>
            <w:tcW w:w="742" w:type="pct"/>
            <w:tcBorders>
              <w:top w:val="single" w:sz="4" w:space="0" w:color="auto"/>
              <w:left w:val="single" w:sz="4" w:space="0" w:color="auto"/>
              <w:bottom w:val="single" w:sz="4" w:space="0" w:color="auto"/>
              <w:right w:val="single" w:sz="4" w:space="0" w:color="auto"/>
            </w:tcBorders>
          </w:tcPr>
          <w:p w14:paraId="60E2BD8E" w14:textId="77777777" w:rsidR="00883B9B" w:rsidRPr="001552C0" w:rsidRDefault="009233FE" w:rsidP="007A5507">
            <w:r w:rsidRPr="001552C0">
              <w:t>&gt;0</w:t>
            </w:r>
          </w:p>
          <w:p w14:paraId="46CAC622" w14:textId="3990B7A5" w:rsidR="009233FE" w:rsidRPr="001552C0" w:rsidRDefault="009233FE" w:rsidP="007A5507">
            <w:pPr>
              <w:rPr>
                <w:b/>
              </w:rPr>
            </w:pPr>
            <w:r w:rsidRPr="001552C0">
              <w:t>Target value will be calculated based on average budget of similar projects funded from LIOP and/or SOP-E</w:t>
            </w:r>
          </w:p>
        </w:tc>
      </w:tr>
      <w:tr w:rsidR="00484976" w:rsidRPr="001552C0" w14:paraId="19F59AF4" w14:textId="77777777" w:rsidTr="00484976">
        <w:trPr>
          <w:trHeight w:val="332"/>
        </w:trPr>
        <w:tc>
          <w:tcPr>
            <w:tcW w:w="630" w:type="pct"/>
            <w:tcBorders>
              <w:top w:val="single" w:sz="4" w:space="0" w:color="auto"/>
              <w:left w:val="single" w:sz="4" w:space="0" w:color="auto"/>
              <w:bottom w:val="single" w:sz="4" w:space="0" w:color="auto"/>
              <w:right w:val="single" w:sz="4" w:space="0" w:color="auto"/>
            </w:tcBorders>
          </w:tcPr>
          <w:p w14:paraId="4D936C03" w14:textId="77777777" w:rsidR="00FB0FA8" w:rsidRPr="001552C0" w:rsidRDefault="00FB0FA8" w:rsidP="0070675A">
            <w:r w:rsidRPr="001552C0">
              <w:t xml:space="preserve">Prioritatea 2. Dezvoltarea </w:t>
            </w:r>
            <w:r w:rsidRPr="001552C0">
              <w:lastRenderedPageBreak/>
              <w:t>infrastructurii de apă și apă uzată și tranziția la o  economie circulară</w:t>
            </w:r>
          </w:p>
          <w:p w14:paraId="789F534B" w14:textId="2BA394EB" w:rsidR="00FB0FA8" w:rsidRPr="001552C0" w:rsidRDefault="00FB0FA8" w:rsidP="0070675A">
            <w:r w:rsidRPr="001552C0">
              <w:t>2.2 Gestionarea eficienta a deseurilor în vederea accelerarii tranzitiei spre economia circulara</w:t>
            </w:r>
          </w:p>
        </w:tc>
        <w:tc>
          <w:tcPr>
            <w:tcW w:w="754" w:type="pct"/>
            <w:tcBorders>
              <w:top w:val="single" w:sz="4" w:space="0" w:color="auto"/>
              <w:left w:val="single" w:sz="4" w:space="0" w:color="auto"/>
              <w:bottom w:val="single" w:sz="4" w:space="0" w:color="auto"/>
              <w:right w:val="single" w:sz="4" w:space="0" w:color="auto"/>
            </w:tcBorders>
          </w:tcPr>
          <w:p w14:paraId="134B60A1" w14:textId="3D94CF71" w:rsidR="00FB0FA8" w:rsidRPr="001552C0" w:rsidRDefault="00FB0FA8" w:rsidP="00F37836">
            <w:r w:rsidRPr="001552C0">
              <w:lastRenderedPageBreak/>
              <w:t xml:space="preserve"> (vi) Promovarea tranziţiei către o </w:t>
            </w:r>
            <w:r w:rsidRPr="001552C0">
              <w:lastRenderedPageBreak/>
              <w:t>economie circulară</w:t>
            </w:r>
          </w:p>
        </w:tc>
        <w:tc>
          <w:tcPr>
            <w:tcW w:w="306" w:type="pct"/>
            <w:tcBorders>
              <w:top w:val="single" w:sz="4" w:space="0" w:color="auto"/>
              <w:left w:val="single" w:sz="4" w:space="0" w:color="auto"/>
              <w:bottom w:val="single" w:sz="4" w:space="0" w:color="auto"/>
              <w:right w:val="single" w:sz="4" w:space="0" w:color="auto"/>
            </w:tcBorders>
          </w:tcPr>
          <w:p w14:paraId="4DC6C80B" w14:textId="10E6F440" w:rsidR="00FB0FA8" w:rsidRPr="001552C0" w:rsidRDefault="00FB0FA8" w:rsidP="007A5507">
            <w:r w:rsidRPr="001552C0">
              <w:lastRenderedPageBreak/>
              <w:t>FC</w:t>
            </w:r>
          </w:p>
        </w:tc>
        <w:tc>
          <w:tcPr>
            <w:tcW w:w="508" w:type="pct"/>
            <w:tcBorders>
              <w:top w:val="single" w:sz="4" w:space="0" w:color="auto"/>
              <w:left w:val="single" w:sz="4" w:space="0" w:color="auto"/>
              <w:bottom w:val="single" w:sz="4" w:space="0" w:color="auto"/>
              <w:right w:val="single" w:sz="4" w:space="0" w:color="auto"/>
            </w:tcBorders>
          </w:tcPr>
          <w:p w14:paraId="0734F8B2" w14:textId="77777777" w:rsidR="00FB0FA8" w:rsidRPr="001552C0" w:rsidRDefault="00FB0FA8" w:rsidP="0070675A">
            <w:r w:rsidRPr="001552C0">
              <w:t>Mai dezvoltate</w:t>
            </w:r>
          </w:p>
          <w:p w14:paraId="5DF539BE" w14:textId="1635760B" w:rsidR="00FB0FA8" w:rsidRPr="001552C0" w:rsidRDefault="00FB0FA8" w:rsidP="0070675A">
            <w:r w:rsidRPr="001552C0">
              <w:t xml:space="preserve">Mai </w:t>
            </w:r>
            <w:r w:rsidRPr="001552C0">
              <w:lastRenderedPageBreak/>
              <w:t>puțin dezvoltate</w:t>
            </w:r>
          </w:p>
        </w:tc>
        <w:tc>
          <w:tcPr>
            <w:tcW w:w="272" w:type="pct"/>
            <w:tcBorders>
              <w:top w:val="single" w:sz="4" w:space="0" w:color="auto"/>
              <w:left w:val="single" w:sz="4" w:space="0" w:color="auto"/>
              <w:bottom w:val="single" w:sz="4" w:space="0" w:color="auto"/>
              <w:right w:val="single" w:sz="4" w:space="0" w:color="auto"/>
            </w:tcBorders>
          </w:tcPr>
          <w:p w14:paraId="23B50F82" w14:textId="5EC2F619" w:rsidR="00FB0FA8" w:rsidRPr="001552C0" w:rsidRDefault="00FB0FA8" w:rsidP="007A5507">
            <w:r w:rsidRPr="001552C0">
              <w:lastRenderedPageBreak/>
              <w:t>2S7</w:t>
            </w:r>
          </w:p>
        </w:tc>
        <w:tc>
          <w:tcPr>
            <w:tcW w:w="631" w:type="pct"/>
            <w:tcBorders>
              <w:top w:val="single" w:sz="4" w:space="0" w:color="auto"/>
              <w:left w:val="single" w:sz="4" w:space="0" w:color="auto"/>
              <w:bottom w:val="single" w:sz="4" w:space="0" w:color="auto"/>
              <w:right w:val="single" w:sz="4" w:space="0" w:color="auto"/>
            </w:tcBorders>
          </w:tcPr>
          <w:p w14:paraId="7420ADC3" w14:textId="1BD23C10" w:rsidR="00FB0FA8" w:rsidRPr="001552C0" w:rsidRDefault="0094172E" w:rsidP="00FB0FA8">
            <w:r w:rsidRPr="001552C0">
              <w:t xml:space="preserve">Autorități cu responsabilități în domeniul </w:t>
            </w:r>
            <w:r w:rsidRPr="001552C0">
              <w:lastRenderedPageBreak/>
              <w:t xml:space="preserve">deșeurilor </w:t>
            </w:r>
            <w:r w:rsidR="00FB0FA8" w:rsidRPr="001552C0">
              <w:t xml:space="preserve">sprijinite </w:t>
            </w:r>
          </w:p>
        </w:tc>
        <w:tc>
          <w:tcPr>
            <w:tcW w:w="657" w:type="pct"/>
            <w:tcBorders>
              <w:top w:val="single" w:sz="4" w:space="0" w:color="auto"/>
              <w:left w:val="single" w:sz="4" w:space="0" w:color="auto"/>
              <w:bottom w:val="single" w:sz="4" w:space="0" w:color="auto"/>
              <w:right w:val="single" w:sz="4" w:space="0" w:color="auto"/>
            </w:tcBorders>
          </w:tcPr>
          <w:p w14:paraId="24B7133E" w14:textId="6D370807" w:rsidR="00FB0FA8" w:rsidRPr="001552C0" w:rsidRDefault="00FB0FA8" w:rsidP="007A5507">
            <w:r w:rsidRPr="001552C0">
              <w:lastRenderedPageBreak/>
              <w:t>organizații</w:t>
            </w:r>
          </w:p>
        </w:tc>
        <w:tc>
          <w:tcPr>
            <w:tcW w:w="500" w:type="pct"/>
            <w:tcBorders>
              <w:top w:val="single" w:sz="4" w:space="0" w:color="auto"/>
              <w:left w:val="single" w:sz="4" w:space="0" w:color="auto"/>
              <w:bottom w:val="single" w:sz="4" w:space="0" w:color="auto"/>
              <w:right w:val="single" w:sz="4" w:space="0" w:color="auto"/>
            </w:tcBorders>
          </w:tcPr>
          <w:p w14:paraId="1E69FFAD" w14:textId="77BF56CD" w:rsidR="00FB0FA8" w:rsidRPr="001552C0" w:rsidRDefault="009233FE" w:rsidP="007A5507">
            <w:pPr>
              <w:rPr>
                <w:b/>
              </w:rPr>
            </w:pPr>
            <w:r w:rsidRPr="001552C0">
              <w:t>&gt;=0</w:t>
            </w:r>
          </w:p>
        </w:tc>
        <w:tc>
          <w:tcPr>
            <w:tcW w:w="742" w:type="pct"/>
            <w:tcBorders>
              <w:top w:val="single" w:sz="4" w:space="0" w:color="auto"/>
              <w:left w:val="single" w:sz="4" w:space="0" w:color="auto"/>
              <w:bottom w:val="single" w:sz="4" w:space="0" w:color="auto"/>
              <w:right w:val="single" w:sz="4" w:space="0" w:color="auto"/>
            </w:tcBorders>
          </w:tcPr>
          <w:p w14:paraId="0CE92BE8" w14:textId="77777777" w:rsidR="00FB0FA8" w:rsidRPr="001552C0" w:rsidRDefault="009233FE" w:rsidP="009233FE">
            <w:r w:rsidRPr="001552C0">
              <w:t>&gt;0</w:t>
            </w:r>
          </w:p>
          <w:p w14:paraId="638254A1" w14:textId="4C2406E1" w:rsidR="009233FE" w:rsidRPr="001552C0" w:rsidRDefault="009233FE" w:rsidP="009233FE">
            <w:pPr>
              <w:rPr>
                <w:b/>
              </w:rPr>
            </w:pPr>
            <w:r w:rsidRPr="001552C0">
              <w:t xml:space="preserve">Target value will be calculated </w:t>
            </w:r>
            <w:r w:rsidRPr="001552C0">
              <w:lastRenderedPageBreak/>
              <w:t>based on the number of relevant public institutions acting in waste domain assuming that all of them will benefit by capacity building support</w:t>
            </w:r>
          </w:p>
        </w:tc>
      </w:tr>
    </w:tbl>
    <w:p w14:paraId="4C771CE8" w14:textId="77777777" w:rsidR="007A5507" w:rsidRPr="001552C0" w:rsidRDefault="007A5507" w:rsidP="007A55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200"/>
        <w:gridCol w:w="516"/>
        <w:gridCol w:w="825"/>
        <w:gridCol w:w="447"/>
        <w:gridCol w:w="845"/>
        <w:gridCol w:w="1051"/>
        <w:gridCol w:w="785"/>
        <w:gridCol w:w="814"/>
        <w:gridCol w:w="596"/>
        <w:gridCol w:w="618"/>
        <w:gridCol w:w="1146"/>
      </w:tblGrid>
      <w:tr w:rsidR="00B96B06" w:rsidRPr="001552C0" w14:paraId="6905E450" w14:textId="77777777" w:rsidTr="00D2674E">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109CC388" w14:textId="77777777" w:rsidR="007A5507" w:rsidRPr="001552C0" w:rsidRDefault="007A5507" w:rsidP="007A5507">
            <w:pPr>
              <w:rPr>
                <w:b/>
              </w:rPr>
            </w:pPr>
            <w:r w:rsidRPr="001552C0">
              <w:rPr>
                <w:b/>
                <w:iCs/>
              </w:rPr>
              <w:t>Table 3: Result indicators</w:t>
            </w:r>
          </w:p>
        </w:tc>
      </w:tr>
      <w:tr w:rsidR="00B96B06" w:rsidRPr="001552C0" w14:paraId="1A7A6886" w14:textId="77777777" w:rsidTr="00D2674E">
        <w:trPr>
          <w:trHeight w:val="1768"/>
        </w:trPr>
        <w:tc>
          <w:tcPr>
            <w:tcW w:w="510" w:type="pct"/>
            <w:tcBorders>
              <w:top w:val="single" w:sz="4" w:space="0" w:color="auto"/>
              <w:left w:val="single" w:sz="4" w:space="0" w:color="auto"/>
              <w:bottom w:val="single" w:sz="4" w:space="0" w:color="auto"/>
              <w:right w:val="single" w:sz="4" w:space="0" w:color="auto"/>
            </w:tcBorders>
            <w:hideMark/>
          </w:tcPr>
          <w:p w14:paraId="2214BBD6" w14:textId="77777777" w:rsidR="007A5507" w:rsidRPr="001552C0" w:rsidRDefault="007A5507" w:rsidP="007A5507">
            <w:pPr>
              <w:rPr>
                <w:b/>
              </w:rPr>
            </w:pPr>
            <w:r w:rsidRPr="001552C0">
              <w:rPr>
                <w:b/>
              </w:rPr>
              <w:t xml:space="preserve">Priority </w:t>
            </w:r>
          </w:p>
        </w:tc>
        <w:tc>
          <w:tcPr>
            <w:tcW w:w="605" w:type="pct"/>
            <w:tcBorders>
              <w:top w:val="single" w:sz="4" w:space="0" w:color="auto"/>
              <w:left w:val="single" w:sz="4" w:space="0" w:color="auto"/>
              <w:bottom w:val="single" w:sz="4" w:space="0" w:color="auto"/>
              <w:right w:val="single" w:sz="4" w:space="0" w:color="auto"/>
            </w:tcBorders>
            <w:hideMark/>
          </w:tcPr>
          <w:p w14:paraId="1076D45E" w14:textId="77777777" w:rsidR="007A5507" w:rsidRPr="001552C0" w:rsidRDefault="007A5507" w:rsidP="007A5507">
            <w:pPr>
              <w:rPr>
                <w:b/>
              </w:rPr>
            </w:pPr>
            <w:r w:rsidRPr="001552C0">
              <w:rPr>
                <w:b/>
              </w:rPr>
              <w:t>Specific objective (Investment for Jobs and Growth goal or EMFF)</w:t>
            </w:r>
          </w:p>
        </w:tc>
        <w:tc>
          <w:tcPr>
            <w:tcW w:w="261" w:type="pct"/>
            <w:tcBorders>
              <w:top w:val="single" w:sz="4" w:space="0" w:color="auto"/>
              <w:left w:val="single" w:sz="4" w:space="0" w:color="auto"/>
              <w:bottom w:val="single" w:sz="4" w:space="0" w:color="auto"/>
              <w:right w:val="single" w:sz="4" w:space="0" w:color="auto"/>
            </w:tcBorders>
            <w:hideMark/>
          </w:tcPr>
          <w:p w14:paraId="39BDC289" w14:textId="77777777" w:rsidR="007A5507" w:rsidRPr="001552C0" w:rsidRDefault="007A5507" w:rsidP="007A5507">
            <w:pPr>
              <w:rPr>
                <w:b/>
              </w:rPr>
            </w:pPr>
            <w:r w:rsidRPr="001552C0">
              <w:rPr>
                <w:b/>
              </w:rPr>
              <w:t>Fund</w:t>
            </w:r>
          </w:p>
        </w:tc>
        <w:tc>
          <w:tcPr>
            <w:tcW w:w="416" w:type="pct"/>
            <w:tcBorders>
              <w:top w:val="single" w:sz="4" w:space="0" w:color="auto"/>
              <w:left w:val="single" w:sz="4" w:space="0" w:color="auto"/>
              <w:bottom w:val="single" w:sz="4" w:space="0" w:color="auto"/>
              <w:right w:val="single" w:sz="4" w:space="0" w:color="auto"/>
            </w:tcBorders>
            <w:hideMark/>
          </w:tcPr>
          <w:p w14:paraId="3FDCD7F0" w14:textId="77777777" w:rsidR="007A5507" w:rsidRPr="001552C0" w:rsidRDefault="007A5507" w:rsidP="007A5507">
            <w:pPr>
              <w:rPr>
                <w:b/>
              </w:rPr>
            </w:pPr>
            <w:r w:rsidRPr="001552C0">
              <w:rPr>
                <w:b/>
              </w:rPr>
              <w:t>Category of region</w:t>
            </w:r>
            <w:r w:rsidRPr="001552C0">
              <w:t xml:space="preserve"> </w:t>
            </w:r>
          </w:p>
        </w:tc>
        <w:tc>
          <w:tcPr>
            <w:tcW w:w="226" w:type="pct"/>
            <w:tcBorders>
              <w:top w:val="single" w:sz="4" w:space="0" w:color="auto"/>
              <w:left w:val="single" w:sz="4" w:space="0" w:color="auto"/>
              <w:bottom w:val="single" w:sz="4" w:space="0" w:color="auto"/>
              <w:right w:val="single" w:sz="4" w:space="0" w:color="auto"/>
            </w:tcBorders>
            <w:hideMark/>
          </w:tcPr>
          <w:p w14:paraId="1654E7AF" w14:textId="77777777" w:rsidR="007A5507" w:rsidRPr="001552C0" w:rsidRDefault="007A5507" w:rsidP="007A5507">
            <w:pPr>
              <w:rPr>
                <w:b/>
              </w:rPr>
            </w:pPr>
            <w:r w:rsidRPr="001552C0">
              <w:rPr>
                <w:b/>
              </w:rPr>
              <w:t>ID [5]</w:t>
            </w:r>
          </w:p>
        </w:tc>
        <w:tc>
          <w:tcPr>
            <w:tcW w:w="456" w:type="pct"/>
            <w:tcBorders>
              <w:top w:val="single" w:sz="4" w:space="0" w:color="auto"/>
              <w:left w:val="single" w:sz="4" w:space="0" w:color="auto"/>
              <w:bottom w:val="single" w:sz="4" w:space="0" w:color="auto"/>
              <w:right w:val="single" w:sz="4" w:space="0" w:color="auto"/>
            </w:tcBorders>
            <w:hideMark/>
          </w:tcPr>
          <w:p w14:paraId="5248E1B7" w14:textId="77777777" w:rsidR="007A5507" w:rsidRPr="001552C0" w:rsidRDefault="007A5507" w:rsidP="007A5507">
            <w:pPr>
              <w:rPr>
                <w:b/>
              </w:rPr>
            </w:pPr>
            <w:r w:rsidRPr="001552C0">
              <w:rPr>
                <w:b/>
              </w:rPr>
              <w:t>Indicator [255]</w:t>
            </w:r>
          </w:p>
        </w:tc>
        <w:tc>
          <w:tcPr>
            <w:tcW w:w="530" w:type="pct"/>
            <w:tcBorders>
              <w:top w:val="single" w:sz="4" w:space="0" w:color="auto"/>
              <w:left w:val="single" w:sz="4" w:space="0" w:color="auto"/>
              <w:bottom w:val="single" w:sz="4" w:space="0" w:color="auto"/>
              <w:right w:val="single" w:sz="4" w:space="0" w:color="auto"/>
            </w:tcBorders>
            <w:hideMark/>
          </w:tcPr>
          <w:p w14:paraId="51080BB6" w14:textId="77777777" w:rsidR="007A5507" w:rsidRPr="001552C0" w:rsidRDefault="007A5507" w:rsidP="007A5507">
            <w:pPr>
              <w:rPr>
                <w:b/>
              </w:rPr>
            </w:pPr>
            <w:r w:rsidRPr="001552C0">
              <w:rPr>
                <w:b/>
              </w:rPr>
              <w:t>Measurement unit</w:t>
            </w:r>
          </w:p>
        </w:tc>
        <w:tc>
          <w:tcPr>
            <w:tcW w:w="396" w:type="pct"/>
            <w:tcBorders>
              <w:top w:val="single" w:sz="4" w:space="0" w:color="auto"/>
              <w:left w:val="single" w:sz="4" w:space="0" w:color="auto"/>
              <w:bottom w:val="single" w:sz="4" w:space="0" w:color="auto"/>
              <w:right w:val="single" w:sz="4" w:space="0" w:color="auto"/>
            </w:tcBorders>
            <w:hideMark/>
          </w:tcPr>
          <w:p w14:paraId="3CB623FA" w14:textId="77777777" w:rsidR="007A5507" w:rsidRPr="001552C0" w:rsidRDefault="007A5507" w:rsidP="007A5507">
            <w:pPr>
              <w:rPr>
                <w:b/>
              </w:rPr>
            </w:pPr>
            <w:r w:rsidRPr="001552C0">
              <w:rPr>
                <w:b/>
              </w:rPr>
              <w:t>Baseline or reference value</w:t>
            </w:r>
          </w:p>
        </w:tc>
        <w:tc>
          <w:tcPr>
            <w:tcW w:w="410" w:type="pct"/>
            <w:tcBorders>
              <w:top w:val="single" w:sz="4" w:space="0" w:color="auto"/>
              <w:left w:val="single" w:sz="4" w:space="0" w:color="auto"/>
              <w:bottom w:val="single" w:sz="4" w:space="0" w:color="auto"/>
              <w:right w:val="single" w:sz="4" w:space="0" w:color="auto"/>
            </w:tcBorders>
            <w:hideMark/>
          </w:tcPr>
          <w:p w14:paraId="328F0603" w14:textId="77777777" w:rsidR="007A5507" w:rsidRPr="001552C0" w:rsidRDefault="007A5507" w:rsidP="007A5507">
            <w:pPr>
              <w:rPr>
                <w:b/>
              </w:rPr>
            </w:pPr>
            <w:r w:rsidRPr="001552C0">
              <w:rPr>
                <w:b/>
              </w:rPr>
              <w:t>Reference year</w:t>
            </w:r>
          </w:p>
        </w:tc>
        <w:tc>
          <w:tcPr>
            <w:tcW w:w="301" w:type="pct"/>
            <w:tcBorders>
              <w:top w:val="single" w:sz="4" w:space="0" w:color="auto"/>
              <w:left w:val="single" w:sz="4" w:space="0" w:color="auto"/>
              <w:bottom w:val="single" w:sz="4" w:space="0" w:color="auto"/>
              <w:right w:val="single" w:sz="4" w:space="0" w:color="auto"/>
            </w:tcBorders>
          </w:tcPr>
          <w:p w14:paraId="33E672EA" w14:textId="77777777" w:rsidR="007A5507" w:rsidRPr="001552C0" w:rsidRDefault="007A5507" w:rsidP="007A5507">
            <w:pPr>
              <w:rPr>
                <w:b/>
              </w:rPr>
            </w:pPr>
            <w:r w:rsidRPr="001552C0">
              <w:rPr>
                <w:b/>
              </w:rPr>
              <w:t>Target (2029)</w:t>
            </w:r>
          </w:p>
          <w:p w14:paraId="2AD33BF9" w14:textId="77777777" w:rsidR="007A5507" w:rsidRPr="001552C0" w:rsidRDefault="007A5507" w:rsidP="007A5507">
            <w:pPr>
              <w:rPr>
                <w:b/>
              </w:rPr>
            </w:pPr>
          </w:p>
        </w:tc>
        <w:tc>
          <w:tcPr>
            <w:tcW w:w="312" w:type="pct"/>
            <w:tcBorders>
              <w:top w:val="single" w:sz="4" w:space="0" w:color="auto"/>
              <w:left w:val="single" w:sz="4" w:space="0" w:color="auto"/>
              <w:bottom w:val="single" w:sz="4" w:space="0" w:color="auto"/>
              <w:right w:val="single" w:sz="4" w:space="0" w:color="auto"/>
            </w:tcBorders>
            <w:hideMark/>
          </w:tcPr>
          <w:p w14:paraId="04B08572" w14:textId="77777777" w:rsidR="007A5507" w:rsidRPr="001552C0" w:rsidRDefault="007A5507" w:rsidP="007A5507">
            <w:pPr>
              <w:rPr>
                <w:b/>
              </w:rPr>
            </w:pPr>
            <w:r w:rsidRPr="001552C0">
              <w:rPr>
                <w:b/>
              </w:rPr>
              <w:t>Source of data [200]</w:t>
            </w:r>
          </w:p>
        </w:tc>
        <w:tc>
          <w:tcPr>
            <w:tcW w:w="577" w:type="pct"/>
            <w:tcBorders>
              <w:top w:val="single" w:sz="4" w:space="0" w:color="auto"/>
              <w:left w:val="single" w:sz="4" w:space="0" w:color="auto"/>
              <w:bottom w:val="single" w:sz="4" w:space="0" w:color="auto"/>
              <w:right w:val="single" w:sz="4" w:space="0" w:color="auto"/>
            </w:tcBorders>
            <w:hideMark/>
          </w:tcPr>
          <w:p w14:paraId="02FC0C8E" w14:textId="77777777" w:rsidR="007A5507" w:rsidRPr="001552C0" w:rsidRDefault="007A5507" w:rsidP="007A5507">
            <w:pPr>
              <w:rPr>
                <w:b/>
              </w:rPr>
            </w:pPr>
            <w:r w:rsidRPr="001552C0">
              <w:rPr>
                <w:b/>
              </w:rPr>
              <w:t>Comments [200]</w:t>
            </w:r>
          </w:p>
        </w:tc>
      </w:tr>
      <w:tr w:rsidR="00B96B06" w:rsidRPr="001552C0" w14:paraId="00E582B1" w14:textId="77777777" w:rsidTr="00D2674E">
        <w:trPr>
          <w:trHeight w:val="434"/>
        </w:trPr>
        <w:tc>
          <w:tcPr>
            <w:tcW w:w="510" w:type="pct"/>
            <w:tcBorders>
              <w:top w:val="single" w:sz="4" w:space="0" w:color="auto"/>
              <w:left w:val="single" w:sz="4" w:space="0" w:color="auto"/>
              <w:bottom w:val="single" w:sz="4" w:space="0" w:color="auto"/>
              <w:right w:val="single" w:sz="4" w:space="0" w:color="auto"/>
            </w:tcBorders>
          </w:tcPr>
          <w:p w14:paraId="4EC99406" w14:textId="77777777" w:rsidR="00F37836" w:rsidRPr="001552C0" w:rsidRDefault="00F37836" w:rsidP="00A446DA">
            <w:r w:rsidRPr="001552C0">
              <w:t xml:space="preserve">Prioritatea 2. Dezvoltarea infrastructurii de apă și apă uzată și tranziția la o  economie </w:t>
            </w:r>
            <w:r w:rsidRPr="001552C0">
              <w:lastRenderedPageBreak/>
              <w:t>circulară</w:t>
            </w:r>
          </w:p>
          <w:p w14:paraId="6508945A" w14:textId="2640909C" w:rsidR="00F37836" w:rsidRPr="001552C0" w:rsidRDefault="00F37836" w:rsidP="007A5507">
            <w:pPr>
              <w:rPr>
                <w:i/>
              </w:rPr>
            </w:pPr>
            <w:r w:rsidRPr="001552C0">
              <w:t>2.1 Investiții în sectorul apei și apei uzate, pentru a îndeplini cerințele directivelor de mediu</w:t>
            </w:r>
          </w:p>
        </w:tc>
        <w:tc>
          <w:tcPr>
            <w:tcW w:w="605" w:type="pct"/>
            <w:tcBorders>
              <w:top w:val="single" w:sz="4" w:space="0" w:color="auto"/>
              <w:left w:val="single" w:sz="4" w:space="0" w:color="auto"/>
              <w:bottom w:val="single" w:sz="4" w:space="0" w:color="auto"/>
              <w:right w:val="single" w:sz="4" w:space="0" w:color="auto"/>
            </w:tcBorders>
          </w:tcPr>
          <w:p w14:paraId="15F86FC4" w14:textId="77777777" w:rsidR="00F37836" w:rsidRPr="001552C0" w:rsidRDefault="00F37836" w:rsidP="00A446DA">
            <w:r w:rsidRPr="001552C0">
              <w:lastRenderedPageBreak/>
              <w:t xml:space="preserve"> (v) Promovarea managementului durabil al apei</w:t>
            </w:r>
          </w:p>
          <w:p w14:paraId="15302FF7" w14:textId="77777777" w:rsidR="00F37836" w:rsidRPr="001552C0" w:rsidRDefault="00F37836" w:rsidP="007A5507">
            <w:pPr>
              <w:rPr>
                <w:i/>
              </w:rPr>
            </w:pPr>
          </w:p>
        </w:tc>
        <w:tc>
          <w:tcPr>
            <w:tcW w:w="261" w:type="pct"/>
            <w:tcBorders>
              <w:top w:val="single" w:sz="4" w:space="0" w:color="auto"/>
              <w:left w:val="single" w:sz="4" w:space="0" w:color="auto"/>
              <w:bottom w:val="single" w:sz="4" w:space="0" w:color="auto"/>
              <w:right w:val="single" w:sz="4" w:space="0" w:color="auto"/>
            </w:tcBorders>
          </w:tcPr>
          <w:p w14:paraId="76E4636E" w14:textId="77777777" w:rsidR="00F37836" w:rsidRPr="001552C0" w:rsidRDefault="00F37836" w:rsidP="00A446DA">
            <w:r w:rsidRPr="001552C0">
              <w:t>FEDR</w:t>
            </w:r>
          </w:p>
          <w:p w14:paraId="74ACE674" w14:textId="32C759C4" w:rsidR="00F37836" w:rsidRPr="001552C0" w:rsidRDefault="00F37836" w:rsidP="007A5507">
            <w:pPr>
              <w:rPr>
                <w:i/>
              </w:rPr>
            </w:pPr>
            <w:r w:rsidRPr="001552C0">
              <w:t>FC</w:t>
            </w:r>
          </w:p>
        </w:tc>
        <w:tc>
          <w:tcPr>
            <w:tcW w:w="416" w:type="pct"/>
            <w:tcBorders>
              <w:top w:val="single" w:sz="4" w:space="0" w:color="auto"/>
              <w:left w:val="single" w:sz="4" w:space="0" w:color="auto"/>
              <w:bottom w:val="single" w:sz="4" w:space="0" w:color="auto"/>
              <w:right w:val="single" w:sz="4" w:space="0" w:color="auto"/>
            </w:tcBorders>
          </w:tcPr>
          <w:p w14:paraId="24CB6FC6" w14:textId="77777777" w:rsidR="00F37836" w:rsidRPr="001552C0" w:rsidRDefault="00F37836" w:rsidP="00A446DA">
            <w:r w:rsidRPr="001552C0">
              <w:t>Mai dezvoltate</w:t>
            </w:r>
          </w:p>
          <w:p w14:paraId="2811D42C" w14:textId="2B8BC1EB" w:rsidR="00F37836" w:rsidRPr="001552C0" w:rsidRDefault="00F37836" w:rsidP="007A5507">
            <w:pPr>
              <w:rPr>
                <w:i/>
              </w:rPr>
            </w:pPr>
            <w:r w:rsidRPr="001552C0">
              <w:t>Mai puțin dezvoltate</w:t>
            </w:r>
          </w:p>
        </w:tc>
        <w:tc>
          <w:tcPr>
            <w:tcW w:w="226" w:type="pct"/>
            <w:tcBorders>
              <w:top w:val="single" w:sz="4" w:space="0" w:color="auto"/>
              <w:left w:val="single" w:sz="4" w:space="0" w:color="auto"/>
              <w:bottom w:val="single" w:sz="4" w:space="0" w:color="auto"/>
              <w:right w:val="single" w:sz="4" w:space="0" w:color="auto"/>
            </w:tcBorders>
          </w:tcPr>
          <w:p w14:paraId="4F056257" w14:textId="77777777" w:rsidR="00F37836" w:rsidRPr="001552C0" w:rsidRDefault="00F37836" w:rsidP="007A5507">
            <w:r w:rsidRPr="001552C0">
              <w:t>RCR 41</w:t>
            </w:r>
          </w:p>
        </w:tc>
        <w:tc>
          <w:tcPr>
            <w:tcW w:w="456" w:type="pct"/>
            <w:tcBorders>
              <w:top w:val="single" w:sz="4" w:space="0" w:color="auto"/>
              <w:left w:val="single" w:sz="4" w:space="0" w:color="auto"/>
              <w:bottom w:val="single" w:sz="4" w:space="0" w:color="auto"/>
              <w:right w:val="single" w:sz="4" w:space="0" w:color="auto"/>
            </w:tcBorders>
          </w:tcPr>
          <w:p w14:paraId="1C9A92F4" w14:textId="10D0A198" w:rsidR="00F37836" w:rsidRPr="001552C0" w:rsidRDefault="003B271F" w:rsidP="00523F44">
            <w:r w:rsidRPr="001552C0">
              <w:t>Population connected to improved public water supply</w:t>
            </w:r>
          </w:p>
        </w:tc>
        <w:tc>
          <w:tcPr>
            <w:tcW w:w="530" w:type="pct"/>
            <w:tcBorders>
              <w:top w:val="single" w:sz="4" w:space="0" w:color="auto"/>
              <w:left w:val="single" w:sz="4" w:space="0" w:color="auto"/>
              <w:bottom w:val="single" w:sz="4" w:space="0" w:color="auto"/>
              <w:right w:val="single" w:sz="4" w:space="0" w:color="auto"/>
            </w:tcBorders>
          </w:tcPr>
          <w:p w14:paraId="71044AF7" w14:textId="322D73E0" w:rsidR="00F37836" w:rsidRPr="001552C0" w:rsidRDefault="003B271F" w:rsidP="007A5507">
            <w:pPr>
              <w:rPr>
                <w:i/>
              </w:rPr>
            </w:pPr>
            <w:r w:rsidRPr="001552C0">
              <w:t>persoane</w:t>
            </w:r>
          </w:p>
        </w:tc>
        <w:tc>
          <w:tcPr>
            <w:tcW w:w="396" w:type="pct"/>
            <w:tcBorders>
              <w:top w:val="single" w:sz="4" w:space="0" w:color="auto"/>
              <w:left w:val="single" w:sz="4" w:space="0" w:color="auto"/>
              <w:bottom w:val="single" w:sz="4" w:space="0" w:color="auto"/>
              <w:right w:val="single" w:sz="4" w:space="0" w:color="auto"/>
            </w:tcBorders>
          </w:tcPr>
          <w:p w14:paraId="4CBCEC00" w14:textId="7F2CF037" w:rsidR="00F37836" w:rsidRPr="001552C0" w:rsidRDefault="005E1FCE" w:rsidP="007A5507">
            <w:pPr>
              <w:rPr>
                <w:i/>
              </w:rPr>
            </w:pPr>
            <w:r w:rsidRPr="001552C0">
              <w:t>0</w:t>
            </w:r>
          </w:p>
        </w:tc>
        <w:tc>
          <w:tcPr>
            <w:tcW w:w="410" w:type="pct"/>
            <w:tcBorders>
              <w:top w:val="single" w:sz="4" w:space="0" w:color="auto"/>
              <w:left w:val="single" w:sz="4" w:space="0" w:color="auto"/>
              <w:bottom w:val="single" w:sz="4" w:space="0" w:color="auto"/>
              <w:right w:val="single" w:sz="4" w:space="0" w:color="auto"/>
            </w:tcBorders>
          </w:tcPr>
          <w:p w14:paraId="06B6A906" w14:textId="67D06AC0" w:rsidR="00F37836" w:rsidRPr="001552C0" w:rsidRDefault="00523EAD" w:rsidP="007A5507">
            <w:pPr>
              <w:rPr>
                <w:b/>
              </w:rPr>
            </w:pPr>
            <w:r w:rsidRPr="001552C0">
              <w:t>2020</w:t>
            </w:r>
          </w:p>
        </w:tc>
        <w:tc>
          <w:tcPr>
            <w:tcW w:w="301" w:type="pct"/>
            <w:tcBorders>
              <w:top w:val="single" w:sz="4" w:space="0" w:color="auto"/>
              <w:left w:val="single" w:sz="4" w:space="0" w:color="auto"/>
              <w:bottom w:val="single" w:sz="4" w:space="0" w:color="auto"/>
              <w:right w:val="single" w:sz="4" w:space="0" w:color="auto"/>
            </w:tcBorders>
          </w:tcPr>
          <w:p w14:paraId="287F09AC" w14:textId="5F840C15" w:rsidR="00F37836" w:rsidRPr="001552C0" w:rsidRDefault="00523EAD" w:rsidP="007A5507">
            <w:pPr>
              <w:rPr>
                <w:b/>
              </w:rPr>
            </w:pPr>
            <w:r w:rsidRPr="001552C0">
              <w:t>&gt;0</w:t>
            </w:r>
          </w:p>
        </w:tc>
        <w:tc>
          <w:tcPr>
            <w:tcW w:w="312" w:type="pct"/>
            <w:tcBorders>
              <w:top w:val="single" w:sz="4" w:space="0" w:color="auto"/>
              <w:left w:val="single" w:sz="4" w:space="0" w:color="auto"/>
              <w:bottom w:val="single" w:sz="4" w:space="0" w:color="auto"/>
              <w:right w:val="single" w:sz="4" w:space="0" w:color="auto"/>
            </w:tcBorders>
          </w:tcPr>
          <w:p w14:paraId="2CA2D1B2" w14:textId="77777777" w:rsidR="00F37836" w:rsidRPr="001552C0" w:rsidRDefault="00F37836" w:rsidP="007A5507">
            <w:pPr>
              <w:rPr>
                <w:i/>
              </w:rPr>
            </w:pPr>
          </w:p>
        </w:tc>
        <w:tc>
          <w:tcPr>
            <w:tcW w:w="577" w:type="pct"/>
            <w:tcBorders>
              <w:top w:val="single" w:sz="4" w:space="0" w:color="auto"/>
              <w:left w:val="single" w:sz="4" w:space="0" w:color="auto"/>
              <w:bottom w:val="single" w:sz="4" w:space="0" w:color="auto"/>
              <w:right w:val="single" w:sz="4" w:space="0" w:color="auto"/>
            </w:tcBorders>
          </w:tcPr>
          <w:p w14:paraId="7D5354B4" w14:textId="39BBEE45" w:rsidR="00F37836" w:rsidRPr="001552C0" w:rsidRDefault="005E1FCE" w:rsidP="007A5507">
            <w:pPr>
              <w:rPr>
                <w:i/>
              </w:rPr>
            </w:pPr>
            <w:r w:rsidRPr="001552C0">
              <w:t xml:space="preserve">Target value will be quantified by summing up the indicator from projects to be phased from </w:t>
            </w:r>
            <w:r w:rsidRPr="001552C0">
              <w:lastRenderedPageBreak/>
              <w:t>2014-2020 programming period. It is assumed that new projects will be only completed during the programming period post 2027, given the historic duration of project preparation, selection and implementation</w:t>
            </w:r>
          </w:p>
        </w:tc>
      </w:tr>
      <w:tr w:rsidR="00B96B06" w:rsidRPr="001552C0" w14:paraId="5C475573" w14:textId="77777777" w:rsidTr="00D2674E">
        <w:trPr>
          <w:trHeight w:val="286"/>
        </w:trPr>
        <w:tc>
          <w:tcPr>
            <w:tcW w:w="510" w:type="pct"/>
            <w:tcBorders>
              <w:top w:val="single" w:sz="4" w:space="0" w:color="auto"/>
              <w:left w:val="single" w:sz="4" w:space="0" w:color="auto"/>
              <w:bottom w:val="single" w:sz="4" w:space="0" w:color="auto"/>
              <w:right w:val="single" w:sz="4" w:space="0" w:color="auto"/>
            </w:tcBorders>
          </w:tcPr>
          <w:p w14:paraId="7A1778C9" w14:textId="77777777" w:rsidR="00F37836" w:rsidRPr="001552C0" w:rsidRDefault="00F37836" w:rsidP="00A446DA">
            <w:r w:rsidRPr="001552C0">
              <w:lastRenderedPageBreak/>
              <w:t>Prioritatea 2. Dezvoltarea infrastructurii de apă și apă uzată și tranziția la o  economie circulară</w:t>
            </w:r>
          </w:p>
          <w:p w14:paraId="7FD3792B" w14:textId="7181BE43" w:rsidR="00F37836" w:rsidRPr="001552C0" w:rsidRDefault="00F37836" w:rsidP="007A5507">
            <w:pPr>
              <w:rPr>
                <w:i/>
              </w:rPr>
            </w:pPr>
            <w:r w:rsidRPr="001552C0">
              <w:t xml:space="preserve">2.1 </w:t>
            </w:r>
            <w:r w:rsidRPr="001552C0">
              <w:lastRenderedPageBreak/>
              <w:t>Investiții în sectorul apei și apei uzate, pentru a îndeplini cerințele directivelor de mediu</w:t>
            </w:r>
          </w:p>
        </w:tc>
        <w:tc>
          <w:tcPr>
            <w:tcW w:w="605" w:type="pct"/>
            <w:tcBorders>
              <w:top w:val="single" w:sz="4" w:space="0" w:color="auto"/>
              <w:left w:val="single" w:sz="4" w:space="0" w:color="auto"/>
              <w:bottom w:val="single" w:sz="4" w:space="0" w:color="auto"/>
              <w:right w:val="single" w:sz="4" w:space="0" w:color="auto"/>
            </w:tcBorders>
          </w:tcPr>
          <w:p w14:paraId="196D0B4D" w14:textId="77777777" w:rsidR="00F37836" w:rsidRPr="001552C0" w:rsidRDefault="00F37836" w:rsidP="00A446DA">
            <w:r w:rsidRPr="001552C0">
              <w:lastRenderedPageBreak/>
              <w:t xml:space="preserve"> (v) Promovarea managementului durabil al apei</w:t>
            </w:r>
          </w:p>
          <w:p w14:paraId="6EDC61A7" w14:textId="77777777" w:rsidR="00F37836" w:rsidRPr="001552C0" w:rsidRDefault="00F37836" w:rsidP="007A5507">
            <w:pPr>
              <w:rPr>
                <w:i/>
              </w:rPr>
            </w:pPr>
          </w:p>
        </w:tc>
        <w:tc>
          <w:tcPr>
            <w:tcW w:w="261" w:type="pct"/>
            <w:tcBorders>
              <w:top w:val="single" w:sz="4" w:space="0" w:color="auto"/>
              <w:left w:val="single" w:sz="4" w:space="0" w:color="auto"/>
              <w:bottom w:val="single" w:sz="4" w:space="0" w:color="auto"/>
              <w:right w:val="single" w:sz="4" w:space="0" w:color="auto"/>
            </w:tcBorders>
          </w:tcPr>
          <w:p w14:paraId="07573F4D" w14:textId="77777777" w:rsidR="00F37836" w:rsidRPr="001552C0" w:rsidRDefault="00F37836" w:rsidP="00A446DA">
            <w:r w:rsidRPr="001552C0">
              <w:t>FEDR</w:t>
            </w:r>
          </w:p>
          <w:p w14:paraId="179B32CA" w14:textId="39241489" w:rsidR="00F37836" w:rsidRPr="001552C0" w:rsidRDefault="00F37836" w:rsidP="007A5507">
            <w:pPr>
              <w:rPr>
                <w:i/>
              </w:rPr>
            </w:pPr>
            <w:r w:rsidRPr="001552C0">
              <w:t>FC</w:t>
            </w:r>
          </w:p>
        </w:tc>
        <w:tc>
          <w:tcPr>
            <w:tcW w:w="416" w:type="pct"/>
            <w:tcBorders>
              <w:top w:val="single" w:sz="4" w:space="0" w:color="auto"/>
              <w:left w:val="single" w:sz="4" w:space="0" w:color="auto"/>
              <w:bottom w:val="single" w:sz="4" w:space="0" w:color="auto"/>
              <w:right w:val="single" w:sz="4" w:space="0" w:color="auto"/>
            </w:tcBorders>
          </w:tcPr>
          <w:p w14:paraId="3834A203" w14:textId="77777777" w:rsidR="00F37836" w:rsidRPr="001552C0" w:rsidRDefault="00F37836" w:rsidP="00A446DA">
            <w:r w:rsidRPr="001552C0">
              <w:t>Mai dezvoltate</w:t>
            </w:r>
          </w:p>
          <w:p w14:paraId="37F8313F" w14:textId="5638298D" w:rsidR="00F37836" w:rsidRPr="001552C0" w:rsidRDefault="00F37836" w:rsidP="007A5507">
            <w:pPr>
              <w:rPr>
                <w:i/>
              </w:rPr>
            </w:pPr>
            <w:r w:rsidRPr="001552C0">
              <w:t>Mai puțin dezvoltate</w:t>
            </w:r>
          </w:p>
        </w:tc>
        <w:tc>
          <w:tcPr>
            <w:tcW w:w="226" w:type="pct"/>
            <w:tcBorders>
              <w:top w:val="single" w:sz="4" w:space="0" w:color="auto"/>
              <w:left w:val="single" w:sz="4" w:space="0" w:color="auto"/>
              <w:bottom w:val="single" w:sz="4" w:space="0" w:color="auto"/>
              <w:right w:val="single" w:sz="4" w:space="0" w:color="auto"/>
            </w:tcBorders>
          </w:tcPr>
          <w:p w14:paraId="47860AC3" w14:textId="77777777" w:rsidR="00F37836" w:rsidRPr="001552C0" w:rsidRDefault="00F37836" w:rsidP="007A5507">
            <w:r w:rsidRPr="001552C0">
              <w:t>RCR 42</w:t>
            </w:r>
          </w:p>
        </w:tc>
        <w:tc>
          <w:tcPr>
            <w:tcW w:w="456" w:type="pct"/>
            <w:tcBorders>
              <w:top w:val="single" w:sz="4" w:space="0" w:color="auto"/>
              <w:left w:val="single" w:sz="4" w:space="0" w:color="auto"/>
              <w:bottom w:val="single" w:sz="4" w:space="0" w:color="auto"/>
              <w:right w:val="single" w:sz="4" w:space="0" w:color="auto"/>
            </w:tcBorders>
          </w:tcPr>
          <w:p w14:paraId="7C57C29D" w14:textId="1CB61858" w:rsidR="00F37836" w:rsidRPr="001552C0" w:rsidRDefault="003B271F" w:rsidP="00523F44">
            <w:r w:rsidRPr="001552C0">
              <w:t xml:space="preserve">Population connected to at least secondary public waste water treatment </w:t>
            </w:r>
          </w:p>
        </w:tc>
        <w:tc>
          <w:tcPr>
            <w:tcW w:w="530" w:type="pct"/>
            <w:tcBorders>
              <w:top w:val="single" w:sz="4" w:space="0" w:color="auto"/>
              <w:left w:val="single" w:sz="4" w:space="0" w:color="auto"/>
              <w:bottom w:val="single" w:sz="4" w:space="0" w:color="auto"/>
              <w:right w:val="single" w:sz="4" w:space="0" w:color="auto"/>
            </w:tcBorders>
          </w:tcPr>
          <w:p w14:paraId="4DD1F0D4" w14:textId="7D29EA99" w:rsidR="00F37836" w:rsidRPr="001552C0" w:rsidRDefault="003B271F" w:rsidP="007A5507">
            <w:r w:rsidRPr="001552C0">
              <w:t>persoane</w:t>
            </w:r>
          </w:p>
        </w:tc>
        <w:tc>
          <w:tcPr>
            <w:tcW w:w="396" w:type="pct"/>
            <w:tcBorders>
              <w:top w:val="single" w:sz="4" w:space="0" w:color="auto"/>
              <w:left w:val="single" w:sz="4" w:space="0" w:color="auto"/>
              <w:bottom w:val="single" w:sz="4" w:space="0" w:color="auto"/>
              <w:right w:val="single" w:sz="4" w:space="0" w:color="auto"/>
            </w:tcBorders>
          </w:tcPr>
          <w:p w14:paraId="0A10CF28" w14:textId="496CAE4F" w:rsidR="00F37836" w:rsidRPr="001552C0" w:rsidRDefault="00523EAD" w:rsidP="007A5507">
            <w:r w:rsidRPr="001552C0">
              <w:t>0</w:t>
            </w:r>
          </w:p>
        </w:tc>
        <w:tc>
          <w:tcPr>
            <w:tcW w:w="410" w:type="pct"/>
            <w:tcBorders>
              <w:top w:val="single" w:sz="4" w:space="0" w:color="auto"/>
              <w:left w:val="single" w:sz="4" w:space="0" w:color="auto"/>
              <w:bottom w:val="single" w:sz="4" w:space="0" w:color="auto"/>
              <w:right w:val="single" w:sz="4" w:space="0" w:color="auto"/>
            </w:tcBorders>
          </w:tcPr>
          <w:p w14:paraId="41E7F8B7" w14:textId="6967E2F1" w:rsidR="00F37836" w:rsidRPr="001552C0" w:rsidRDefault="00523EAD" w:rsidP="007A5507">
            <w:r w:rsidRPr="001552C0">
              <w:t>2020</w:t>
            </w:r>
          </w:p>
        </w:tc>
        <w:tc>
          <w:tcPr>
            <w:tcW w:w="301" w:type="pct"/>
            <w:tcBorders>
              <w:top w:val="single" w:sz="4" w:space="0" w:color="auto"/>
              <w:left w:val="single" w:sz="4" w:space="0" w:color="auto"/>
              <w:bottom w:val="single" w:sz="4" w:space="0" w:color="auto"/>
              <w:right w:val="single" w:sz="4" w:space="0" w:color="auto"/>
            </w:tcBorders>
          </w:tcPr>
          <w:p w14:paraId="7B3D4D62" w14:textId="2D94569C" w:rsidR="00F37836" w:rsidRPr="001552C0" w:rsidRDefault="00523EAD" w:rsidP="007A5507">
            <w:r w:rsidRPr="001552C0">
              <w:t>&gt;0</w:t>
            </w:r>
          </w:p>
        </w:tc>
        <w:tc>
          <w:tcPr>
            <w:tcW w:w="312" w:type="pct"/>
            <w:tcBorders>
              <w:top w:val="single" w:sz="4" w:space="0" w:color="auto"/>
              <w:left w:val="single" w:sz="4" w:space="0" w:color="auto"/>
              <w:bottom w:val="single" w:sz="4" w:space="0" w:color="auto"/>
              <w:right w:val="single" w:sz="4" w:space="0" w:color="auto"/>
            </w:tcBorders>
          </w:tcPr>
          <w:p w14:paraId="79CE9EAF" w14:textId="77777777" w:rsidR="00F37836" w:rsidRPr="001552C0" w:rsidRDefault="00F37836" w:rsidP="007A5507">
            <w:pPr>
              <w:rPr>
                <w:i/>
              </w:rPr>
            </w:pPr>
          </w:p>
        </w:tc>
        <w:tc>
          <w:tcPr>
            <w:tcW w:w="577" w:type="pct"/>
            <w:tcBorders>
              <w:top w:val="single" w:sz="4" w:space="0" w:color="auto"/>
              <w:left w:val="single" w:sz="4" w:space="0" w:color="auto"/>
              <w:bottom w:val="single" w:sz="4" w:space="0" w:color="auto"/>
              <w:right w:val="single" w:sz="4" w:space="0" w:color="auto"/>
            </w:tcBorders>
          </w:tcPr>
          <w:p w14:paraId="06AAA9F8" w14:textId="17E2F072" w:rsidR="00F37836" w:rsidRPr="001552C0" w:rsidRDefault="00523EAD" w:rsidP="007A5507">
            <w:pPr>
              <w:rPr>
                <w:i/>
              </w:rPr>
            </w:pPr>
            <w:r w:rsidRPr="001552C0">
              <w:t xml:space="preserve">Target value will be quantified by summing up the indicator from projects to be phased from 2014-2020 </w:t>
            </w:r>
            <w:r w:rsidRPr="001552C0">
              <w:lastRenderedPageBreak/>
              <w:t>programming period. It is assumed that new projects will be only completed during the programming period post 2027, given the historic duration of project preparation, selection and implementation</w:t>
            </w:r>
          </w:p>
        </w:tc>
      </w:tr>
      <w:tr w:rsidR="00B96B06" w:rsidRPr="001552C0" w14:paraId="3357C34A" w14:textId="77777777" w:rsidTr="00D2674E">
        <w:trPr>
          <w:trHeight w:val="286"/>
        </w:trPr>
        <w:tc>
          <w:tcPr>
            <w:tcW w:w="510" w:type="pct"/>
            <w:tcBorders>
              <w:top w:val="single" w:sz="4" w:space="0" w:color="auto"/>
              <w:left w:val="single" w:sz="4" w:space="0" w:color="auto"/>
              <w:bottom w:val="single" w:sz="4" w:space="0" w:color="auto"/>
              <w:right w:val="single" w:sz="4" w:space="0" w:color="auto"/>
            </w:tcBorders>
          </w:tcPr>
          <w:p w14:paraId="537DCBBF" w14:textId="77777777" w:rsidR="006D1CB4" w:rsidRPr="001552C0" w:rsidRDefault="006D1CB4" w:rsidP="00A446DA">
            <w:r w:rsidRPr="001552C0">
              <w:lastRenderedPageBreak/>
              <w:t>Prioritatea 2. Dezvoltarea infrastructurii de apă și apă uzată și tranziția la o  economie circulară</w:t>
            </w:r>
          </w:p>
          <w:p w14:paraId="40079855" w14:textId="43D0BA89" w:rsidR="006D1CB4" w:rsidRPr="001552C0" w:rsidRDefault="006D1CB4" w:rsidP="00842F93">
            <w:pPr>
              <w:rPr>
                <w:i/>
              </w:rPr>
            </w:pPr>
            <w:r w:rsidRPr="001552C0">
              <w:t xml:space="preserve">2.2 Gestionarea </w:t>
            </w:r>
            <w:r w:rsidRPr="001552C0">
              <w:lastRenderedPageBreak/>
              <w:t>eficienta a deseurilor în vederea accelerarii tranzitiei spre economia circulara</w:t>
            </w:r>
          </w:p>
        </w:tc>
        <w:tc>
          <w:tcPr>
            <w:tcW w:w="605" w:type="pct"/>
            <w:tcBorders>
              <w:top w:val="single" w:sz="4" w:space="0" w:color="auto"/>
              <w:left w:val="single" w:sz="4" w:space="0" w:color="auto"/>
              <w:bottom w:val="single" w:sz="4" w:space="0" w:color="auto"/>
              <w:right w:val="single" w:sz="4" w:space="0" w:color="auto"/>
            </w:tcBorders>
          </w:tcPr>
          <w:p w14:paraId="7E6BBD55" w14:textId="026F5E5E" w:rsidR="006D1CB4" w:rsidRPr="001552C0" w:rsidRDefault="006D1CB4" w:rsidP="007A5507">
            <w:pPr>
              <w:rPr>
                <w:i/>
              </w:rPr>
            </w:pPr>
            <w:r w:rsidRPr="001552C0">
              <w:lastRenderedPageBreak/>
              <w:t xml:space="preserve"> (vi) Promovarea tranziţiei către o economie circulară</w:t>
            </w:r>
          </w:p>
        </w:tc>
        <w:tc>
          <w:tcPr>
            <w:tcW w:w="261" w:type="pct"/>
            <w:tcBorders>
              <w:top w:val="single" w:sz="4" w:space="0" w:color="auto"/>
              <w:left w:val="single" w:sz="4" w:space="0" w:color="auto"/>
              <w:bottom w:val="single" w:sz="4" w:space="0" w:color="auto"/>
              <w:right w:val="single" w:sz="4" w:space="0" w:color="auto"/>
            </w:tcBorders>
          </w:tcPr>
          <w:p w14:paraId="064B5886" w14:textId="3186DF0F" w:rsidR="006D1CB4" w:rsidRPr="001552C0" w:rsidRDefault="006D1CB4" w:rsidP="007A5507">
            <w:pPr>
              <w:rPr>
                <w:i/>
              </w:rPr>
            </w:pPr>
            <w:r w:rsidRPr="001552C0">
              <w:t>FC</w:t>
            </w:r>
          </w:p>
        </w:tc>
        <w:tc>
          <w:tcPr>
            <w:tcW w:w="416" w:type="pct"/>
            <w:tcBorders>
              <w:top w:val="single" w:sz="4" w:space="0" w:color="auto"/>
              <w:left w:val="single" w:sz="4" w:space="0" w:color="auto"/>
              <w:bottom w:val="single" w:sz="4" w:space="0" w:color="auto"/>
              <w:right w:val="single" w:sz="4" w:space="0" w:color="auto"/>
            </w:tcBorders>
          </w:tcPr>
          <w:p w14:paraId="1E2814B8" w14:textId="77777777" w:rsidR="006D1CB4" w:rsidRPr="001552C0" w:rsidRDefault="006D1CB4" w:rsidP="00A446DA">
            <w:r w:rsidRPr="001552C0">
              <w:t>Mai dezvoltate</w:t>
            </w:r>
          </w:p>
          <w:p w14:paraId="138FBCDD" w14:textId="02AF939D" w:rsidR="006D1CB4" w:rsidRPr="001552C0" w:rsidRDefault="006D1CB4" w:rsidP="007A5507">
            <w:pPr>
              <w:rPr>
                <w:i/>
              </w:rPr>
            </w:pPr>
            <w:r w:rsidRPr="001552C0">
              <w:t>Mai puțin dezvoltate</w:t>
            </w:r>
          </w:p>
        </w:tc>
        <w:tc>
          <w:tcPr>
            <w:tcW w:w="226" w:type="pct"/>
            <w:tcBorders>
              <w:top w:val="single" w:sz="4" w:space="0" w:color="auto"/>
              <w:left w:val="single" w:sz="4" w:space="0" w:color="auto"/>
              <w:bottom w:val="single" w:sz="4" w:space="0" w:color="auto"/>
              <w:right w:val="single" w:sz="4" w:space="0" w:color="auto"/>
            </w:tcBorders>
          </w:tcPr>
          <w:p w14:paraId="0C4D15E6" w14:textId="77777777" w:rsidR="006D1CB4" w:rsidRPr="001552C0" w:rsidRDefault="006D1CB4" w:rsidP="007A5507">
            <w:r w:rsidRPr="001552C0">
              <w:t>RCR 103</w:t>
            </w:r>
          </w:p>
        </w:tc>
        <w:tc>
          <w:tcPr>
            <w:tcW w:w="456" w:type="pct"/>
            <w:tcBorders>
              <w:top w:val="single" w:sz="4" w:space="0" w:color="auto"/>
              <w:left w:val="single" w:sz="4" w:space="0" w:color="auto"/>
              <w:bottom w:val="single" w:sz="4" w:space="0" w:color="auto"/>
              <w:right w:val="single" w:sz="4" w:space="0" w:color="auto"/>
            </w:tcBorders>
          </w:tcPr>
          <w:p w14:paraId="044DC118" w14:textId="4497B9C9" w:rsidR="006D1CB4" w:rsidRPr="001552C0" w:rsidRDefault="001E2B13" w:rsidP="007A5507">
            <w:r w:rsidRPr="001552C0">
              <w:t>Waste collected separately</w:t>
            </w:r>
          </w:p>
        </w:tc>
        <w:tc>
          <w:tcPr>
            <w:tcW w:w="530" w:type="pct"/>
            <w:tcBorders>
              <w:top w:val="single" w:sz="4" w:space="0" w:color="auto"/>
              <w:left w:val="single" w:sz="4" w:space="0" w:color="auto"/>
              <w:bottom w:val="single" w:sz="4" w:space="0" w:color="auto"/>
              <w:right w:val="single" w:sz="4" w:space="0" w:color="auto"/>
            </w:tcBorders>
          </w:tcPr>
          <w:p w14:paraId="35F57376" w14:textId="42E298D7" w:rsidR="006D1CB4" w:rsidRPr="001552C0" w:rsidRDefault="001E2B13" w:rsidP="007A5507">
            <w:pPr>
              <w:rPr>
                <w:i/>
              </w:rPr>
            </w:pPr>
            <w:r w:rsidRPr="001552C0">
              <w:t>Tone/an</w:t>
            </w:r>
          </w:p>
        </w:tc>
        <w:tc>
          <w:tcPr>
            <w:tcW w:w="396" w:type="pct"/>
            <w:tcBorders>
              <w:top w:val="single" w:sz="4" w:space="0" w:color="auto"/>
              <w:left w:val="single" w:sz="4" w:space="0" w:color="auto"/>
              <w:bottom w:val="single" w:sz="4" w:space="0" w:color="auto"/>
              <w:right w:val="single" w:sz="4" w:space="0" w:color="auto"/>
            </w:tcBorders>
          </w:tcPr>
          <w:p w14:paraId="245B431F" w14:textId="6DE4EC91" w:rsidR="006D1CB4" w:rsidRPr="001552C0" w:rsidRDefault="0041577F" w:rsidP="007A5507">
            <w:pPr>
              <w:rPr>
                <w:i/>
              </w:rPr>
            </w:pPr>
            <w:r w:rsidRPr="001552C0">
              <w:t>0</w:t>
            </w:r>
          </w:p>
        </w:tc>
        <w:tc>
          <w:tcPr>
            <w:tcW w:w="410" w:type="pct"/>
            <w:tcBorders>
              <w:top w:val="single" w:sz="4" w:space="0" w:color="auto"/>
              <w:left w:val="single" w:sz="4" w:space="0" w:color="auto"/>
              <w:bottom w:val="single" w:sz="4" w:space="0" w:color="auto"/>
              <w:right w:val="single" w:sz="4" w:space="0" w:color="auto"/>
            </w:tcBorders>
          </w:tcPr>
          <w:p w14:paraId="5C2ABA27" w14:textId="5FEE3D9B" w:rsidR="006D1CB4" w:rsidRPr="001552C0" w:rsidRDefault="00523EAD" w:rsidP="007A5507">
            <w:r w:rsidRPr="001552C0">
              <w:t>2020</w:t>
            </w:r>
          </w:p>
        </w:tc>
        <w:tc>
          <w:tcPr>
            <w:tcW w:w="301" w:type="pct"/>
            <w:tcBorders>
              <w:top w:val="single" w:sz="4" w:space="0" w:color="auto"/>
              <w:left w:val="single" w:sz="4" w:space="0" w:color="auto"/>
              <w:bottom w:val="single" w:sz="4" w:space="0" w:color="auto"/>
              <w:right w:val="single" w:sz="4" w:space="0" w:color="auto"/>
            </w:tcBorders>
          </w:tcPr>
          <w:p w14:paraId="6E34455A" w14:textId="0466343A" w:rsidR="006D1CB4" w:rsidRPr="001552C0" w:rsidRDefault="00523EAD" w:rsidP="007A5507">
            <w:r w:rsidRPr="001552C0">
              <w:t>&gt;0</w:t>
            </w:r>
          </w:p>
        </w:tc>
        <w:tc>
          <w:tcPr>
            <w:tcW w:w="312" w:type="pct"/>
            <w:tcBorders>
              <w:top w:val="single" w:sz="4" w:space="0" w:color="auto"/>
              <w:left w:val="single" w:sz="4" w:space="0" w:color="auto"/>
              <w:bottom w:val="single" w:sz="4" w:space="0" w:color="auto"/>
              <w:right w:val="single" w:sz="4" w:space="0" w:color="auto"/>
            </w:tcBorders>
          </w:tcPr>
          <w:p w14:paraId="66559012" w14:textId="77777777" w:rsidR="006D1CB4" w:rsidRPr="001552C0" w:rsidRDefault="006D1CB4" w:rsidP="007A5507">
            <w:pPr>
              <w:rPr>
                <w:i/>
              </w:rPr>
            </w:pPr>
          </w:p>
        </w:tc>
        <w:tc>
          <w:tcPr>
            <w:tcW w:w="577" w:type="pct"/>
            <w:tcBorders>
              <w:top w:val="single" w:sz="4" w:space="0" w:color="auto"/>
              <w:left w:val="single" w:sz="4" w:space="0" w:color="auto"/>
              <w:bottom w:val="single" w:sz="4" w:space="0" w:color="auto"/>
              <w:right w:val="single" w:sz="4" w:space="0" w:color="auto"/>
            </w:tcBorders>
          </w:tcPr>
          <w:p w14:paraId="7B84DE79" w14:textId="3E765009" w:rsidR="006D1CB4" w:rsidRPr="001552C0" w:rsidRDefault="00523EAD" w:rsidP="006C6AB4">
            <w:pPr>
              <w:rPr>
                <w:i/>
              </w:rPr>
            </w:pPr>
            <w:r w:rsidRPr="001552C0">
              <w:t>Target value will be quantified based on the indicative allocation for separate waste collection</w:t>
            </w:r>
          </w:p>
        </w:tc>
      </w:tr>
      <w:tr w:rsidR="00B96B06" w:rsidRPr="001552C0" w14:paraId="7F891B03" w14:textId="77777777" w:rsidTr="00D2674E">
        <w:trPr>
          <w:trHeight w:val="286"/>
        </w:trPr>
        <w:tc>
          <w:tcPr>
            <w:tcW w:w="510" w:type="pct"/>
            <w:tcBorders>
              <w:top w:val="single" w:sz="4" w:space="0" w:color="auto"/>
              <w:left w:val="single" w:sz="4" w:space="0" w:color="auto"/>
              <w:bottom w:val="single" w:sz="4" w:space="0" w:color="auto"/>
              <w:right w:val="single" w:sz="4" w:space="0" w:color="auto"/>
            </w:tcBorders>
          </w:tcPr>
          <w:p w14:paraId="791D776D" w14:textId="77777777" w:rsidR="006C6AB4" w:rsidRPr="001552C0" w:rsidRDefault="006C6AB4" w:rsidP="0070675A">
            <w:r w:rsidRPr="001552C0">
              <w:lastRenderedPageBreak/>
              <w:t>Prioritatea 2. Dezvoltarea infrastructurii de apă și apă uzată și tranziția la o  economie circulară</w:t>
            </w:r>
          </w:p>
          <w:p w14:paraId="6F446AD4" w14:textId="7A7B8E79" w:rsidR="006C6AB4" w:rsidRPr="001552C0" w:rsidRDefault="006C6AB4" w:rsidP="00A446DA">
            <w:r w:rsidRPr="001552C0">
              <w:t>2.2 Gestionarea eficienta a deseurilor în vederea accelerarii tranzitiei spre economia circulara</w:t>
            </w:r>
          </w:p>
        </w:tc>
        <w:tc>
          <w:tcPr>
            <w:tcW w:w="605" w:type="pct"/>
            <w:tcBorders>
              <w:top w:val="single" w:sz="4" w:space="0" w:color="auto"/>
              <w:left w:val="single" w:sz="4" w:space="0" w:color="auto"/>
              <w:bottom w:val="single" w:sz="4" w:space="0" w:color="auto"/>
              <w:right w:val="single" w:sz="4" w:space="0" w:color="auto"/>
            </w:tcBorders>
          </w:tcPr>
          <w:p w14:paraId="2EC33696" w14:textId="7115BE27" w:rsidR="006C6AB4" w:rsidRPr="001552C0" w:rsidRDefault="006C6AB4" w:rsidP="007A5507">
            <w:r w:rsidRPr="001552C0">
              <w:t xml:space="preserve"> (vi) Promovarea tranziţiei către o economie circulară</w:t>
            </w:r>
          </w:p>
        </w:tc>
        <w:tc>
          <w:tcPr>
            <w:tcW w:w="261" w:type="pct"/>
            <w:tcBorders>
              <w:top w:val="single" w:sz="4" w:space="0" w:color="auto"/>
              <w:left w:val="single" w:sz="4" w:space="0" w:color="auto"/>
              <w:bottom w:val="single" w:sz="4" w:space="0" w:color="auto"/>
              <w:right w:val="single" w:sz="4" w:space="0" w:color="auto"/>
            </w:tcBorders>
          </w:tcPr>
          <w:p w14:paraId="1211DDCE" w14:textId="6A2CC44B" w:rsidR="006C6AB4" w:rsidRPr="001552C0" w:rsidRDefault="006C6AB4" w:rsidP="007A5507">
            <w:r w:rsidRPr="001552C0">
              <w:t>FC</w:t>
            </w:r>
          </w:p>
        </w:tc>
        <w:tc>
          <w:tcPr>
            <w:tcW w:w="416" w:type="pct"/>
            <w:tcBorders>
              <w:top w:val="single" w:sz="4" w:space="0" w:color="auto"/>
              <w:left w:val="single" w:sz="4" w:space="0" w:color="auto"/>
              <w:bottom w:val="single" w:sz="4" w:space="0" w:color="auto"/>
              <w:right w:val="single" w:sz="4" w:space="0" w:color="auto"/>
            </w:tcBorders>
          </w:tcPr>
          <w:p w14:paraId="52736143" w14:textId="77777777" w:rsidR="006C6AB4" w:rsidRPr="001552C0" w:rsidRDefault="006C6AB4" w:rsidP="0070675A">
            <w:r w:rsidRPr="001552C0">
              <w:t>Mai dezvoltate</w:t>
            </w:r>
          </w:p>
          <w:p w14:paraId="5276DBFC" w14:textId="2F673663" w:rsidR="006C6AB4" w:rsidRPr="001552C0" w:rsidRDefault="006C6AB4" w:rsidP="00A446DA">
            <w:r w:rsidRPr="001552C0">
              <w:t>Mai puțin dezvoltate</w:t>
            </w:r>
          </w:p>
        </w:tc>
        <w:tc>
          <w:tcPr>
            <w:tcW w:w="226" w:type="pct"/>
            <w:tcBorders>
              <w:top w:val="single" w:sz="4" w:space="0" w:color="auto"/>
              <w:left w:val="single" w:sz="4" w:space="0" w:color="auto"/>
              <w:bottom w:val="single" w:sz="4" w:space="0" w:color="auto"/>
              <w:right w:val="single" w:sz="4" w:space="0" w:color="auto"/>
            </w:tcBorders>
          </w:tcPr>
          <w:p w14:paraId="34E23C92" w14:textId="0815133F" w:rsidR="006C6AB4" w:rsidRPr="001552C0" w:rsidRDefault="006C6AB4" w:rsidP="007A5507">
            <w:r w:rsidRPr="001552C0">
              <w:t>2S9</w:t>
            </w:r>
          </w:p>
        </w:tc>
        <w:tc>
          <w:tcPr>
            <w:tcW w:w="456" w:type="pct"/>
            <w:tcBorders>
              <w:top w:val="single" w:sz="4" w:space="0" w:color="auto"/>
              <w:left w:val="single" w:sz="4" w:space="0" w:color="auto"/>
              <w:bottom w:val="single" w:sz="4" w:space="0" w:color="auto"/>
              <w:right w:val="single" w:sz="4" w:space="0" w:color="auto"/>
            </w:tcBorders>
          </w:tcPr>
          <w:p w14:paraId="481A0906" w14:textId="00481251" w:rsidR="006C6AB4" w:rsidRPr="001552C0" w:rsidRDefault="006C6AB4" w:rsidP="007A5507">
            <w:r w:rsidRPr="001552C0">
              <w:t xml:space="preserve">Deșeuri </w:t>
            </w:r>
            <w:r w:rsidR="0094172E" w:rsidRPr="001552C0">
              <w:t>reciclate</w:t>
            </w:r>
          </w:p>
          <w:p w14:paraId="663A87B3" w14:textId="3F45D64F" w:rsidR="006C6AB4" w:rsidRPr="001552C0" w:rsidRDefault="006C6AB4" w:rsidP="007A5507"/>
        </w:tc>
        <w:tc>
          <w:tcPr>
            <w:tcW w:w="530" w:type="pct"/>
            <w:tcBorders>
              <w:top w:val="single" w:sz="4" w:space="0" w:color="auto"/>
              <w:left w:val="single" w:sz="4" w:space="0" w:color="auto"/>
              <w:bottom w:val="single" w:sz="4" w:space="0" w:color="auto"/>
              <w:right w:val="single" w:sz="4" w:space="0" w:color="auto"/>
            </w:tcBorders>
          </w:tcPr>
          <w:p w14:paraId="6E74D5FC" w14:textId="753B6A1D" w:rsidR="006C6AB4" w:rsidRPr="001552C0" w:rsidRDefault="006C6AB4" w:rsidP="007A5507">
            <w:r w:rsidRPr="001552C0">
              <w:t>Tone /an</w:t>
            </w:r>
          </w:p>
        </w:tc>
        <w:tc>
          <w:tcPr>
            <w:tcW w:w="396" w:type="pct"/>
            <w:tcBorders>
              <w:top w:val="single" w:sz="4" w:space="0" w:color="auto"/>
              <w:left w:val="single" w:sz="4" w:space="0" w:color="auto"/>
              <w:bottom w:val="single" w:sz="4" w:space="0" w:color="auto"/>
              <w:right w:val="single" w:sz="4" w:space="0" w:color="auto"/>
            </w:tcBorders>
          </w:tcPr>
          <w:p w14:paraId="13421D56" w14:textId="2C378818" w:rsidR="006C6AB4" w:rsidRPr="001552C0" w:rsidRDefault="006C6AB4" w:rsidP="007A5507">
            <w:r w:rsidRPr="001552C0">
              <w:t>0</w:t>
            </w:r>
          </w:p>
        </w:tc>
        <w:tc>
          <w:tcPr>
            <w:tcW w:w="410" w:type="pct"/>
            <w:tcBorders>
              <w:top w:val="single" w:sz="4" w:space="0" w:color="auto"/>
              <w:left w:val="single" w:sz="4" w:space="0" w:color="auto"/>
              <w:bottom w:val="single" w:sz="4" w:space="0" w:color="auto"/>
              <w:right w:val="single" w:sz="4" w:space="0" w:color="auto"/>
            </w:tcBorders>
          </w:tcPr>
          <w:p w14:paraId="6A6C1839" w14:textId="696CD9A8" w:rsidR="006C6AB4" w:rsidRPr="001552C0" w:rsidRDefault="006C6AB4" w:rsidP="007A5507">
            <w:pPr>
              <w:rPr>
                <w:b/>
              </w:rPr>
            </w:pPr>
            <w:r w:rsidRPr="001552C0">
              <w:t>2020</w:t>
            </w:r>
          </w:p>
        </w:tc>
        <w:tc>
          <w:tcPr>
            <w:tcW w:w="301" w:type="pct"/>
            <w:tcBorders>
              <w:top w:val="single" w:sz="4" w:space="0" w:color="auto"/>
              <w:left w:val="single" w:sz="4" w:space="0" w:color="auto"/>
              <w:bottom w:val="single" w:sz="4" w:space="0" w:color="auto"/>
              <w:right w:val="single" w:sz="4" w:space="0" w:color="auto"/>
            </w:tcBorders>
          </w:tcPr>
          <w:p w14:paraId="4FEA3473" w14:textId="0FE6F32D" w:rsidR="006C6AB4" w:rsidRPr="001552C0" w:rsidRDefault="006C6AB4" w:rsidP="007A5507">
            <w:pPr>
              <w:rPr>
                <w:b/>
              </w:rPr>
            </w:pPr>
            <w:r w:rsidRPr="001552C0">
              <w:t>&gt;0</w:t>
            </w:r>
          </w:p>
        </w:tc>
        <w:tc>
          <w:tcPr>
            <w:tcW w:w="312" w:type="pct"/>
            <w:tcBorders>
              <w:top w:val="single" w:sz="4" w:space="0" w:color="auto"/>
              <w:left w:val="single" w:sz="4" w:space="0" w:color="auto"/>
              <w:bottom w:val="single" w:sz="4" w:space="0" w:color="auto"/>
              <w:right w:val="single" w:sz="4" w:space="0" w:color="auto"/>
            </w:tcBorders>
          </w:tcPr>
          <w:p w14:paraId="66EAEF46" w14:textId="77777777" w:rsidR="006C6AB4" w:rsidRPr="001552C0" w:rsidRDefault="006C6AB4" w:rsidP="007A5507">
            <w:pPr>
              <w:rPr>
                <w:i/>
              </w:rPr>
            </w:pPr>
          </w:p>
        </w:tc>
        <w:tc>
          <w:tcPr>
            <w:tcW w:w="577" w:type="pct"/>
            <w:tcBorders>
              <w:top w:val="single" w:sz="4" w:space="0" w:color="auto"/>
              <w:left w:val="single" w:sz="4" w:space="0" w:color="auto"/>
              <w:bottom w:val="single" w:sz="4" w:space="0" w:color="auto"/>
              <w:right w:val="single" w:sz="4" w:space="0" w:color="auto"/>
            </w:tcBorders>
          </w:tcPr>
          <w:p w14:paraId="5DEA45EA" w14:textId="17EE186A" w:rsidR="006C6AB4" w:rsidRPr="001552C0" w:rsidRDefault="006C6AB4" w:rsidP="004D738F">
            <w:r w:rsidRPr="001552C0">
              <w:t>Target value will be calculated based on</w:t>
            </w:r>
            <w:r w:rsidR="004D738F" w:rsidRPr="001552C0">
              <w:t xml:space="preserve"> feasibility studies </w:t>
            </w:r>
            <w:r w:rsidRPr="001552C0">
              <w:t xml:space="preserve"> </w:t>
            </w:r>
          </w:p>
        </w:tc>
      </w:tr>
    </w:tbl>
    <w:p w14:paraId="44F13344" w14:textId="77777777" w:rsidR="007A5507" w:rsidRPr="001552C0" w:rsidRDefault="007A5507" w:rsidP="007A5507">
      <w:pPr>
        <w:rPr>
          <w:b/>
          <w:iCs/>
        </w:rPr>
      </w:pPr>
      <w:r w:rsidRPr="001552C0">
        <w:rPr>
          <w:i/>
        </w:rPr>
        <w:t>[Point 2.1.1.3 in the Commission proposal has been moved up following changes in Article 17(3)(c) CPR and it is now point 2.1.1.bis]</w:t>
      </w:r>
    </w:p>
    <w:p w14:paraId="3D8CBDB3" w14:textId="77777777" w:rsidR="007A5E59" w:rsidRPr="001552C0" w:rsidRDefault="007A5E59" w:rsidP="007A5E59">
      <w:pPr>
        <w:rPr>
          <w:b/>
        </w:rPr>
      </w:pPr>
      <w:r w:rsidRPr="001552C0">
        <w:rPr>
          <w:b/>
        </w:rPr>
        <w:lastRenderedPageBreak/>
        <w:t>2.A Priorities other than technical assistance</w:t>
      </w:r>
    </w:p>
    <w:p w14:paraId="5B563FFC" w14:textId="77777777" w:rsidR="007A5E59" w:rsidRPr="001552C0" w:rsidRDefault="007A5E59" w:rsidP="007A5E59">
      <w:r w:rsidRPr="001552C0">
        <w:rPr>
          <w:b/>
        </w:rPr>
        <w:t xml:space="preserve">2.A.1 Title of the priority [300] </w:t>
      </w:r>
      <w:r w:rsidRPr="001552C0">
        <w:t>(repeated for each priority)*</w:t>
      </w:r>
    </w:p>
    <w:p w14:paraId="6C278042" w14:textId="7A820A7D" w:rsidR="00846F16" w:rsidRPr="00E46752" w:rsidRDefault="00846F16" w:rsidP="00846F16">
      <w:pPr>
        <w:spacing w:before="120" w:after="120" w:line="360" w:lineRule="auto"/>
        <w:rPr>
          <w:rFonts w:eastAsia="Times New Roman" w:cstheme="minorHAnsi"/>
          <w:i/>
          <w:iCs/>
          <w:noProof/>
          <w:szCs w:val="24"/>
        </w:rPr>
      </w:pPr>
      <w:r w:rsidRPr="006B186E">
        <w:rPr>
          <w:rFonts w:eastAsia="Times New Roman" w:cstheme="minorHAnsi"/>
          <w:i/>
          <w:iCs/>
          <w:noProof/>
          <w:szCs w:val="24"/>
        </w:rPr>
        <w:t>Prioritatea 3.</w:t>
      </w:r>
      <w:r w:rsidRPr="00E46752">
        <w:rPr>
          <w:rFonts w:eastAsia="Times New Roman" w:cstheme="minorHAnsi"/>
          <w:i/>
          <w:iCs/>
          <w:noProof/>
          <w:szCs w:val="24"/>
        </w:rPr>
        <w:t xml:space="preserve"> </w:t>
      </w:r>
      <w:r w:rsidRPr="006B186E">
        <w:rPr>
          <w:rFonts w:eastAsia="Times New Roman" w:cstheme="minorHAnsi"/>
          <w:b/>
          <w:i/>
          <w:iCs/>
          <w:noProof/>
          <w:szCs w:val="24"/>
        </w:rPr>
        <w:t xml:space="preserve">Protecţia mediului prin </w:t>
      </w:r>
      <w:r w:rsidRPr="00471081">
        <w:rPr>
          <w:rFonts w:eastAsia="Times New Roman" w:cstheme="minorHAnsi"/>
          <w:b/>
          <w:i/>
          <w:iCs/>
          <w:noProof/>
          <w:szCs w:val="24"/>
        </w:rPr>
        <w:t>conservarea biodiversităţii</w:t>
      </w:r>
      <w:r w:rsidRPr="006B186E">
        <w:rPr>
          <w:rFonts w:eastAsia="Times New Roman" w:cstheme="minorHAnsi"/>
          <w:b/>
          <w:i/>
          <w:iCs/>
          <w:noProof/>
          <w:szCs w:val="24"/>
        </w:rPr>
        <w:t xml:space="preserve">, asigurarea </w:t>
      </w:r>
      <w:r w:rsidRPr="00471081">
        <w:rPr>
          <w:rFonts w:eastAsia="Times New Roman" w:cstheme="minorHAnsi"/>
          <w:b/>
          <w:i/>
          <w:iCs/>
          <w:noProof/>
          <w:szCs w:val="24"/>
        </w:rPr>
        <w:t>calităţii aerului</w:t>
      </w:r>
      <w:r w:rsidRPr="006B186E">
        <w:rPr>
          <w:rFonts w:eastAsia="Times New Roman" w:cstheme="minorHAnsi"/>
          <w:b/>
          <w:i/>
          <w:iCs/>
          <w:noProof/>
          <w:szCs w:val="24"/>
        </w:rPr>
        <w:t xml:space="preserve"> şi </w:t>
      </w:r>
      <w:r w:rsidR="000B6B9B" w:rsidRPr="006B186E">
        <w:rPr>
          <w:rFonts w:eastAsia="Times New Roman" w:cstheme="minorHAnsi"/>
          <w:b/>
          <w:i/>
          <w:iCs/>
          <w:noProof/>
          <w:szCs w:val="24"/>
        </w:rPr>
        <w:t>remediere</w:t>
      </w:r>
      <w:r w:rsidRPr="006B186E">
        <w:rPr>
          <w:rFonts w:eastAsia="Times New Roman" w:cstheme="minorHAnsi"/>
          <w:b/>
          <w:i/>
          <w:iCs/>
          <w:noProof/>
          <w:szCs w:val="24"/>
        </w:rPr>
        <w:t xml:space="preserve"> a </w:t>
      </w:r>
      <w:r w:rsidRPr="00471081">
        <w:rPr>
          <w:rFonts w:eastAsia="Times New Roman" w:cstheme="minorHAnsi"/>
          <w:b/>
          <w:i/>
          <w:iCs/>
          <w:noProof/>
          <w:szCs w:val="24"/>
        </w:rPr>
        <w:t xml:space="preserve">siturilor </w:t>
      </w:r>
      <w:r w:rsidR="000B6B9B" w:rsidRPr="001C5496">
        <w:rPr>
          <w:rFonts w:eastAsia="Times New Roman" w:cstheme="minorHAnsi"/>
          <w:b/>
          <w:i/>
          <w:iCs/>
          <w:noProof/>
          <w:szCs w:val="24"/>
        </w:rPr>
        <w:t>contaminate</w:t>
      </w:r>
    </w:p>
    <w:p w14:paraId="630366D9" w14:textId="77777777" w:rsidR="007A5E59" w:rsidRPr="001552C0" w:rsidRDefault="007A5E59" w:rsidP="007A5E59">
      <w:pPr>
        <w:rPr>
          <w:b/>
          <w:iCs/>
        </w:rPr>
      </w:pPr>
      <w:r w:rsidRPr="001552C0">
        <w:rPr>
          <w:b/>
          <w:iCs/>
        </w:rPr>
        <w:t xml:space="preserve">2.A.2 Indicative breakdown of the programmed resources (EU) by type of intervention </w:t>
      </w:r>
      <w:r w:rsidRPr="001552C0">
        <w:rPr>
          <w:iCs/>
        </w:rPr>
        <w:t xml:space="preserve">(not applicable to the EMFF) </w:t>
      </w:r>
      <w:r w:rsidRPr="001552C0">
        <w:rPr>
          <w:i/>
        </w:rPr>
        <w:t>[This was point 2.1.1.3 in the Commission proposal and has been moved up following changes in Article 17(3)(c) CPR]</w:t>
      </w:r>
    </w:p>
    <w:p w14:paraId="148D73B8" w14:textId="77777777" w:rsidR="007A5E59" w:rsidRPr="001552C0" w:rsidRDefault="007A5E59" w:rsidP="007A5E59">
      <w:pPr>
        <w:rPr>
          <w:b/>
          <w:i/>
          <w:iCs/>
        </w:rPr>
      </w:pPr>
      <w:r w:rsidRPr="001552C0">
        <w:rPr>
          <w:i/>
        </w:rPr>
        <w:t>Reference: Article 17(3)(c) CPR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4024"/>
        <w:gridCol w:w="1449"/>
      </w:tblGrid>
      <w:tr w:rsidR="00B96B06" w:rsidRPr="001552C0" w14:paraId="5048BDA4" w14:textId="77777777" w:rsidTr="002A37A9">
        <w:tc>
          <w:tcPr>
            <w:tcW w:w="9889" w:type="dxa"/>
            <w:gridSpan w:val="5"/>
            <w:tcBorders>
              <w:top w:val="single" w:sz="4" w:space="0" w:color="auto"/>
              <w:left w:val="single" w:sz="4" w:space="0" w:color="auto"/>
              <w:bottom w:val="single" w:sz="4" w:space="0" w:color="auto"/>
              <w:right w:val="single" w:sz="4" w:space="0" w:color="auto"/>
            </w:tcBorders>
            <w:hideMark/>
          </w:tcPr>
          <w:p w14:paraId="119D0801" w14:textId="77777777" w:rsidR="007A5E59" w:rsidRPr="001552C0" w:rsidRDefault="007A5E59" w:rsidP="00031C04">
            <w:pPr>
              <w:rPr>
                <w:b/>
                <w:iCs/>
              </w:rPr>
            </w:pPr>
            <w:r w:rsidRPr="001552C0">
              <w:rPr>
                <w:b/>
                <w:iCs/>
              </w:rPr>
              <w:t>Table 4: Dimension 1 – intervention field</w:t>
            </w:r>
          </w:p>
        </w:tc>
      </w:tr>
      <w:tr w:rsidR="00B96B06" w:rsidRPr="001552C0" w14:paraId="3C959D98" w14:textId="77777777" w:rsidTr="002A37A9">
        <w:tc>
          <w:tcPr>
            <w:tcW w:w="1599" w:type="dxa"/>
            <w:tcBorders>
              <w:top w:val="single" w:sz="4" w:space="0" w:color="auto"/>
              <w:left w:val="single" w:sz="4" w:space="0" w:color="auto"/>
              <w:bottom w:val="single" w:sz="4" w:space="0" w:color="auto"/>
              <w:right w:val="single" w:sz="4" w:space="0" w:color="auto"/>
            </w:tcBorders>
            <w:hideMark/>
          </w:tcPr>
          <w:p w14:paraId="11A02E06" w14:textId="77777777" w:rsidR="007A5E59" w:rsidRPr="001552C0" w:rsidRDefault="007A5E59" w:rsidP="00031C04">
            <w:pPr>
              <w:rPr>
                <w:b/>
                <w:iCs/>
              </w:rPr>
            </w:pPr>
            <w:r w:rsidRPr="001552C0">
              <w:rPr>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49124FCE" w14:textId="77777777" w:rsidR="007A5E59" w:rsidRPr="001552C0" w:rsidRDefault="007A5E59" w:rsidP="00031C04">
            <w:pPr>
              <w:rPr>
                <w:b/>
                <w:iCs/>
              </w:rPr>
            </w:pPr>
            <w:r w:rsidRPr="001552C0">
              <w:rPr>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5E8C7171" w14:textId="77777777" w:rsidR="007A5E59" w:rsidRPr="001552C0" w:rsidRDefault="007A5E59" w:rsidP="00031C04">
            <w:pPr>
              <w:rPr>
                <w:b/>
                <w:iCs/>
              </w:rPr>
            </w:pPr>
            <w:r w:rsidRPr="001552C0">
              <w:rPr>
                <w:b/>
                <w:iCs/>
              </w:rPr>
              <w:t>Category of region</w:t>
            </w:r>
            <w:r w:rsidRPr="001552C0">
              <w:rPr>
                <w:b/>
                <w:iCs/>
                <w:vertAlign w:val="superscript"/>
              </w:rPr>
              <w:footnoteReference w:id="12"/>
            </w:r>
          </w:p>
        </w:tc>
        <w:tc>
          <w:tcPr>
            <w:tcW w:w="4024" w:type="dxa"/>
            <w:tcBorders>
              <w:top w:val="single" w:sz="4" w:space="0" w:color="auto"/>
              <w:left w:val="single" w:sz="4" w:space="0" w:color="auto"/>
              <w:bottom w:val="single" w:sz="4" w:space="0" w:color="auto"/>
              <w:right w:val="single" w:sz="4" w:space="0" w:color="auto"/>
            </w:tcBorders>
            <w:hideMark/>
          </w:tcPr>
          <w:p w14:paraId="4CE8F390" w14:textId="77777777" w:rsidR="007A5E59" w:rsidRPr="001552C0" w:rsidRDefault="007A5E59" w:rsidP="00031C04">
            <w:pPr>
              <w:rPr>
                <w:b/>
                <w:iCs/>
              </w:rPr>
            </w:pPr>
            <w:r w:rsidRPr="001552C0">
              <w:rPr>
                <w:b/>
                <w:iCs/>
              </w:rPr>
              <w:t xml:space="preserve">Code </w:t>
            </w:r>
          </w:p>
        </w:tc>
        <w:tc>
          <w:tcPr>
            <w:tcW w:w="1449" w:type="dxa"/>
            <w:tcBorders>
              <w:top w:val="single" w:sz="4" w:space="0" w:color="auto"/>
              <w:left w:val="single" w:sz="4" w:space="0" w:color="auto"/>
              <w:bottom w:val="single" w:sz="4" w:space="0" w:color="auto"/>
              <w:right w:val="single" w:sz="4" w:space="0" w:color="auto"/>
            </w:tcBorders>
            <w:hideMark/>
          </w:tcPr>
          <w:p w14:paraId="1FD4AA4A" w14:textId="77777777" w:rsidR="007A5E59" w:rsidRPr="001552C0" w:rsidRDefault="007A5E59" w:rsidP="00031C04">
            <w:pPr>
              <w:rPr>
                <w:b/>
                <w:iCs/>
              </w:rPr>
            </w:pPr>
            <w:r w:rsidRPr="001552C0">
              <w:rPr>
                <w:b/>
                <w:iCs/>
              </w:rPr>
              <w:t>Amount (EUR)</w:t>
            </w:r>
          </w:p>
        </w:tc>
      </w:tr>
      <w:tr w:rsidR="00B96B06" w:rsidRPr="001552C0" w14:paraId="68E920C1" w14:textId="77777777" w:rsidTr="007906D8">
        <w:tc>
          <w:tcPr>
            <w:tcW w:w="1599" w:type="dxa"/>
            <w:vMerge w:val="restart"/>
            <w:tcBorders>
              <w:top w:val="single" w:sz="4" w:space="0" w:color="auto"/>
              <w:left w:val="single" w:sz="4" w:space="0" w:color="auto"/>
              <w:right w:val="single" w:sz="4" w:space="0" w:color="auto"/>
            </w:tcBorders>
          </w:tcPr>
          <w:p w14:paraId="52CB9959" w14:textId="04575595" w:rsidR="00495566" w:rsidRPr="001552C0" w:rsidRDefault="00495566" w:rsidP="00031C04">
            <w:pPr>
              <w:rPr>
                <w:iCs/>
              </w:rPr>
            </w:pPr>
            <w:r w:rsidRPr="001552C0">
              <w:rPr>
                <w:iCs/>
              </w:rPr>
              <w:t>3. Protecţia mediului prin conservarea biodiversităţii, asigurarea calităţii aerului şi remediere a siturilor contaminate</w:t>
            </w:r>
          </w:p>
        </w:tc>
        <w:tc>
          <w:tcPr>
            <w:tcW w:w="1384" w:type="dxa"/>
            <w:vMerge w:val="restart"/>
            <w:tcBorders>
              <w:top w:val="single" w:sz="4" w:space="0" w:color="auto"/>
              <w:left w:val="single" w:sz="4" w:space="0" w:color="auto"/>
              <w:right w:val="single" w:sz="4" w:space="0" w:color="auto"/>
            </w:tcBorders>
          </w:tcPr>
          <w:p w14:paraId="67C6CFF5" w14:textId="78AA436C" w:rsidR="00495566" w:rsidRPr="001552C0" w:rsidRDefault="00495566" w:rsidP="00031C04">
            <w:pPr>
              <w:rPr>
                <w:iCs/>
              </w:rPr>
            </w:pPr>
            <w:r w:rsidRPr="001552C0">
              <w:rPr>
                <w:iCs/>
              </w:rPr>
              <w:t>FEDR</w:t>
            </w:r>
          </w:p>
        </w:tc>
        <w:tc>
          <w:tcPr>
            <w:tcW w:w="1433" w:type="dxa"/>
            <w:vMerge w:val="restart"/>
            <w:tcBorders>
              <w:top w:val="single" w:sz="4" w:space="0" w:color="auto"/>
              <w:left w:val="single" w:sz="4" w:space="0" w:color="auto"/>
              <w:right w:val="single" w:sz="4" w:space="0" w:color="auto"/>
            </w:tcBorders>
          </w:tcPr>
          <w:p w14:paraId="36E98F94" w14:textId="77777777" w:rsidR="00495566" w:rsidRPr="001552C0" w:rsidRDefault="00495566" w:rsidP="00031C04">
            <w:pPr>
              <w:rPr>
                <w:iCs/>
              </w:rPr>
            </w:pPr>
            <w:r w:rsidRPr="001552C0">
              <w:rPr>
                <w:iCs/>
              </w:rPr>
              <w:t>Mai dezvoltată</w:t>
            </w:r>
          </w:p>
          <w:p w14:paraId="5124E808" w14:textId="66912157" w:rsidR="00495566" w:rsidRPr="001552C0" w:rsidRDefault="00495566" w:rsidP="00031C04">
            <w:pPr>
              <w:rPr>
                <w:iCs/>
              </w:rPr>
            </w:pPr>
            <w:r w:rsidRPr="001552C0">
              <w:rPr>
                <w:iCs/>
              </w:rPr>
              <w:t>Mai puțin dezvoltată</w:t>
            </w:r>
          </w:p>
        </w:tc>
        <w:tc>
          <w:tcPr>
            <w:tcW w:w="4024" w:type="dxa"/>
            <w:tcBorders>
              <w:top w:val="single" w:sz="4" w:space="0" w:color="auto"/>
              <w:left w:val="single" w:sz="4" w:space="0" w:color="auto"/>
              <w:bottom w:val="single" w:sz="4" w:space="0" w:color="auto"/>
              <w:right w:val="single" w:sz="4" w:space="0" w:color="auto"/>
            </w:tcBorders>
          </w:tcPr>
          <w:p w14:paraId="029692E4" w14:textId="77777777" w:rsidR="00495566" w:rsidRPr="001552C0" w:rsidRDefault="00495566" w:rsidP="005219C1">
            <w:pPr>
              <w:jc w:val="both"/>
              <w:rPr>
                <w:iCs/>
              </w:rPr>
            </w:pPr>
            <w:r w:rsidRPr="001552C0">
              <w:rPr>
                <w:iCs/>
              </w:rPr>
              <w:t>049</w:t>
            </w:r>
            <w:r w:rsidRPr="001552C0">
              <w:rPr>
                <w:iCs/>
              </w:rPr>
              <w:tab/>
              <w:t xml:space="preserve">Protejarea, restaurarea și utilizarea sustenabilă a siturilor Natura 2000;  </w:t>
            </w:r>
          </w:p>
          <w:p w14:paraId="0FE668AE" w14:textId="15809CFD" w:rsidR="00495566" w:rsidRPr="001552C0" w:rsidRDefault="00495566" w:rsidP="00495566">
            <w:pPr>
              <w:jc w:val="both"/>
              <w:rPr>
                <w:iCs/>
              </w:rPr>
            </w:pPr>
            <w:r w:rsidRPr="001552C0">
              <w:rPr>
                <w:iCs/>
              </w:rPr>
              <w:t>050</w:t>
            </w:r>
            <w:r w:rsidRPr="001552C0">
              <w:rPr>
                <w:iCs/>
              </w:rPr>
              <w:tab/>
              <w:t>Protecția naturii și a biodiversității, infrastructura verde</w:t>
            </w:r>
          </w:p>
        </w:tc>
        <w:tc>
          <w:tcPr>
            <w:tcW w:w="1449" w:type="dxa"/>
            <w:tcBorders>
              <w:top w:val="single" w:sz="4" w:space="0" w:color="auto"/>
              <w:left w:val="single" w:sz="4" w:space="0" w:color="auto"/>
              <w:bottom w:val="single" w:sz="4" w:space="0" w:color="auto"/>
              <w:right w:val="single" w:sz="4" w:space="0" w:color="auto"/>
            </w:tcBorders>
          </w:tcPr>
          <w:p w14:paraId="154A92A9" w14:textId="1BE8C352" w:rsidR="00495566" w:rsidRPr="001552C0" w:rsidRDefault="00773AC8" w:rsidP="00031C04">
            <w:pPr>
              <w:rPr>
                <w:iCs/>
              </w:rPr>
            </w:pPr>
            <w:r>
              <w:rPr>
                <w:iCs/>
              </w:rPr>
              <w:t>85</w:t>
            </w:r>
            <w:r w:rsidR="00DE3B87" w:rsidRPr="001552C0">
              <w:rPr>
                <w:iCs/>
              </w:rPr>
              <w:t>.000.000</w:t>
            </w:r>
          </w:p>
        </w:tc>
      </w:tr>
      <w:tr w:rsidR="00B96B06" w:rsidRPr="001552C0" w14:paraId="23BC34BF" w14:textId="77777777" w:rsidTr="007906D8">
        <w:tc>
          <w:tcPr>
            <w:tcW w:w="1599" w:type="dxa"/>
            <w:vMerge/>
            <w:tcBorders>
              <w:left w:val="single" w:sz="4" w:space="0" w:color="auto"/>
              <w:right w:val="single" w:sz="4" w:space="0" w:color="auto"/>
            </w:tcBorders>
          </w:tcPr>
          <w:p w14:paraId="6425C8B1" w14:textId="77777777" w:rsidR="00495566" w:rsidRPr="001552C0" w:rsidRDefault="00495566" w:rsidP="00031C04">
            <w:pPr>
              <w:rPr>
                <w:iCs/>
              </w:rPr>
            </w:pPr>
          </w:p>
        </w:tc>
        <w:tc>
          <w:tcPr>
            <w:tcW w:w="1384" w:type="dxa"/>
            <w:vMerge/>
            <w:tcBorders>
              <w:left w:val="single" w:sz="4" w:space="0" w:color="auto"/>
              <w:right w:val="single" w:sz="4" w:space="0" w:color="auto"/>
            </w:tcBorders>
          </w:tcPr>
          <w:p w14:paraId="189126F0" w14:textId="77777777" w:rsidR="00495566" w:rsidRPr="001552C0" w:rsidRDefault="00495566" w:rsidP="00031C04">
            <w:pPr>
              <w:rPr>
                <w:iCs/>
              </w:rPr>
            </w:pPr>
          </w:p>
        </w:tc>
        <w:tc>
          <w:tcPr>
            <w:tcW w:w="1433" w:type="dxa"/>
            <w:vMerge/>
            <w:tcBorders>
              <w:left w:val="single" w:sz="4" w:space="0" w:color="auto"/>
              <w:right w:val="single" w:sz="4" w:space="0" w:color="auto"/>
            </w:tcBorders>
          </w:tcPr>
          <w:p w14:paraId="138F899A" w14:textId="77777777" w:rsidR="00495566" w:rsidRPr="001552C0" w:rsidRDefault="00495566" w:rsidP="00031C04">
            <w:pPr>
              <w:rPr>
                <w:iCs/>
              </w:rPr>
            </w:pPr>
          </w:p>
        </w:tc>
        <w:tc>
          <w:tcPr>
            <w:tcW w:w="4024" w:type="dxa"/>
            <w:tcBorders>
              <w:top w:val="single" w:sz="4" w:space="0" w:color="auto"/>
              <w:left w:val="single" w:sz="4" w:space="0" w:color="auto"/>
              <w:bottom w:val="single" w:sz="4" w:space="0" w:color="auto"/>
              <w:right w:val="single" w:sz="4" w:space="0" w:color="auto"/>
            </w:tcBorders>
          </w:tcPr>
          <w:p w14:paraId="049E8635" w14:textId="3D703A7D" w:rsidR="00495566" w:rsidRPr="001552C0" w:rsidRDefault="00495566" w:rsidP="00495566">
            <w:pPr>
              <w:jc w:val="both"/>
              <w:rPr>
                <w:iCs/>
              </w:rPr>
            </w:pPr>
            <w:r w:rsidRPr="001552C0">
              <w:rPr>
                <w:iCs/>
              </w:rPr>
              <w:t>048</w:t>
            </w:r>
            <w:r w:rsidRPr="001552C0">
              <w:rPr>
                <w:iCs/>
              </w:rPr>
              <w:tab/>
              <w:t>Calitatea aerului si măsuri de reducere a zgomotului</w:t>
            </w:r>
          </w:p>
        </w:tc>
        <w:tc>
          <w:tcPr>
            <w:tcW w:w="1449" w:type="dxa"/>
            <w:tcBorders>
              <w:top w:val="single" w:sz="4" w:space="0" w:color="auto"/>
              <w:left w:val="single" w:sz="4" w:space="0" w:color="auto"/>
              <w:bottom w:val="single" w:sz="4" w:space="0" w:color="auto"/>
              <w:right w:val="single" w:sz="4" w:space="0" w:color="auto"/>
            </w:tcBorders>
          </w:tcPr>
          <w:p w14:paraId="508F47A4" w14:textId="7C566CBE" w:rsidR="00495566" w:rsidRPr="001552C0" w:rsidRDefault="00DE3B87" w:rsidP="00031C04">
            <w:pPr>
              <w:rPr>
                <w:iCs/>
              </w:rPr>
            </w:pPr>
            <w:r w:rsidRPr="001552C0">
              <w:rPr>
                <w:iCs/>
              </w:rPr>
              <w:t>25.000.000</w:t>
            </w:r>
          </w:p>
        </w:tc>
      </w:tr>
      <w:tr w:rsidR="00495566" w:rsidRPr="001552C0" w14:paraId="3A79D859" w14:textId="77777777" w:rsidTr="007906D8">
        <w:tc>
          <w:tcPr>
            <w:tcW w:w="1599" w:type="dxa"/>
            <w:vMerge/>
            <w:tcBorders>
              <w:left w:val="single" w:sz="4" w:space="0" w:color="auto"/>
              <w:bottom w:val="single" w:sz="4" w:space="0" w:color="auto"/>
              <w:right w:val="single" w:sz="4" w:space="0" w:color="auto"/>
            </w:tcBorders>
          </w:tcPr>
          <w:p w14:paraId="09F2FCE4" w14:textId="77777777" w:rsidR="00495566" w:rsidRPr="001552C0" w:rsidRDefault="00495566" w:rsidP="00031C04">
            <w:pPr>
              <w:rPr>
                <w:iCs/>
              </w:rPr>
            </w:pPr>
          </w:p>
        </w:tc>
        <w:tc>
          <w:tcPr>
            <w:tcW w:w="1384" w:type="dxa"/>
            <w:vMerge/>
            <w:tcBorders>
              <w:left w:val="single" w:sz="4" w:space="0" w:color="auto"/>
              <w:bottom w:val="single" w:sz="4" w:space="0" w:color="auto"/>
              <w:right w:val="single" w:sz="4" w:space="0" w:color="auto"/>
            </w:tcBorders>
          </w:tcPr>
          <w:p w14:paraId="49DC740B" w14:textId="77777777" w:rsidR="00495566" w:rsidRPr="001552C0" w:rsidRDefault="00495566" w:rsidP="00031C04">
            <w:pPr>
              <w:rPr>
                <w:iCs/>
              </w:rPr>
            </w:pPr>
          </w:p>
        </w:tc>
        <w:tc>
          <w:tcPr>
            <w:tcW w:w="1433" w:type="dxa"/>
            <w:vMerge/>
            <w:tcBorders>
              <w:left w:val="single" w:sz="4" w:space="0" w:color="auto"/>
              <w:bottom w:val="single" w:sz="4" w:space="0" w:color="auto"/>
              <w:right w:val="single" w:sz="4" w:space="0" w:color="auto"/>
            </w:tcBorders>
          </w:tcPr>
          <w:p w14:paraId="295CB332" w14:textId="77777777" w:rsidR="00495566" w:rsidRPr="001552C0" w:rsidRDefault="00495566" w:rsidP="00031C04">
            <w:pPr>
              <w:rPr>
                <w:iCs/>
              </w:rPr>
            </w:pPr>
          </w:p>
        </w:tc>
        <w:tc>
          <w:tcPr>
            <w:tcW w:w="4024" w:type="dxa"/>
            <w:tcBorders>
              <w:top w:val="single" w:sz="4" w:space="0" w:color="auto"/>
              <w:left w:val="single" w:sz="4" w:space="0" w:color="auto"/>
              <w:bottom w:val="single" w:sz="4" w:space="0" w:color="auto"/>
              <w:right w:val="single" w:sz="4" w:space="0" w:color="auto"/>
            </w:tcBorders>
          </w:tcPr>
          <w:p w14:paraId="64535FE6" w14:textId="35E51EC0" w:rsidR="00495566" w:rsidRPr="001552C0" w:rsidRDefault="00495566" w:rsidP="005219C1">
            <w:pPr>
              <w:jc w:val="both"/>
              <w:rPr>
                <w:iCs/>
              </w:rPr>
            </w:pPr>
            <w:r w:rsidRPr="001552C0">
              <w:rPr>
                <w:iCs/>
              </w:rPr>
              <w:t>046 Reabilitarea siturilor industriale si a terenurilor contaminate</w:t>
            </w:r>
          </w:p>
        </w:tc>
        <w:tc>
          <w:tcPr>
            <w:tcW w:w="1449" w:type="dxa"/>
            <w:tcBorders>
              <w:top w:val="single" w:sz="4" w:space="0" w:color="auto"/>
              <w:left w:val="single" w:sz="4" w:space="0" w:color="auto"/>
              <w:bottom w:val="single" w:sz="4" w:space="0" w:color="auto"/>
              <w:right w:val="single" w:sz="4" w:space="0" w:color="auto"/>
            </w:tcBorders>
          </w:tcPr>
          <w:p w14:paraId="6D92F97B" w14:textId="0FB70C10" w:rsidR="00495566" w:rsidRPr="001552C0" w:rsidRDefault="00DE3B87" w:rsidP="00031C04">
            <w:pPr>
              <w:rPr>
                <w:iCs/>
              </w:rPr>
            </w:pPr>
            <w:r w:rsidRPr="001552C0">
              <w:rPr>
                <w:iCs/>
              </w:rPr>
              <w:t>50.000.000</w:t>
            </w:r>
          </w:p>
        </w:tc>
      </w:tr>
    </w:tbl>
    <w:p w14:paraId="529A7144" w14:textId="2DA8EFD6" w:rsidR="007A5E59" w:rsidRPr="001552C0" w:rsidRDefault="007A5E59" w:rsidP="007A5E5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276"/>
        <w:gridCol w:w="1843"/>
        <w:gridCol w:w="1811"/>
        <w:gridCol w:w="1449"/>
      </w:tblGrid>
      <w:tr w:rsidR="00B96B06" w:rsidRPr="001552C0" w14:paraId="0EE832F2" w14:textId="77777777" w:rsidTr="00EA4F2D">
        <w:tc>
          <w:tcPr>
            <w:tcW w:w="9889" w:type="dxa"/>
            <w:gridSpan w:val="5"/>
            <w:tcBorders>
              <w:top w:val="single" w:sz="4" w:space="0" w:color="auto"/>
              <w:left w:val="single" w:sz="4" w:space="0" w:color="auto"/>
              <w:bottom w:val="single" w:sz="4" w:space="0" w:color="auto"/>
              <w:right w:val="single" w:sz="4" w:space="0" w:color="auto"/>
            </w:tcBorders>
            <w:hideMark/>
          </w:tcPr>
          <w:p w14:paraId="09F81FCA" w14:textId="77777777" w:rsidR="007A5E59" w:rsidRPr="001552C0" w:rsidRDefault="007A5E59" w:rsidP="00031C04">
            <w:pPr>
              <w:rPr>
                <w:b/>
                <w:iCs/>
              </w:rPr>
            </w:pPr>
            <w:r w:rsidRPr="001552C0">
              <w:rPr>
                <w:b/>
                <w:iCs/>
              </w:rPr>
              <w:t>Table 5: Dimension 2 – form of support</w:t>
            </w:r>
          </w:p>
        </w:tc>
      </w:tr>
      <w:tr w:rsidR="00B96B06" w:rsidRPr="001552C0" w14:paraId="0A62EEC2" w14:textId="77777777" w:rsidTr="00EA4F2D">
        <w:tc>
          <w:tcPr>
            <w:tcW w:w="3510" w:type="dxa"/>
            <w:tcBorders>
              <w:top w:val="single" w:sz="4" w:space="0" w:color="auto"/>
              <w:left w:val="single" w:sz="4" w:space="0" w:color="auto"/>
              <w:bottom w:val="single" w:sz="4" w:space="0" w:color="auto"/>
              <w:right w:val="single" w:sz="4" w:space="0" w:color="auto"/>
            </w:tcBorders>
            <w:hideMark/>
          </w:tcPr>
          <w:p w14:paraId="7CF727FB" w14:textId="77777777" w:rsidR="007A5E59" w:rsidRPr="001552C0" w:rsidRDefault="007A5E59" w:rsidP="00031C04">
            <w:pPr>
              <w:rPr>
                <w:b/>
                <w:iCs/>
              </w:rPr>
            </w:pPr>
            <w:r w:rsidRPr="001552C0">
              <w:rPr>
                <w:b/>
                <w:iCs/>
              </w:rPr>
              <w:t>Priority No</w:t>
            </w:r>
          </w:p>
        </w:tc>
        <w:tc>
          <w:tcPr>
            <w:tcW w:w="1276" w:type="dxa"/>
            <w:tcBorders>
              <w:top w:val="single" w:sz="4" w:space="0" w:color="auto"/>
              <w:left w:val="single" w:sz="4" w:space="0" w:color="auto"/>
              <w:bottom w:val="single" w:sz="4" w:space="0" w:color="auto"/>
              <w:right w:val="single" w:sz="4" w:space="0" w:color="auto"/>
            </w:tcBorders>
            <w:hideMark/>
          </w:tcPr>
          <w:p w14:paraId="30C5BF9F" w14:textId="77777777" w:rsidR="007A5E59" w:rsidRPr="001552C0" w:rsidRDefault="007A5E59" w:rsidP="00031C04">
            <w:pPr>
              <w:rPr>
                <w:b/>
                <w:iCs/>
              </w:rPr>
            </w:pPr>
            <w:r w:rsidRPr="001552C0">
              <w:rPr>
                <w:b/>
                <w:iCs/>
              </w:rPr>
              <w:t>Fund</w:t>
            </w:r>
          </w:p>
        </w:tc>
        <w:tc>
          <w:tcPr>
            <w:tcW w:w="1843" w:type="dxa"/>
            <w:tcBorders>
              <w:top w:val="single" w:sz="4" w:space="0" w:color="auto"/>
              <w:left w:val="single" w:sz="4" w:space="0" w:color="auto"/>
              <w:bottom w:val="single" w:sz="4" w:space="0" w:color="auto"/>
              <w:right w:val="single" w:sz="4" w:space="0" w:color="auto"/>
            </w:tcBorders>
            <w:hideMark/>
          </w:tcPr>
          <w:p w14:paraId="2D54FEEB" w14:textId="77777777" w:rsidR="007A5E59" w:rsidRPr="001552C0" w:rsidRDefault="007A5E59" w:rsidP="00031C04">
            <w:pPr>
              <w:rPr>
                <w:b/>
                <w:iCs/>
              </w:rPr>
            </w:pPr>
            <w:r w:rsidRPr="001552C0">
              <w:rPr>
                <w:b/>
                <w:iCs/>
              </w:rPr>
              <w:t>Category of region</w:t>
            </w:r>
            <w:r w:rsidRPr="001552C0">
              <w:rPr>
                <w:b/>
                <w:iCs/>
                <w:vertAlign w:val="superscript"/>
              </w:rPr>
              <w:footnoteReference w:id="13"/>
            </w:r>
          </w:p>
        </w:tc>
        <w:tc>
          <w:tcPr>
            <w:tcW w:w="1811" w:type="dxa"/>
            <w:tcBorders>
              <w:top w:val="single" w:sz="4" w:space="0" w:color="auto"/>
              <w:left w:val="single" w:sz="4" w:space="0" w:color="auto"/>
              <w:bottom w:val="single" w:sz="4" w:space="0" w:color="auto"/>
              <w:right w:val="single" w:sz="4" w:space="0" w:color="auto"/>
            </w:tcBorders>
            <w:hideMark/>
          </w:tcPr>
          <w:p w14:paraId="30C45424" w14:textId="77777777" w:rsidR="007A5E59" w:rsidRPr="001552C0" w:rsidRDefault="007A5E59" w:rsidP="00031C04">
            <w:pPr>
              <w:rPr>
                <w:b/>
                <w:iCs/>
              </w:rPr>
            </w:pPr>
            <w:r w:rsidRPr="001552C0">
              <w:rPr>
                <w:b/>
                <w:iCs/>
              </w:rPr>
              <w:t xml:space="preserve">Code </w:t>
            </w:r>
          </w:p>
        </w:tc>
        <w:tc>
          <w:tcPr>
            <w:tcW w:w="1449" w:type="dxa"/>
            <w:tcBorders>
              <w:top w:val="single" w:sz="4" w:space="0" w:color="auto"/>
              <w:left w:val="single" w:sz="4" w:space="0" w:color="auto"/>
              <w:bottom w:val="single" w:sz="4" w:space="0" w:color="auto"/>
              <w:right w:val="single" w:sz="4" w:space="0" w:color="auto"/>
            </w:tcBorders>
            <w:hideMark/>
          </w:tcPr>
          <w:p w14:paraId="76DCA997" w14:textId="77777777" w:rsidR="007A5E59" w:rsidRPr="001552C0" w:rsidRDefault="007A5E59" w:rsidP="00031C04">
            <w:pPr>
              <w:rPr>
                <w:b/>
                <w:iCs/>
              </w:rPr>
            </w:pPr>
            <w:r w:rsidRPr="001552C0">
              <w:rPr>
                <w:b/>
                <w:iCs/>
              </w:rPr>
              <w:t>Amount (EUR)</w:t>
            </w:r>
          </w:p>
        </w:tc>
      </w:tr>
      <w:tr w:rsidR="00EA4F2D" w:rsidRPr="001552C0" w14:paraId="2646C991" w14:textId="77777777" w:rsidTr="00EA4F2D">
        <w:tc>
          <w:tcPr>
            <w:tcW w:w="3510" w:type="dxa"/>
            <w:tcBorders>
              <w:top w:val="single" w:sz="4" w:space="0" w:color="auto"/>
              <w:left w:val="single" w:sz="4" w:space="0" w:color="auto"/>
              <w:bottom w:val="single" w:sz="4" w:space="0" w:color="auto"/>
              <w:right w:val="single" w:sz="4" w:space="0" w:color="auto"/>
            </w:tcBorders>
          </w:tcPr>
          <w:p w14:paraId="106E4758" w14:textId="25643EFF" w:rsidR="00EA4F2D" w:rsidRPr="001552C0" w:rsidRDefault="00EA4F2D" w:rsidP="00031C04">
            <w:pPr>
              <w:rPr>
                <w:b/>
                <w:iCs/>
              </w:rPr>
            </w:pPr>
            <w:r w:rsidRPr="001552C0">
              <w:rPr>
                <w:iCs/>
              </w:rPr>
              <w:t>3. Protecţia mediului prin conservarea biodiversităţii, asigurarea calităţii aerului şi remediere a siturilor contaminate</w:t>
            </w:r>
          </w:p>
        </w:tc>
        <w:tc>
          <w:tcPr>
            <w:tcW w:w="1276" w:type="dxa"/>
            <w:tcBorders>
              <w:top w:val="single" w:sz="4" w:space="0" w:color="auto"/>
              <w:left w:val="single" w:sz="4" w:space="0" w:color="auto"/>
              <w:bottom w:val="single" w:sz="4" w:space="0" w:color="auto"/>
              <w:right w:val="single" w:sz="4" w:space="0" w:color="auto"/>
            </w:tcBorders>
          </w:tcPr>
          <w:p w14:paraId="71B3BDA7" w14:textId="11D1955B" w:rsidR="00EA4F2D" w:rsidRPr="001552C0" w:rsidRDefault="00EA4F2D" w:rsidP="00031C04">
            <w:pPr>
              <w:rPr>
                <w:b/>
                <w:iCs/>
              </w:rPr>
            </w:pPr>
            <w:r w:rsidRPr="001552C0">
              <w:rPr>
                <w:iCs/>
              </w:rPr>
              <w:t>FEDR</w:t>
            </w:r>
          </w:p>
        </w:tc>
        <w:tc>
          <w:tcPr>
            <w:tcW w:w="1843" w:type="dxa"/>
            <w:tcBorders>
              <w:top w:val="single" w:sz="4" w:space="0" w:color="auto"/>
              <w:left w:val="single" w:sz="4" w:space="0" w:color="auto"/>
              <w:bottom w:val="single" w:sz="4" w:space="0" w:color="auto"/>
              <w:right w:val="single" w:sz="4" w:space="0" w:color="auto"/>
            </w:tcBorders>
          </w:tcPr>
          <w:p w14:paraId="305B79EF" w14:textId="77777777" w:rsidR="00EA4F2D" w:rsidRPr="001552C0" w:rsidRDefault="00EA4F2D" w:rsidP="001913E5">
            <w:pPr>
              <w:rPr>
                <w:iCs/>
              </w:rPr>
            </w:pPr>
            <w:r w:rsidRPr="001552C0">
              <w:rPr>
                <w:iCs/>
              </w:rPr>
              <w:t>Mai dezvoltată</w:t>
            </w:r>
          </w:p>
          <w:p w14:paraId="177FA2D6" w14:textId="4061904E" w:rsidR="00EA4F2D" w:rsidRPr="001552C0" w:rsidRDefault="00EA4F2D" w:rsidP="00031C04">
            <w:pPr>
              <w:rPr>
                <w:b/>
                <w:iCs/>
              </w:rPr>
            </w:pPr>
            <w:r w:rsidRPr="001552C0">
              <w:rPr>
                <w:iCs/>
              </w:rPr>
              <w:t>Mai puțin dezvoltată</w:t>
            </w:r>
          </w:p>
        </w:tc>
        <w:tc>
          <w:tcPr>
            <w:tcW w:w="1811" w:type="dxa"/>
            <w:tcBorders>
              <w:top w:val="single" w:sz="4" w:space="0" w:color="auto"/>
              <w:left w:val="single" w:sz="4" w:space="0" w:color="auto"/>
              <w:bottom w:val="single" w:sz="4" w:space="0" w:color="auto"/>
              <w:right w:val="single" w:sz="4" w:space="0" w:color="auto"/>
            </w:tcBorders>
          </w:tcPr>
          <w:p w14:paraId="1696A644" w14:textId="5E0DDF4D" w:rsidR="00EA4F2D" w:rsidRPr="001552C0" w:rsidRDefault="00EA4F2D" w:rsidP="00031C04">
            <w:pPr>
              <w:rPr>
                <w:iCs/>
              </w:rPr>
            </w:pPr>
            <w:r w:rsidRPr="001552C0">
              <w:rPr>
                <w:iCs/>
              </w:rPr>
              <w:t xml:space="preserve">01 grant </w:t>
            </w:r>
          </w:p>
        </w:tc>
        <w:tc>
          <w:tcPr>
            <w:tcW w:w="1449" w:type="dxa"/>
            <w:tcBorders>
              <w:top w:val="single" w:sz="4" w:space="0" w:color="auto"/>
              <w:left w:val="single" w:sz="4" w:space="0" w:color="auto"/>
              <w:bottom w:val="single" w:sz="4" w:space="0" w:color="auto"/>
              <w:right w:val="single" w:sz="4" w:space="0" w:color="auto"/>
            </w:tcBorders>
          </w:tcPr>
          <w:p w14:paraId="2C752CDC" w14:textId="4B99F263" w:rsidR="00EA4F2D" w:rsidRPr="001552C0" w:rsidRDefault="00DE3B87" w:rsidP="00773AC8">
            <w:pPr>
              <w:rPr>
                <w:iCs/>
              </w:rPr>
            </w:pPr>
            <w:r w:rsidRPr="001552C0">
              <w:rPr>
                <w:iCs/>
              </w:rPr>
              <w:t>16</w:t>
            </w:r>
            <w:r w:rsidR="00773AC8">
              <w:rPr>
                <w:iCs/>
              </w:rPr>
              <w:t>0</w:t>
            </w:r>
            <w:r w:rsidRPr="001552C0">
              <w:rPr>
                <w:iCs/>
              </w:rPr>
              <w:t>.000.000</w:t>
            </w:r>
          </w:p>
        </w:tc>
      </w:tr>
    </w:tbl>
    <w:p w14:paraId="04AF8AC2" w14:textId="77777777" w:rsidR="007A5E59" w:rsidRPr="001552C0" w:rsidRDefault="007A5E59" w:rsidP="007A5E59">
      <w:pP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591"/>
        <w:gridCol w:w="1053"/>
        <w:gridCol w:w="531"/>
      </w:tblGrid>
      <w:tr w:rsidR="00B96B06" w:rsidRPr="001552C0" w14:paraId="69570D0D" w14:textId="77777777" w:rsidTr="00031C04">
        <w:tc>
          <w:tcPr>
            <w:tcW w:w="7644" w:type="dxa"/>
            <w:gridSpan w:val="7"/>
            <w:tcBorders>
              <w:top w:val="single" w:sz="4" w:space="0" w:color="auto"/>
              <w:left w:val="single" w:sz="4" w:space="0" w:color="auto"/>
              <w:bottom w:val="single" w:sz="4" w:space="0" w:color="auto"/>
              <w:right w:val="single" w:sz="4" w:space="0" w:color="auto"/>
            </w:tcBorders>
            <w:hideMark/>
          </w:tcPr>
          <w:p w14:paraId="5D6AE81A" w14:textId="77777777" w:rsidR="007A5E59" w:rsidRPr="001552C0" w:rsidRDefault="007A5E59" w:rsidP="00031C04">
            <w:pPr>
              <w:rPr>
                <w:b/>
                <w:iCs/>
              </w:rPr>
            </w:pPr>
            <w:r w:rsidRPr="001552C0">
              <w:rPr>
                <w:b/>
                <w:iCs/>
              </w:rPr>
              <w:t>Table 6: Dimension 3 – territorial delivery mechanism and territorial focus</w:t>
            </w:r>
          </w:p>
        </w:tc>
      </w:tr>
      <w:tr w:rsidR="00B96B06" w:rsidRPr="001552C0" w14:paraId="2568DA45" w14:textId="77777777" w:rsidTr="00031C04">
        <w:tc>
          <w:tcPr>
            <w:tcW w:w="1599" w:type="dxa"/>
            <w:tcBorders>
              <w:top w:val="single" w:sz="4" w:space="0" w:color="auto"/>
              <w:left w:val="single" w:sz="4" w:space="0" w:color="auto"/>
              <w:bottom w:val="single" w:sz="4" w:space="0" w:color="auto"/>
              <w:right w:val="single" w:sz="4" w:space="0" w:color="auto"/>
            </w:tcBorders>
            <w:hideMark/>
          </w:tcPr>
          <w:p w14:paraId="4B9CA33C" w14:textId="77777777" w:rsidR="007A5E59" w:rsidRPr="001552C0" w:rsidRDefault="007A5E59" w:rsidP="00031C04">
            <w:pPr>
              <w:rPr>
                <w:b/>
                <w:iCs/>
              </w:rPr>
            </w:pPr>
            <w:r w:rsidRPr="001552C0">
              <w:rPr>
                <w:b/>
                <w:iCs/>
              </w:rPr>
              <w:lastRenderedPageBreak/>
              <w:t>Priority No</w:t>
            </w:r>
          </w:p>
        </w:tc>
        <w:tc>
          <w:tcPr>
            <w:tcW w:w="1384" w:type="dxa"/>
            <w:tcBorders>
              <w:top w:val="single" w:sz="4" w:space="0" w:color="auto"/>
              <w:left w:val="single" w:sz="4" w:space="0" w:color="auto"/>
              <w:bottom w:val="single" w:sz="4" w:space="0" w:color="auto"/>
              <w:right w:val="single" w:sz="4" w:space="0" w:color="auto"/>
            </w:tcBorders>
            <w:hideMark/>
          </w:tcPr>
          <w:p w14:paraId="532F03C5" w14:textId="77777777" w:rsidR="007A5E59" w:rsidRPr="001552C0" w:rsidRDefault="007A5E59" w:rsidP="00031C04">
            <w:pPr>
              <w:rPr>
                <w:b/>
                <w:iCs/>
              </w:rPr>
            </w:pPr>
            <w:r w:rsidRPr="001552C0">
              <w:rPr>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4DB087A3" w14:textId="77777777" w:rsidR="007A5E59" w:rsidRPr="001552C0" w:rsidRDefault="007A5E59" w:rsidP="00031C04">
            <w:pPr>
              <w:rPr>
                <w:b/>
                <w:iCs/>
              </w:rPr>
            </w:pPr>
            <w:r w:rsidRPr="001552C0">
              <w:rPr>
                <w:b/>
                <w:iCs/>
              </w:rPr>
              <w:t>Category of region</w:t>
            </w:r>
            <w:r w:rsidRPr="001552C0">
              <w:rPr>
                <w:b/>
                <w:iCs/>
                <w:vertAlign w:val="superscript"/>
              </w:rPr>
              <w:footnoteReference w:id="14"/>
            </w:r>
          </w:p>
        </w:tc>
        <w:tc>
          <w:tcPr>
            <w:tcW w:w="1053" w:type="dxa"/>
            <w:tcBorders>
              <w:top w:val="single" w:sz="4" w:space="0" w:color="auto"/>
              <w:left w:val="single" w:sz="4" w:space="0" w:color="auto"/>
              <w:bottom w:val="single" w:sz="4" w:space="0" w:color="auto"/>
              <w:right w:val="single" w:sz="4" w:space="0" w:color="auto"/>
            </w:tcBorders>
            <w:hideMark/>
          </w:tcPr>
          <w:p w14:paraId="085067B6" w14:textId="77777777" w:rsidR="007A5E59" w:rsidRPr="001552C0" w:rsidRDefault="007A5E59" w:rsidP="00031C04">
            <w:pPr>
              <w:rPr>
                <w:b/>
                <w:iCs/>
              </w:rPr>
            </w:pPr>
            <w:r w:rsidRPr="001552C0">
              <w:rPr>
                <w:b/>
                <w:iCs/>
              </w:rPr>
              <w:t xml:space="preserve">Code </w:t>
            </w:r>
          </w:p>
        </w:tc>
        <w:tc>
          <w:tcPr>
            <w:tcW w:w="2175" w:type="dxa"/>
            <w:gridSpan w:val="3"/>
            <w:tcBorders>
              <w:top w:val="single" w:sz="4" w:space="0" w:color="auto"/>
              <w:left w:val="single" w:sz="4" w:space="0" w:color="auto"/>
              <w:bottom w:val="single" w:sz="4" w:space="0" w:color="auto"/>
              <w:right w:val="single" w:sz="4" w:space="0" w:color="auto"/>
            </w:tcBorders>
            <w:hideMark/>
          </w:tcPr>
          <w:p w14:paraId="0FA76F63" w14:textId="77777777" w:rsidR="007A5E59" w:rsidRPr="001552C0" w:rsidRDefault="007A5E59" w:rsidP="00031C04">
            <w:pPr>
              <w:rPr>
                <w:b/>
                <w:iCs/>
              </w:rPr>
            </w:pPr>
            <w:r w:rsidRPr="001552C0">
              <w:rPr>
                <w:b/>
                <w:iCs/>
              </w:rPr>
              <w:t>Amount (EUR)</w:t>
            </w:r>
          </w:p>
        </w:tc>
      </w:tr>
      <w:tr w:rsidR="007A5E59" w:rsidRPr="001552C0" w14:paraId="184D6AC7" w14:textId="77777777" w:rsidTr="00031C04">
        <w:tc>
          <w:tcPr>
            <w:tcW w:w="1599" w:type="dxa"/>
            <w:tcBorders>
              <w:top w:val="single" w:sz="4" w:space="0" w:color="auto"/>
              <w:left w:val="single" w:sz="4" w:space="0" w:color="auto"/>
              <w:bottom w:val="single" w:sz="4" w:space="0" w:color="auto"/>
              <w:right w:val="single" w:sz="4" w:space="0" w:color="auto"/>
            </w:tcBorders>
          </w:tcPr>
          <w:p w14:paraId="428A5079" w14:textId="77777777" w:rsidR="007A5E59" w:rsidRPr="001552C0" w:rsidRDefault="007A5E59" w:rsidP="00031C04">
            <w:pPr>
              <w:rPr>
                <w:b/>
                <w:iCs/>
              </w:rPr>
            </w:pPr>
          </w:p>
        </w:tc>
        <w:tc>
          <w:tcPr>
            <w:tcW w:w="1384" w:type="dxa"/>
            <w:tcBorders>
              <w:top w:val="single" w:sz="4" w:space="0" w:color="auto"/>
              <w:left w:val="single" w:sz="4" w:space="0" w:color="auto"/>
              <w:bottom w:val="single" w:sz="4" w:space="0" w:color="auto"/>
              <w:right w:val="single" w:sz="4" w:space="0" w:color="auto"/>
            </w:tcBorders>
          </w:tcPr>
          <w:p w14:paraId="4F3E0FC4" w14:textId="77777777" w:rsidR="007A5E59" w:rsidRPr="001552C0" w:rsidRDefault="007A5E59" w:rsidP="00031C04">
            <w:pPr>
              <w:rPr>
                <w:b/>
                <w:iCs/>
              </w:rPr>
            </w:pPr>
          </w:p>
        </w:tc>
        <w:tc>
          <w:tcPr>
            <w:tcW w:w="1433" w:type="dxa"/>
            <w:tcBorders>
              <w:top w:val="single" w:sz="4" w:space="0" w:color="auto"/>
              <w:left w:val="single" w:sz="4" w:space="0" w:color="auto"/>
              <w:bottom w:val="single" w:sz="4" w:space="0" w:color="auto"/>
              <w:right w:val="single" w:sz="4" w:space="0" w:color="auto"/>
            </w:tcBorders>
          </w:tcPr>
          <w:p w14:paraId="1AEFBBEE" w14:textId="77777777" w:rsidR="007A5E59" w:rsidRPr="001552C0" w:rsidRDefault="007A5E59" w:rsidP="00031C04">
            <w:pPr>
              <w:rPr>
                <w:b/>
                <w:iCs/>
              </w:rPr>
            </w:pPr>
          </w:p>
        </w:tc>
        <w:tc>
          <w:tcPr>
            <w:tcW w:w="1644" w:type="dxa"/>
            <w:gridSpan w:val="2"/>
            <w:tcBorders>
              <w:top w:val="single" w:sz="4" w:space="0" w:color="auto"/>
              <w:left w:val="single" w:sz="4" w:space="0" w:color="auto"/>
              <w:bottom w:val="single" w:sz="4" w:space="0" w:color="auto"/>
              <w:right w:val="single" w:sz="4" w:space="0" w:color="auto"/>
            </w:tcBorders>
          </w:tcPr>
          <w:p w14:paraId="7A09583F" w14:textId="77777777" w:rsidR="007A5E59" w:rsidRPr="001552C0" w:rsidRDefault="007A5E59" w:rsidP="00031C04">
            <w:pPr>
              <w:rPr>
                <w:b/>
                <w:iCs/>
              </w:rPr>
            </w:pPr>
          </w:p>
        </w:tc>
        <w:tc>
          <w:tcPr>
            <w:tcW w:w="1053" w:type="dxa"/>
            <w:tcBorders>
              <w:top w:val="single" w:sz="4" w:space="0" w:color="auto"/>
              <w:left w:val="single" w:sz="4" w:space="0" w:color="auto"/>
              <w:bottom w:val="single" w:sz="4" w:space="0" w:color="auto"/>
              <w:right w:val="single" w:sz="4" w:space="0" w:color="auto"/>
            </w:tcBorders>
          </w:tcPr>
          <w:p w14:paraId="538B7155" w14:textId="77777777" w:rsidR="007A5E59" w:rsidRPr="001552C0" w:rsidRDefault="007A5E59" w:rsidP="00031C04">
            <w:pPr>
              <w:rPr>
                <w:b/>
                <w:iCs/>
              </w:rPr>
            </w:pPr>
          </w:p>
        </w:tc>
        <w:tc>
          <w:tcPr>
            <w:tcW w:w="531" w:type="dxa"/>
            <w:tcBorders>
              <w:top w:val="single" w:sz="4" w:space="0" w:color="auto"/>
              <w:left w:val="single" w:sz="4" w:space="0" w:color="auto"/>
              <w:bottom w:val="single" w:sz="4" w:space="0" w:color="auto"/>
              <w:right w:val="single" w:sz="4" w:space="0" w:color="auto"/>
            </w:tcBorders>
          </w:tcPr>
          <w:p w14:paraId="27879AE1" w14:textId="77777777" w:rsidR="007A5E59" w:rsidRPr="001552C0" w:rsidRDefault="007A5E59" w:rsidP="00031C04">
            <w:pPr>
              <w:rPr>
                <w:b/>
                <w:iCs/>
              </w:rPr>
            </w:pPr>
          </w:p>
        </w:tc>
      </w:tr>
    </w:tbl>
    <w:p w14:paraId="6D06213E" w14:textId="77777777" w:rsidR="007A5E59" w:rsidRPr="001552C0" w:rsidRDefault="007A5E59" w:rsidP="007A5E59">
      <w:pPr>
        <w:rPr>
          <w:b/>
          <w:iCs/>
        </w:rPr>
      </w:pPr>
    </w:p>
    <w:p w14:paraId="04033CAF" w14:textId="369BA0DE" w:rsidR="007A5E59" w:rsidRPr="001552C0" w:rsidRDefault="007A5E59" w:rsidP="007A5E59">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2.A.2 Specific objective</w:t>
      </w:r>
      <w:r w:rsidRPr="001552C0">
        <w:rPr>
          <w:rFonts w:ascii="Times New Roman" w:eastAsia="Times New Roman" w:hAnsi="Times New Roman" w:cs="Times New Roman"/>
          <w:b/>
          <w:bCs/>
          <w:iCs/>
          <w:noProof/>
          <w:sz w:val="24"/>
          <w:szCs w:val="24"/>
          <w:vertAlign w:val="superscript"/>
        </w:rPr>
        <w:footnoteReference w:id="15"/>
      </w:r>
      <w:r w:rsidRPr="001552C0">
        <w:rPr>
          <w:rFonts w:ascii="Times New Roman" w:eastAsia="Times New Roman" w:hAnsi="Times New Roman" w:cs="Times New Roman"/>
          <w:b/>
          <w:iCs/>
          <w:noProof/>
          <w:sz w:val="24"/>
          <w:szCs w:val="24"/>
        </w:rPr>
        <w:t xml:space="preserve">  </w:t>
      </w:r>
      <w:r w:rsidR="00B05615" w:rsidRPr="001552C0">
        <w:rPr>
          <w:rFonts w:ascii="Times New Roman" w:eastAsia="Times New Roman" w:hAnsi="Times New Roman" w:cs="Times New Roman"/>
          <w:b/>
          <w:iCs/>
          <w:noProof/>
          <w:sz w:val="24"/>
          <w:szCs w:val="24"/>
        </w:rPr>
        <w:t xml:space="preserve"> </w:t>
      </w:r>
      <w:r w:rsidRPr="001552C0">
        <w:rPr>
          <w:rFonts w:ascii="Times New Roman" w:eastAsia="Times New Roman" w:hAnsi="Times New Roman" w:cs="Times New Roman"/>
          <w:b/>
          <w:iCs/>
          <w:noProof/>
          <w:sz w:val="24"/>
          <w:szCs w:val="24"/>
        </w:rPr>
        <w:t xml:space="preserve"> repeated for each selected specific objective for priorities other than technical assistance</w:t>
      </w:r>
    </w:p>
    <w:p w14:paraId="0C742608" w14:textId="77777777" w:rsidR="00846F16" w:rsidRPr="001552C0" w:rsidRDefault="00846F16" w:rsidP="00846F16">
      <w:pPr>
        <w:spacing w:before="120" w:after="120" w:line="360" w:lineRule="auto"/>
        <w:rPr>
          <w:rFonts w:eastAsia="Times New Roman" w:cstheme="minorHAnsi"/>
          <w:b/>
          <w:i/>
          <w:iCs/>
          <w:noProof/>
          <w:szCs w:val="24"/>
        </w:rPr>
      </w:pPr>
      <w:r w:rsidRPr="001552C0">
        <w:rPr>
          <w:rFonts w:eastAsia="Times New Roman" w:cstheme="minorHAnsi"/>
          <w:b/>
          <w:i/>
          <w:iCs/>
          <w:noProof/>
          <w:szCs w:val="24"/>
        </w:rPr>
        <w:t>Obiectiv Specific FEDR/FC (vii) Îmbunătățirea protecției naturii și a biodiversității, a infrastructurii verzi în special în mediul urban și reducerea poluării</w:t>
      </w:r>
    </w:p>
    <w:p w14:paraId="1D2CE861" w14:textId="77777777" w:rsidR="007A5507" w:rsidRPr="001552C0" w:rsidRDefault="007A5507" w:rsidP="007A5507">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2.A.3.1 Interventions of the Funds</w:t>
      </w:r>
    </w:p>
    <w:p w14:paraId="5EDB9C17" w14:textId="77777777" w:rsidR="007A5507" w:rsidRPr="001552C0" w:rsidRDefault="007A5507" w:rsidP="007A5507">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Reference: Article 17(3)(d)(i),(iii),(iv),(v),(vi);</w:t>
      </w:r>
    </w:p>
    <w:p w14:paraId="2A0009CE" w14:textId="77777777" w:rsidR="007A5507" w:rsidRPr="001552C0" w:rsidRDefault="007A5507" w:rsidP="007A5507">
      <w:pPr>
        <w:bidi/>
        <w:spacing w:before="120" w:after="120" w:line="360" w:lineRule="auto"/>
        <w:jc w:val="right"/>
        <w:rPr>
          <w:rFonts w:ascii="Times New Roman" w:eastAsia="Times New Roman" w:hAnsi="Times New Roman" w:cs="Times New Roman"/>
          <w:b/>
          <w:bCs/>
          <w:i/>
          <w:iCs/>
          <w:noProof/>
          <w:sz w:val="24"/>
          <w:szCs w:val="24"/>
        </w:rPr>
      </w:pPr>
      <w:r w:rsidRPr="001552C0">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96B06" w:rsidRPr="001552C0" w14:paraId="08054B48" w14:textId="77777777" w:rsidTr="001D27CD">
        <w:tc>
          <w:tcPr>
            <w:tcW w:w="9288" w:type="dxa"/>
            <w:tcBorders>
              <w:top w:val="single" w:sz="4" w:space="0" w:color="auto"/>
              <w:left w:val="single" w:sz="4" w:space="0" w:color="auto"/>
              <w:bottom w:val="single" w:sz="4" w:space="0" w:color="auto"/>
              <w:right w:val="single" w:sz="4" w:space="0" w:color="auto"/>
            </w:tcBorders>
            <w:hideMark/>
          </w:tcPr>
          <w:p w14:paraId="5E84E971" w14:textId="56124D09" w:rsidR="007A5507" w:rsidRPr="001552C0" w:rsidRDefault="007A5507" w:rsidP="007A5507">
            <w:pPr>
              <w:spacing w:before="120" w:after="120" w:line="360" w:lineRule="auto"/>
              <w:rPr>
                <w:rFonts w:ascii="Times New Roman" w:eastAsia="Times New Roman" w:hAnsi="Times New Roman" w:cs="Times New Roman"/>
                <w:i/>
                <w:iCs/>
                <w:noProof/>
                <w:szCs w:val="24"/>
              </w:rPr>
            </w:pPr>
            <w:r w:rsidRPr="001552C0">
              <w:rPr>
                <w:rFonts w:ascii="Times New Roman" w:eastAsia="Times New Roman" w:hAnsi="Times New Roman" w:cs="Times New Roman"/>
                <w:i/>
                <w:iCs/>
                <w:noProof/>
                <w:szCs w:val="24"/>
              </w:rPr>
              <w:t>Text field [8 000]</w:t>
            </w:r>
          </w:p>
          <w:p w14:paraId="1257C43B" w14:textId="4C7070CC" w:rsidR="00990057" w:rsidRPr="001552C0" w:rsidRDefault="005C1BBE" w:rsidP="0079466B">
            <w:pPr>
              <w:spacing w:before="120" w:after="120"/>
              <w:rPr>
                <w:rFonts w:eastAsia="Times New Roman" w:cstheme="minorHAnsi"/>
                <w:b/>
                <w:i/>
                <w:iCs/>
                <w:noProof/>
                <w:sz w:val="24"/>
                <w:szCs w:val="24"/>
              </w:rPr>
            </w:pPr>
            <w:r>
              <w:rPr>
                <w:rFonts w:eastAsia="Times New Roman" w:cstheme="minorHAnsi"/>
                <w:b/>
                <w:i/>
                <w:iCs/>
                <w:noProof/>
                <w:sz w:val="24"/>
                <w:szCs w:val="24"/>
              </w:rPr>
              <w:t xml:space="preserve">Acțiunea </w:t>
            </w:r>
            <w:r w:rsidR="00B05615" w:rsidRPr="001552C0">
              <w:rPr>
                <w:rFonts w:eastAsia="Times New Roman" w:cstheme="minorHAnsi"/>
                <w:b/>
                <w:i/>
                <w:iCs/>
                <w:noProof/>
                <w:sz w:val="24"/>
                <w:szCs w:val="24"/>
              </w:rPr>
              <w:t xml:space="preserve">3.1 </w:t>
            </w:r>
            <w:r w:rsidR="003332C9" w:rsidRPr="001552C0">
              <w:rPr>
                <w:rFonts w:eastAsia="Times New Roman" w:cstheme="minorHAnsi"/>
                <w:b/>
                <w:i/>
                <w:iCs/>
                <w:noProof/>
                <w:sz w:val="24"/>
                <w:szCs w:val="24"/>
              </w:rPr>
              <w:t>Conservarea b</w:t>
            </w:r>
            <w:r w:rsidR="00990057" w:rsidRPr="001552C0">
              <w:rPr>
                <w:rFonts w:eastAsia="Times New Roman" w:cstheme="minorHAnsi"/>
                <w:b/>
                <w:i/>
                <w:iCs/>
                <w:noProof/>
                <w:sz w:val="24"/>
                <w:szCs w:val="24"/>
              </w:rPr>
              <w:t>iodiversit</w:t>
            </w:r>
            <w:r w:rsidR="003332C9" w:rsidRPr="001552C0">
              <w:rPr>
                <w:rFonts w:eastAsia="Times New Roman" w:cstheme="minorHAnsi"/>
                <w:b/>
                <w:i/>
                <w:iCs/>
                <w:noProof/>
                <w:sz w:val="24"/>
                <w:szCs w:val="24"/>
              </w:rPr>
              <w:t>ății</w:t>
            </w:r>
            <w:r w:rsidR="00FD23B7" w:rsidRPr="001552C0">
              <w:rPr>
                <w:rFonts w:eastAsia="Times New Roman" w:cstheme="minorHAnsi"/>
                <w:b/>
                <w:i/>
                <w:iCs/>
                <w:noProof/>
                <w:sz w:val="24"/>
                <w:szCs w:val="24"/>
              </w:rPr>
              <w:t xml:space="preserve"> pentru a îndeplini cerințele directivelor de mediu</w:t>
            </w:r>
          </w:p>
          <w:p w14:paraId="4CC99996" w14:textId="20A0B250" w:rsidR="00E8387B" w:rsidRPr="001552C0" w:rsidRDefault="00E8387B" w:rsidP="0079466B">
            <w:pPr>
              <w:jc w:val="both"/>
              <w:rPr>
                <w:rFonts w:cstheme="minorHAnsi"/>
                <w:sz w:val="24"/>
                <w:szCs w:val="24"/>
              </w:rPr>
            </w:pPr>
            <w:r w:rsidRPr="001552C0">
              <w:rPr>
                <w:rFonts w:cstheme="minorHAnsi"/>
                <w:sz w:val="24"/>
                <w:szCs w:val="24"/>
              </w:rPr>
              <w:t>Rom</w:t>
            </w:r>
            <w:r w:rsidR="0012007C">
              <w:rPr>
                <w:rFonts w:cstheme="minorHAnsi"/>
                <w:sz w:val="24"/>
                <w:szCs w:val="24"/>
              </w:rPr>
              <w:t>â</w:t>
            </w:r>
            <w:r w:rsidRPr="001552C0">
              <w:rPr>
                <w:rFonts w:cstheme="minorHAnsi"/>
                <w:sz w:val="24"/>
                <w:szCs w:val="24"/>
              </w:rPr>
              <w:t xml:space="preserve">nia, ca </w:t>
            </w:r>
            <w:r w:rsidR="0012007C">
              <w:rPr>
                <w:rFonts w:cstheme="minorHAnsi"/>
                <w:sz w:val="24"/>
                <w:szCs w:val="24"/>
              </w:rPr>
              <w:t>ș</w:t>
            </w:r>
            <w:r w:rsidRPr="001552C0">
              <w:rPr>
                <w:rFonts w:cstheme="minorHAnsi"/>
                <w:sz w:val="24"/>
                <w:szCs w:val="24"/>
              </w:rPr>
              <w:t xml:space="preserve">i toate statele membre ale Uniunii Europene, promovează conservarea naturii </w:t>
            </w:r>
            <w:r w:rsidR="003332C9" w:rsidRPr="001552C0">
              <w:rPr>
                <w:rFonts w:cstheme="minorHAnsi"/>
                <w:sz w:val="24"/>
                <w:szCs w:val="24"/>
              </w:rPr>
              <w:t>utilizând</w:t>
            </w:r>
            <w:r w:rsidRPr="001552C0">
              <w:rPr>
                <w:rFonts w:cstheme="minorHAnsi"/>
                <w:sz w:val="24"/>
                <w:szCs w:val="24"/>
              </w:rPr>
              <w:t xml:space="preserve"> ca instrument principal dezvoltarea rețelei de arii protejate Natura 2000. Siturile din </w:t>
            </w:r>
            <w:r w:rsidR="003332C9" w:rsidRPr="001552C0">
              <w:rPr>
                <w:rFonts w:cstheme="minorHAnsi"/>
                <w:sz w:val="24"/>
                <w:szCs w:val="24"/>
              </w:rPr>
              <w:t>rețeaua</w:t>
            </w:r>
            <w:r w:rsidRPr="001552C0">
              <w:rPr>
                <w:rFonts w:cstheme="minorHAnsi"/>
                <w:sz w:val="24"/>
                <w:szCs w:val="24"/>
              </w:rPr>
              <w:t xml:space="preserve"> Natura 2000 sunt identificate și declarate, pe baze științifice, conform procedurilor </w:t>
            </w:r>
            <w:r w:rsidR="003332C9" w:rsidRPr="001552C0">
              <w:rPr>
                <w:rFonts w:cstheme="minorHAnsi"/>
                <w:sz w:val="24"/>
                <w:szCs w:val="24"/>
              </w:rPr>
              <w:t>prevăzute</w:t>
            </w:r>
            <w:r w:rsidRPr="001552C0">
              <w:rPr>
                <w:rFonts w:cstheme="minorHAnsi"/>
                <w:sz w:val="24"/>
                <w:szCs w:val="24"/>
              </w:rPr>
              <w:t xml:space="preserve"> in </w:t>
            </w:r>
            <w:r w:rsidR="001E4728" w:rsidRPr="001552C0">
              <w:rPr>
                <w:rFonts w:cstheme="minorHAnsi"/>
                <w:sz w:val="24"/>
                <w:szCs w:val="24"/>
              </w:rPr>
              <w:t xml:space="preserve">Directiva 92/43/CEE din 1992 privind Conservarea Habitatelor Naturale și a Faunei și Florei Sălbatice (Directiva Habitate) și Directiva 79/409 din 1979, amendată în 2009 prin Directiva 2009/147/CE privind conservarea păsărilor sălbatice (Directiva </w:t>
            </w:r>
            <w:r w:rsidR="003332C9" w:rsidRPr="001552C0">
              <w:rPr>
                <w:rFonts w:cstheme="minorHAnsi"/>
                <w:sz w:val="24"/>
                <w:szCs w:val="24"/>
              </w:rPr>
              <w:t>păsări</w:t>
            </w:r>
            <w:r w:rsidR="001E4728" w:rsidRPr="001552C0">
              <w:rPr>
                <w:rFonts w:cstheme="minorHAnsi"/>
                <w:sz w:val="24"/>
                <w:szCs w:val="24"/>
              </w:rPr>
              <w:t>)</w:t>
            </w:r>
            <w:r w:rsidRPr="001552C0">
              <w:rPr>
                <w:rFonts w:cstheme="minorHAnsi"/>
                <w:sz w:val="24"/>
                <w:szCs w:val="24"/>
              </w:rPr>
              <w:t xml:space="preserve">. </w:t>
            </w:r>
            <w:r w:rsidR="00334EA1" w:rsidRPr="001552C0">
              <w:rPr>
                <w:rFonts w:cstheme="minorHAnsi"/>
                <w:sz w:val="24"/>
                <w:szCs w:val="24"/>
              </w:rPr>
              <w:t xml:space="preserve">Romania a identificat ariile protejate din </w:t>
            </w:r>
            <w:r w:rsidR="003332C9" w:rsidRPr="001552C0">
              <w:rPr>
                <w:rFonts w:cstheme="minorHAnsi"/>
                <w:sz w:val="24"/>
                <w:szCs w:val="24"/>
              </w:rPr>
              <w:t>Rețeaua</w:t>
            </w:r>
            <w:r w:rsidR="00334EA1" w:rsidRPr="001552C0">
              <w:rPr>
                <w:rFonts w:cstheme="minorHAnsi"/>
                <w:sz w:val="24"/>
                <w:szCs w:val="24"/>
              </w:rPr>
              <w:t xml:space="preserve"> Natura 2000 cu scopul</w:t>
            </w:r>
            <w:r w:rsidRPr="001552C0">
              <w:rPr>
                <w:rFonts w:cstheme="minorHAnsi"/>
                <w:sz w:val="24"/>
                <w:szCs w:val="24"/>
              </w:rPr>
              <w:t xml:space="preserve"> de a menține într-o stare de conservare favorabilă cel</w:t>
            </w:r>
            <w:r w:rsidR="00334EA1" w:rsidRPr="001552C0">
              <w:rPr>
                <w:rFonts w:cstheme="minorHAnsi"/>
                <w:sz w:val="24"/>
                <w:szCs w:val="24"/>
              </w:rPr>
              <w:t>e mai reprezentative</w:t>
            </w:r>
            <w:r w:rsidRPr="001552C0">
              <w:rPr>
                <w:rFonts w:cstheme="minorHAnsi"/>
                <w:sz w:val="24"/>
                <w:szCs w:val="24"/>
              </w:rPr>
              <w:t xml:space="preserve"> tipuri de habitate (enumerate în Anexa I a Di</w:t>
            </w:r>
            <w:r w:rsidR="00B11CFD" w:rsidRPr="001552C0">
              <w:rPr>
                <w:rFonts w:cstheme="minorHAnsi"/>
                <w:sz w:val="24"/>
                <w:szCs w:val="24"/>
              </w:rPr>
              <w:t>rectivei Habitate) și</w:t>
            </w:r>
            <w:r w:rsidRPr="001552C0">
              <w:rPr>
                <w:rFonts w:cstheme="minorHAnsi"/>
                <w:sz w:val="24"/>
                <w:szCs w:val="24"/>
              </w:rPr>
              <w:t xml:space="preserve"> de specii ale Europei (enumerate în Anexa II a Directivei Habitate și în Anexa I a Directivei Păsări).</w:t>
            </w:r>
          </w:p>
          <w:p w14:paraId="0A1058B2" w14:textId="3067086C" w:rsidR="00586BEE" w:rsidRPr="001552C0" w:rsidRDefault="003332C9" w:rsidP="0079466B">
            <w:pPr>
              <w:jc w:val="both"/>
              <w:rPr>
                <w:rFonts w:cstheme="minorHAnsi"/>
                <w:sz w:val="24"/>
                <w:szCs w:val="24"/>
              </w:rPr>
            </w:pPr>
            <w:r w:rsidRPr="001552C0">
              <w:rPr>
                <w:rFonts w:cstheme="minorHAnsi"/>
                <w:sz w:val="24"/>
                <w:szCs w:val="24"/>
              </w:rPr>
              <w:t>Totodată</w:t>
            </w:r>
            <w:r w:rsidR="00983886" w:rsidRPr="001552C0">
              <w:rPr>
                <w:rFonts w:cstheme="minorHAnsi"/>
                <w:sz w:val="24"/>
                <w:szCs w:val="24"/>
              </w:rPr>
              <w:t>, c</w:t>
            </w:r>
            <w:r w:rsidR="00586BEE" w:rsidRPr="001552C0">
              <w:rPr>
                <w:rFonts w:cstheme="minorHAnsi"/>
                <w:sz w:val="24"/>
                <w:szCs w:val="24"/>
              </w:rPr>
              <w:t xml:space="preserve">onform articolului 8 din Directiva Habitate, SM trebuie să elaboreze Cadrul prioritar de acțiune (PAF), care este instrumentul strategic de planificare multianuală care are ca scop furnizarea unei imagini de ansamblu privind măsurile necesare pentru punerea în aplicare a rețelei Natura 2000 la nivel național și a infrastructurii sale ecologice asociate, specificând nevoile de finanțare a acestor măsuri. Astfel, </w:t>
            </w:r>
            <w:r w:rsidR="0012007C">
              <w:rPr>
                <w:rFonts w:cstheme="minorHAnsi"/>
                <w:sz w:val="24"/>
                <w:szCs w:val="24"/>
              </w:rPr>
              <w:t>î</w:t>
            </w:r>
            <w:r w:rsidR="00586BEE" w:rsidRPr="001552C0">
              <w:rPr>
                <w:rFonts w:cstheme="minorHAnsi"/>
                <w:sz w:val="24"/>
                <w:szCs w:val="24"/>
              </w:rPr>
              <w:t xml:space="preserve">n 2018 a fost elaborat PAF pentru perioada 2021-2027, documentul fiind transmis Comisiei Europene. </w:t>
            </w:r>
            <w:r w:rsidR="0012007C">
              <w:rPr>
                <w:rFonts w:cstheme="minorHAnsi"/>
                <w:sz w:val="24"/>
                <w:szCs w:val="24"/>
              </w:rPr>
              <w:t>Î</w:t>
            </w:r>
            <w:r w:rsidR="00586BEE" w:rsidRPr="001552C0">
              <w:rPr>
                <w:rFonts w:cstheme="minorHAnsi"/>
                <w:sz w:val="24"/>
                <w:szCs w:val="24"/>
              </w:rPr>
              <w:t>n PAF este prezentat modul de finanțare din diverse surse și programe a obiectivelor identificate.</w:t>
            </w:r>
          </w:p>
          <w:p w14:paraId="40619D28" w14:textId="7BBAE23C" w:rsidR="00E8387B" w:rsidRPr="001552C0" w:rsidRDefault="00E8387B" w:rsidP="0079466B">
            <w:pPr>
              <w:jc w:val="both"/>
              <w:rPr>
                <w:rFonts w:cstheme="minorHAnsi"/>
                <w:sz w:val="24"/>
                <w:szCs w:val="24"/>
              </w:rPr>
            </w:pPr>
            <w:r w:rsidRPr="001552C0">
              <w:rPr>
                <w:rFonts w:cstheme="minorHAnsi"/>
                <w:sz w:val="24"/>
                <w:szCs w:val="24"/>
              </w:rPr>
              <w:t xml:space="preserve">Managementul ariilor naturale protejate se realizează din mai 2017 de către Agenția </w:t>
            </w:r>
            <w:r w:rsidRPr="001552C0">
              <w:rPr>
                <w:rFonts w:cstheme="minorHAnsi"/>
                <w:sz w:val="24"/>
                <w:szCs w:val="24"/>
              </w:rPr>
              <w:lastRenderedPageBreak/>
              <w:t xml:space="preserve">Națională pentru Arii Naturale Protejate (ANANP) </w:t>
            </w:r>
            <w:r w:rsidR="0012007C">
              <w:rPr>
                <w:rFonts w:cstheme="minorHAnsi"/>
                <w:sz w:val="24"/>
                <w:szCs w:val="24"/>
              </w:rPr>
              <w:t>ș</w:t>
            </w:r>
            <w:r w:rsidRPr="001552C0">
              <w:rPr>
                <w:rFonts w:cstheme="minorHAnsi"/>
                <w:sz w:val="24"/>
                <w:szCs w:val="24"/>
              </w:rPr>
              <w:t>i entități terțe care dețin calitatea de administrator în baza contractelor de administrare încheiate cu ANANP.</w:t>
            </w:r>
          </w:p>
          <w:p w14:paraId="78DBD754" w14:textId="4B86112E" w:rsidR="00501E11" w:rsidRPr="001552C0" w:rsidRDefault="00501E11" w:rsidP="0079466B">
            <w:pPr>
              <w:jc w:val="both"/>
              <w:rPr>
                <w:rFonts w:cstheme="minorHAnsi"/>
                <w:sz w:val="24"/>
                <w:szCs w:val="24"/>
              </w:rPr>
            </w:pPr>
            <w:r w:rsidRPr="001552C0">
              <w:rPr>
                <w:rFonts w:cstheme="minorHAnsi"/>
                <w:sz w:val="24"/>
                <w:szCs w:val="24"/>
              </w:rPr>
              <w:t>R</w:t>
            </w:r>
            <w:r w:rsidR="00287641" w:rsidRPr="001552C0">
              <w:rPr>
                <w:rFonts w:cstheme="minorHAnsi"/>
                <w:sz w:val="24"/>
                <w:szCs w:val="24"/>
              </w:rPr>
              <w:t>ețeaua Natura 2000 în România are</w:t>
            </w:r>
            <w:r w:rsidRPr="001552C0">
              <w:rPr>
                <w:rFonts w:cstheme="minorHAnsi"/>
                <w:sz w:val="24"/>
                <w:szCs w:val="24"/>
              </w:rPr>
              <w:t xml:space="preserve"> 606 situri: 435 </w:t>
            </w:r>
            <w:r w:rsidR="005860A0" w:rsidRPr="001552C0">
              <w:rPr>
                <w:rFonts w:cstheme="minorHAnsi"/>
                <w:sz w:val="24"/>
                <w:szCs w:val="24"/>
              </w:rPr>
              <w:t>Situri de Importanţă Comunitară (</w:t>
            </w:r>
            <w:r w:rsidRPr="001552C0">
              <w:rPr>
                <w:rFonts w:cstheme="minorHAnsi"/>
                <w:sz w:val="24"/>
                <w:szCs w:val="24"/>
              </w:rPr>
              <w:t>SCI</w:t>
            </w:r>
            <w:r w:rsidR="005860A0" w:rsidRPr="001552C0">
              <w:rPr>
                <w:rFonts w:cstheme="minorHAnsi"/>
                <w:sz w:val="24"/>
                <w:szCs w:val="24"/>
              </w:rPr>
              <w:t>)</w:t>
            </w:r>
            <w:r w:rsidRPr="001552C0">
              <w:rPr>
                <w:rFonts w:cstheme="minorHAnsi"/>
                <w:sz w:val="24"/>
                <w:szCs w:val="24"/>
              </w:rPr>
              <w:t xml:space="preserve">-uri şi 171 </w:t>
            </w:r>
            <w:r w:rsidR="005860A0" w:rsidRPr="001552C0">
              <w:rPr>
                <w:rFonts w:cstheme="minorHAnsi"/>
                <w:sz w:val="24"/>
                <w:szCs w:val="24"/>
              </w:rPr>
              <w:t>Situri de Protecţie Specială Avifaunistică (</w:t>
            </w:r>
            <w:r w:rsidRPr="001552C0">
              <w:rPr>
                <w:rFonts w:cstheme="minorHAnsi"/>
                <w:sz w:val="24"/>
                <w:szCs w:val="24"/>
              </w:rPr>
              <w:t>SPA-uri</w:t>
            </w:r>
            <w:r w:rsidR="005860A0" w:rsidRPr="001552C0">
              <w:rPr>
                <w:rFonts w:cstheme="minorHAnsi"/>
                <w:sz w:val="24"/>
                <w:szCs w:val="24"/>
              </w:rPr>
              <w:t>)</w:t>
            </w:r>
            <w:r w:rsidRPr="001552C0">
              <w:rPr>
                <w:rFonts w:cstheme="minorHAnsi"/>
                <w:sz w:val="24"/>
                <w:szCs w:val="24"/>
              </w:rPr>
              <w:t xml:space="preserve">, ceea ce reprezintă 22,8% din suprafaţa teritoriului național. </w:t>
            </w:r>
          </w:p>
          <w:p w14:paraId="701AB963" w14:textId="269D6338" w:rsidR="003227D4" w:rsidRPr="001552C0" w:rsidRDefault="003227D4" w:rsidP="0079466B">
            <w:pPr>
              <w:jc w:val="both"/>
              <w:rPr>
                <w:rFonts w:cstheme="minorHAnsi"/>
                <w:sz w:val="24"/>
                <w:szCs w:val="24"/>
              </w:rPr>
            </w:pPr>
            <w:r w:rsidRPr="001552C0">
              <w:rPr>
                <w:rFonts w:cstheme="minorHAnsi"/>
                <w:sz w:val="24"/>
                <w:szCs w:val="24"/>
              </w:rPr>
              <w:t>La nivelul rețelei Natura 2000, 54,4% din suprafața SCI-urilor și 40% din suprafața SPA-urilor este ocupată</w:t>
            </w:r>
            <w:r w:rsidR="00131AFC" w:rsidRPr="001552C0">
              <w:t xml:space="preserve"> </w:t>
            </w:r>
            <w:r w:rsidR="00131AFC" w:rsidRPr="001552C0">
              <w:rPr>
                <w:rFonts w:cstheme="minorHAnsi"/>
                <w:sz w:val="24"/>
                <w:szCs w:val="24"/>
              </w:rPr>
              <w:t>cu terenuri cu categoria de folosință pădure;</w:t>
            </w:r>
            <w:r w:rsidRPr="001552C0">
              <w:rPr>
                <w:rFonts w:cstheme="minorHAnsi"/>
                <w:sz w:val="24"/>
                <w:szCs w:val="24"/>
              </w:rPr>
              <w:t xml:space="preserve"> zonele cu vegetație de arbuști și pășuni</w:t>
            </w:r>
            <w:r w:rsidR="00131AFC" w:rsidRPr="001552C0">
              <w:rPr>
                <w:rFonts w:cstheme="minorHAnsi"/>
                <w:sz w:val="24"/>
                <w:szCs w:val="24"/>
              </w:rPr>
              <w:t xml:space="preserve"> acoperă</w:t>
            </w:r>
            <w:r w:rsidRPr="001552C0">
              <w:rPr>
                <w:rFonts w:cstheme="minorHAnsi"/>
                <w:sz w:val="24"/>
                <w:szCs w:val="24"/>
              </w:rPr>
              <w:t xml:space="preserve"> 18,5% </w:t>
            </w:r>
            <w:r w:rsidR="00131AFC" w:rsidRPr="001552C0">
              <w:rPr>
                <w:rFonts w:cstheme="minorHAnsi"/>
                <w:sz w:val="24"/>
                <w:szCs w:val="24"/>
              </w:rPr>
              <w:t xml:space="preserve">în </w:t>
            </w:r>
            <w:r w:rsidRPr="001552C0">
              <w:rPr>
                <w:rFonts w:cstheme="minorHAnsi"/>
                <w:sz w:val="24"/>
                <w:szCs w:val="24"/>
              </w:rPr>
              <w:t>SCI</w:t>
            </w:r>
            <w:r w:rsidR="00131AFC" w:rsidRPr="001552C0">
              <w:rPr>
                <w:rFonts w:cstheme="minorHAnsi"/>
                <w:sz w:val="24"/>
                <w:szCs w:val="24"/>
              </w:rPr>
              <w:t xml:space="preserve"> și</w:t>
            </w:r>
            <w:r w:rsidRPr="001552C0">
              <w:rPr>
                <w:rFonts w:cstheme="minorHAnsi"/>
                <w:sz w:val="24"/>
                <w:szCs w:val="24"/>
              </w:rPr>
              <w:t xml:space="preserve"> 19,8% </w:t>
            </w:r>
            <w:r w:rsidR="00131AFC" w:rsidRPr="001552C0">
              <w:rPr>
                <w:rFonts w:cstheme="minorHAnsi"/>
                <w:sz w:val="24"/>
                <w:szCs w:val="24"/>
              </w:rPr>
              <w:t xml:space="preserve">în </w:t>
            </w:r>
            <w:r w:rsidRPr="001552C0">
              <w:rPr>
                <w:rFonts w:cstheme="minorHAnsi"/>
                <w:sz w:val="24"/>
                <w:szCs w:val="24"/>
              </w:rPr>
              <w:t xml:space="preserve">SPA, </w:t>
            </w:r>
            <w:r w:rsidR="00131AFC" w:rsidRPr="001552C0">
              <w:rPr>
                <w:rFonts w:cstheme="minorHAnsi"/>
                <w:sz w:val="24"/>
                <w:szCs w:val="24"/>
              </w:rPr>
              <w:t xml:space="preserve"> iar categoria de folosință de</w:t>
            </w:r>
            <w:r w:rsidRPr="001552C0">
              <w:rPr>
                <w:rFonts w:cstheme="minorHAnsi"/>
                <w:sz w:val="24"/>
                <w:szCs w:val="24"/>
              </w:rPr>
              <w:t xml:space="preserve"> terenuri arabile </w:t>
            </w:r>
            <w:r w:rsidR="00131AFC" w:rsidRPr="001552C0">
              <w:rPr>
                <w:rFonts w:cstheme="minorHAnsi"/>
                <w:sz w:val="24"/>
                <w:szCs w:val="24"/>
              </w:rPr>
              <w:t xml:space="preserve">acoperă </w:t>
            </w:r>
            <w:r w:rsidRPr="001552C0">
              <w:rPr>
                <w:rFonts w:cstheme="minorHAnsi"/>
                <w:sz w:val="24"/>
                <w:szCs w:val="24"/>
              </w:rPr>
              <w:t xml:space="preserve">5,4% </w:t>
            </w:r>
            <w:r w:rsidR="00131AFC" w:rsidRPr="001552C0">
              <w:rPr>
                <w:rFonts w:cstheme="minorHAnsi"/>
                <w:sz w:val="24"/>
                <w:szCs w:val="24"/>
              </w:rPr>
              <w:t xml:space="preserve">în </w:t>
            </w:r>
            <w:r w:rsidRPr="001552C0">
              <w:rPr>
                <w:rFonts w:cstheme="minorHAnsi"/>
                <w:sz w:val="24"/>
                <w:szCs w:val="24"/>
              </w:rPr>
              <w:t>SCI</w:t>
            </w:r>
            <w:r w:rsidR="00131AFC" w:rsidRPr="001552C0">
              <w:rPr>
                <w:rFonts w:cstheme="minorHAnsi"/>
                <w:sz w:val="24"/>
                <w:szCs w:val="24"/>
              </w:rPr>
              <w:t xml:space="preserve"> și</w:t>
            </w:r>
            <w:r w:rsidRPr="001552C0">
              <w:rPr>
                <w:rFonts w:cstheme="minorHAnsi"/>
                <w:sz w:val="24"/>
                <w:szCs w:val="24"/>
              </w:rPr>
              <w:t xml:space="preserve"> 14,5% </w:t>
            </w:r>
            <w:r w:rsidR="00131AFC" w:rsidRPr="001552C0">
              <w:rPr>
                <w:rFonts w:cstheme="minorHAnsi"/>
                <w:sz w:val="24"/>
                <w:szCs w:val="24"/>
              </w:rPr>
              <w:t xml:space="preserve">în </w:t>
            </w:r>
            <w:r w:rsidRPr="001552C0">
              <w:rPr>
                <w:rFonts w:cstheme="minorHAnsi"/>
                <w:sz w:val="24"/>
                <w:szCs w:val="24"/>
              </w:rPr>
              <w:t>SPA.</w:t>
            </w:r>
            <w:r w:rsidR="00131AFC" w:rsidRPr="001552C0">
              <w:rPr>
                <w:rFonts w:cstheme="minorHAnsi"/>
                <w:sz w:val="24"/>
                <w:szCs w:val="24"/>
              </w:rPr>
              <w:t xml:space="preserve"> </w:t>
            </w:r>
            <w:r w:rsidRPr="001552C0">
              <w:rPr>
                <w:rFonts w:cstheme="minorHAnsi"/>
                <w:sz w:val="24"/>
                <w:szCs w:val="24"/>
              </w:rPr>
              <w:t xml:space="preserve">Zonele </w:t>
            </w:r>
            <w:r w:rsidR="00131AFC" w:rsidRPr="001552C0">
              <w:rPr>
                <w:rFonts w:cstheme="minorHAnsi"/>
                <w:sz w:val="24"/>
                <w:szCs w:val="24"/>
              </w:rPr>
              <w:t>construite în</w:t>
            </w:r>
            <w:r w:rsidRPr="001552C0">
              <w:rPr>
                <w:rFonts w:cstheme="minorHAnsi"/>
                <w:sz w:val="24"/>
                <w:szCs w:val="24"/>
              </w:rPr>
              <w:t xml:space="preserve"> Natura 2000 ocupă 0,73% SCI și 0,95% SPA.</w:t>
            </w:r>
          </w:p>
          <w:p w14:paraId="59682486" w14:textId="19CDDD9F" w:rsidR="00501E11" w:rsidRPr="001552C0" w:rsidRDefault="00501E11" w:rsidP="0079466B">
            <w:pPr>
              <w:jc w:val="both"/>
              <w:rPr>
                <w:rFonts w:cstheme="minorHAnsi"/>
                <w:sz w:val="24"/>
                <w:szCs w:val="24"/>
              </w:rPr>
            </w:pPr>
            <w:r w:rsidRPr="001552C0">
              <w:rPr>
                <w:rFonts w:cstheme="minorHAnsi"/>
                <w:sz w:val="24"/>
                <w:szCs w:val="24"/>
              </w:rPr>
              <w:t xml:space="preserve">În prezent sunt </w:t>
            </w:r>
            <w:r w:rsidR="00131AFC" w:rsidRPr="001552C0">
              <w:rPr>
                <w:rFonts w:cstheme="minorHAnsi"/>
                <w:sz w:val="24"/>
                <w:szCs w:val="24"/>
              </w:rPr>
              <w:t xml:space="preserve">aprobate </w:t>
            </w:r>
            <w:r w:rsidRPr="001552C0">
              <w:rPr>
                <w:rFonts w:cstheme="minorHAnsi"/>
                <w:sz w:val="24"/>
                <w:szCs w:val="24"/>
              </w:rPr>
              <w:t>doar 3</w:t>
            </w:r>
            <w:r w:rsidR="00131AFC" w:rsidRPr="001552C0">
              <w:rPr>
                <w:rFonts w:cstheme="minorHAnsi"/>
                <w:sz w:val="24"/>
                <w:szCs w:val="24"/>
              </w:rPr>
              <w:t>00</w:t>
            </w:r>
            <w:r w:rsidRPr="001552C0">
              <w:rPr>
                <w:rFonts w:cstheme="minorHAnsi"/>
                <w:sz w:val="24"/>
                <w:szCs w:val="24"/>
              </w:rPr>
              <w:t xml:space="preserve"> de planuri de management pentru sit-urile Natura 2000 (</w:t>
            </w:r>
            <w:r w:rsidR="00131AFC" w:rsidRPr="001552C0">
              <w:rPr>
                <w:rFonts w:cstheme="minorHAnsi"/>
                <w:sz w:val="24"/>
                <w:szCs w:val="24"/>
              </w:rPr>
              <w:t>pentru 215</w:t>
            </w:r>
            <w:r w:rsidRPr="001552C0">
              <w:rPr>
                <w:rFonts w:cstheme="minorHAnsi"/>
                <w:sz w:val="24"/>
                <w:szCs w:val="24"/>
              </w:rPr>
              <w:t xml:space="preserve"> SCI și </w:t>
            </w:r>
            <w:r w:rsidR="00131AFC" w:rsidRPr="001552C0">
              <w:rPr>
                <w:rFonts w:cstheme="minorHAnsi"/>
                <w:sz w:val="24"/>
                <w:szCs w:val="24"/>
              </w:rPr>
              <w:t>85</w:t>
            </w:r>
            <w:r w:rsidRPr="001552C0">
              <w:rPr>
                <w:rFonts w:cstheme="minorHAnsi"/>
                <w:sz w:val="24"/>
                <w:szCs w:val="24"/>
              </w:rPr>
              <w:t xml:space="preserve"> SPA), din cele 606 necesare pentru a acoperi toată rețeaua</w:t>
            </w:r>
            <w:r w:rsidR="00087621" w:rsidRPr="001552C0">
              <w:rPr>
                <w:rFonts w:cstheme="minorHAnsi"/>
                <w:sz w:val="24"/>
                <w:szCs w:val="24"/>
              </w:rPr>
              <w:t xml:space="preserve">, ceea ce </w:t>
            </w:r>
            <w:r w:rsidR="00F2759A" w:rsidRPr="001552C0">
              <w:rPr>
                <w:rFonts w:cstheme="minorHAnsi"/>
                <w:sz w:val="24"/>
                <w:szCs w:val="24"/>
              </w:rPr>
              <w:t>înseamnă</w:t>
            </w:r>
            <w:r w:rsidR="00087621" w:rsidRPr="001552C0">
              <w:rPr>
                <w:rFonts w:cstheme="minorHAnsi"/>
                <w:sz w:val="24"/>
                <w:szCs w:val="24"/>
              </w:rPr>
              <w:t xml:space="preserve"> c</w:t>
            </w:r>
            <w:r w:rsidR="00F2759A" w:rsidRPr="001552C0">
              <w:rPr>
                <w:rFonts w:cstheme="minorHAnsi"/>
                <w:sz w:val="24"/>
                <w:szCs w:val="24"/>
              </w:rPr>
              <w:t>ă</w:t>
            </w:r>
            <w:r w:rsidR="00087621" w:rsidRPr="001552C0">
              <w:rPr>
                <w:rFonts w:cstheme="minorHAnsi"/>
                <w:sz w:val="24"/>
                <w:szCs w:val="24"/>
              </w:rPr>
              <w:t xml:space="preserve"> 4</w:t>
            </w:r>
            <w:r w:rsidR="00131AFC" w:rsidRPr="001552C0">
              <w:rPr>
                <w:rFonts w:cstheme="minorHAnsi"/>
                <w:sz w:val="24"/>
                <w:szCs w:val="24"/>
              </w:rPr>
              <w:t>9,50</w:t>
            </w:r>
            <w:r w:rsidR="00087621" w:rsidRPr="001552C0">
              <w:rPr>
                <w:rFonts w:cstheme="minorHAnsi"/>
                <w:sz w:val="24"/>
                <w:szCs w:val="24"/>
              </w:rPr>
              <w:t>% din siturile Natura 2000 au planuri de management</w:t>
            </w:r>
            <w:r w:rsidRPr="001552C0">
              <w:rPr>
                <w:rFonts w:cstheme="minorHAnsi"/>
                <w:sz w:val="24"/>
                <w:szCs w:val="24"/>
              </w:rPr>
              <w:t>.</w:t>
            </w:r>
            <w:r w:rsidR="00C853E7" w:rsidRPr="001552C0">
              <w:rPr>
                <w:rFonts w:cstheme="minorHAnsi"/>
                <w:sz w:val="24"/>
                <w:szCs w:val="24"/>
              </w:rPr>
              <w:t xml:space="preserve"> </w:t>
            </w:r>
            <w:r w:rsidRPr="001552C0">
              <w:rPr>
                <w:rFonts w:cstheme="minorHAnsi"/>
                <w:sz w:val="24"/>
                <w:szCs w:val="24"/>
              </w:rPr>
              <w:t xml:space="preserve">Cele mai multe planuri (126) au fost aprobate în 2016-2017, prin urmare nu se poate realiza o evaluare a rezultatelor procesului de implementare. </w:t>
            </w:r>
          </w:p>
          <w:p w14:paraId="42BA18F6" w14:textId="714DF570" w:rsidR="00131AFC" w:rsidRPr="001552C0" w:rsidRDefault="00131AFC" w:rsidP="00131AFC">
            <w:pPr>
              <w:jc w:val="both"/>
              <w:rPr>
                <w:rFonts w:cstheme="minorHAnsi"/>
                <w:sz w:val="24"/>
                <w:szCs w:val="24"/>
              </w:rPr>
            </w:pPr>
            <w:r w:rsidRPr="001552C0">
              <w:rPr>
                <w:rFonts w:cstheme="minorHAnsi"/>
                <w:sz w:val="24"/>
                <w:szCs w:val="24"/>
              </w:rPr>
              <w:t xml:space="preserve"> </w:t>
            </w:r>
            <w:r w:rsidR="0012007C">
              <w:rPr>
                <w:rFonts w:cstheme="minorHAnsi"/>
                <w:sz w:val="24"/>
                <w:szCs w:val="24"/>
              </w:rPr>
              <w:t xml:space="preserve">Așadar, </w:t>
            </w:r>
            <w:r w:rsidRPr="001552C0">
              <w:rPr>
                <w:rFonts w:cstheme="minorHAnsi"/>
                <w:sz w:val="24"/>
                <w:szCs w:val="24"/>
              </w:rPr>
              <w:t>au rămas aproximativ 200 de situri Natura 2000 fără planuri de management elaborate, iar un număr de aproximativ 80-90 planuri de management sunt în curs de elaborare prin POIM, urmând a fi finalizate și aprobate până la finalul anului 2023.</w:t>
            </w:r>
          </w:p>
          <w:p w14:paraId="06D25E39" w14:textId="2E6B3126" w:rsidR="00E8387B" w:rsidRPr="001552C0" w:rsidRDefault="00693855" w:rsidP="0079466B">
            <w:pPr>
              <w:jc w:val="both"/>
              <w:rPr>
                <w:rFonts w:cstheme="minorHAnsi"/>
                <w:sz w:val="24"/>
                <w:szCs w:val="24"/>
              </w:rPr>
            </w:pPr>
            <w:r w:rsidRPr="001552C0">
              <w:rPr>
                <w:rFonts w:cstheme="minorHAnsi"/>
                <w:sz w:val="24"/>
                <w:szCs w:val="24"/>
              </w:rPr>
              <w:t>Totodată</w:t>
            </w:r>
            <w:r w:rsidR="003227D4" w:rsidRPr="001552C0">
              <w:rPr>
                <w:rFonts w:cstheme="minorHAnsi"/>
                <w:sz w:val="24"/>
                <w:szCs w:val="24"/>
              </w:rPr>
              <w:t>, trebuie reamintit c</w:t>
            </w:r>
            <w:r w:rsidR="0012007C">
              <w:rPr>
                <w:rFonts w:cstheme="minorHAnsi"/>
                <w:sz w:val="24"/>
                <w:szCs w:val="24"/>
              </w:rPr>
              <w:t>ă</w:t>
            </w:r>
            <w:r w:rsidR="003227D4" w:rsidRPr="001552C0">
              <w:rPr>
                <w:rFonts w:cstheme="minorHAnsi"/>
                <w:sz w:val="24"/>
                <w:szCs w:val="24"/>
              </w:rPr>
              <w:t xml:space="preserve"> </w:t>
            </w:r>
            <w:r w:rsidR="0012007C">
              <w:rPr>
                <w:rFonts w:cstheme="minorHAnsi"/>
                <w:sz w:val="24"/>
                <w:szCs w:val="24"/>
              </w:rPr>
              <w:t>î</w:t>
            </w:r>
            <w:r w:rsidR="00E8387B" w:rsidRPr="001552C0">
              <w:rPr>
                <w:rFonts w:cstheme="minorHAnsi"/>
                <w:sz w:val="24"/>
                <w:szCs w:val="24"/>
              </w:rPr>
              <w:t xml:space="preserve">n anul 2020 a fost demarat procesul de elaborare a </w:t>
            </w:r>
            <w:r w:rsidRPr="001552C0">
              <w:rPr>
                <w:rFonts w:cstheme="minorHAnsi"/>
                <w:sz w:val="24"/>
                <w:szCs w:val="24"/>
              </w:rPr>
              <w:t>obiectivelor</w:t>
            </w:r>
            <w:r w:rsidR="00E8387B" w:rsidRPr="001552C0">
              <w:rPr>
                <w:rFonts w:cstheme="minorHAnsi"/>
                <w:sz w:val="24"/>
                <w:szCs w:val="24"/>
              </w:rPr>
              <w:t xml:space="preserve"> specifice de conservare pentru siturile Natura 2000. Pentru soluţionarea situaţiilor în care lipsesc obiective specifice pentru situri, ANANP a elaborat Planul de acţiune referitor la aprobarea normelor de implementare a obiectivelor de conservare pentru ariile naturale protejate care au plan de management aprobat şi de elaborare a setului de măsuri minime de conservare / obiective specifice premergătoare aprobării planului de management pentru ariile naturale protejate. Acesta prezintă abordarea propusă de ANANP pentru stabilirea obiectivelor specifice de conservare pentru toate ariile protejate şi stabileşte etapele necesar a fi urmate pentru fiecare situaţie distinctă (ex: stabilirea unor parametri comuni pentru habitate şi specii, pentru a fi utilizaţi în stabilirea obiectivelor de conservare sau stabilirea surselor de informaţii acceptabile pentru identificarea datelor necesare). Planul stabileşte ca termen un maxim de 90 de zile de la intrarea lui în vigoare pentru stabilirea parametrilor necesari şi pentru începerea procesului de stabilire a obiectivelor specifice. </w:t>
            </w:r>
          </w:p>
          <w:p w14:paraId="4F7552E0" w14:textId="7A11A7F4" w:rsidR="00E8387B" w:rsidRPr="001552C0" w:rsidRDefault="00E8387B" w:rsidP="0079466B">
            <w:pPr>
              <w:jc w:val="both"/>
              <w:rPr>
                <w:rFonts w:cstheme="minorHAnsi"/>
                <w:sz w:val="24"/>
                <w:szCs w:val="24"/>
              </w:rPr>
            </w:pPr>
            <w:r w:rsidRPr="001552C0">
              <w:rPr>
                <w:rFonts w:cstheme="minorHAnsi"/>
                <w:sz w:val="24"/>
                <w:szCs w:val="24"/>
              </w:rPr>
              <w:t xml:space="preserve">Un alt subiect important </w:t>
            </w:r>
            <w:r w:rsidR="0067436E" w:rsidRPr="001552C0">
              <w:rPr>
                <w:rFonts w:cstheme="minorHAnsi"/>
                <w:sz w:val="24"/>
                <w:szCs w:val="24"/>
              </w:rPr>
              <w:t>abordat</w:t>
            </w:r>
            <w:r w:rsidRPr="001552C0">
              <w:rPr>
                <w:rFonts w:cstheme="minorHAnsi"/>
                <w:sz w:val="24"/>
                <w:szCs w:val="24"/>
              </w:rPr>
              <w:t xml:space="preserve"> în Planul de acţiune </w:t>
            </w:r>
            <w:r w:rsidR="0067436E" w:rsidRPr="001552C0">
              <w:rPr>
                <w:rFonts w:cstheme="minorHAnsi"/>
                <w:sz w:val="24"/>
                <w:szCs w:val="24"/>
              </w:rPr>
              <w:t xml:space="preserve">elaborat de ANANP </w:t>
            </w:r>
            <w:r w:rsidRPr="001552C0">
              <w:rPr>
                <w:rFonts w:cstheme="minorHAnsi"/>
                <w:sz w:val="24"/>
                <w:szCs w:val="24"/>
              </w:rPr>
              <w:t xml:space="preserve">este situaţia siturilor care au Planuri de Management, dar a căror valabilitate va expira în următorii ani. Majoritatea Planurilor de Management din România au fost elaborate în perioada 2011 – 2016, având o valabilitate de 5 ani. Astfel, majoritatea Planurilor de Management vor necesita o actualizare, iar realizarea acesteia va impune necesitatea unor resurse suplimentare, în special pentru actualizarea /extinderea inventarierilor şi cartărilor </w:t>
            </w:r>
            <w:r w:rsidRPr="001552C0">
              <w:rPr>
                <w:rFonts w:cstheme="minorHAnsi"/>
                <w:sz w:val="24"/>
                <w:szCs w:val="24"/>
              </w:rPr>
              <w:lastRenderedPageBreak/>
              <w:t>habita</w:t>
            </w:r>
            <w:r w:rsidR="000D526C" w:rsidRPr="001552C0">
              <w:rPr>
                <w:rFonts w:cstheme="minorHAnsi"/>
                <w:sz w:val="24"/>
                <w:szCs w:val="24"/>
              </w:rPr>
              <w:t>telor şi speciilor de interes C</w:t>
            </w:r>
            <w:r w:rsidRPr="001552C0">
              <w:rPr>
                <w:rFonts w:cstheme="minorHAnsi"/>
                <w:sz w:val="24"/>
                <w:szCs w:val="24"/>
              </w:rPr>
              <w:t xml:space="preserve">omunitar. Intensificarea eforturilor pentru colectarea de date despre habitatele şi speciile de interes Comunitar este de asemenea o acţiune prioritară, enunţată în Raportul Comisiei Europene referitor la politicile </w:t>
            </w:r>
            <w:r w:rsidR="0067436E" w:rsidRPr="001552C0">
              <w:rPr>
                <w:rFonts w:cstheme="minorHAnsi"/>
                <w:sz w:val="24"/>
                <w:szCs w:val="24"/>
              </w:rPr>
              <w:t>de mediu, elaborat în anul 2019</w:t>
            </w:r>
            <w:r w:rsidRPr="001552C0">
              <w:rPr>
                <w:rFonts w:cstheme="minorHAnsi"/>
                <w:sz w:val="24"/>
                <w:szCs w:val="24"/>
              </w:rPr>
              <w:t>. Administrarea adecvată a siturilor Natura 2000 va necesita</w:t>
            </w:r>
            <w:r w:rsidR="0012007C">
              <w:rPr>
                <w:rFonts w:cstheme="minorHAnsi"/>
                <w:sz w:val="24"/>
                <w:szCs w:val="24"/>
              </w:rPr>
              <w:t>,</w:t>
            </w:r>
            <w:r w:rsidRPr="001552C0">
              <w:rPr>
                <w:rFonts w:cstheme="minorHAnsi"/>
                <w:sz w:val="24"/>
                <w:szCs w:val="24"/>
              </w:rPr>
              <w:t xml:space="preserve"> de asemenea</w:t>
            </w:r>
            <w:r w:rsidR="0012007C">
              <w:rPr>
                <w:rFonts w:cstheme="minorHAnsi"/>
                <w:sz w:val="24"/>
                <w:szCs w:val="24"/>
              </w:rPr>
              <w:t>,</w:t>
            </w:r>
            <w:r w:rsidRPr="001552C0">
              <w:rPr>
                <w:rFonts w:cstheme="minorHAnsi"/>
                <w:sz w:val="24"/>
                <w:szCs w:val="24"/>
              </w:rPr>
              <w:t xml:space="preserve"> resurse suplimentare, în principal adresate implementării măsurilor de conservare prevăzute în Planurile de Management şi realizării monitorizărilor pe termen lung a habitatelor şi speciilor de interes Comunitar.</w:t>
            </w:r>
          </w:p>
          <w:p w14:paraId="3251E1E5" w14:textId="55C66484" w:rsidR="00501E11" w:rsidRPr="001552C0" w:rsidRDefault="0012007C" w:rsidP="0079466B">
            <w:pPr>
              <w:jc w:val="both"/>
              <w:rPr>
                <w:rFonts w:cstheme="minorHAnsi"/>
                <w:sz w:val="24"/>
                <w:szCs w:val="24"/>
              </w:rPr>
            </w:pPr>
            <w:r>
              <w:rPr>
                <w:rFonts w:cstheme="minorHAnsi"/>
                <w:sz w:val="24"/>
                <w:szCs w:val="24"/>
              </w:rPr>
              <w:t>Totodată</w:t>
            </w:r>
            <w:r w:rsidR="001E4728" w:rsidRPr="001552C0">
              <w:rPr>
                <w:rFonts w:cstheme="minorHAnsi"/>
                <w:sz w:val="24"/>
                <w:szCs w:val="24"/>
              </w:rPr>
              <w:t xml:space="preserve">, </w:t>
            </w:r>
            <w:r w:rsidR="00C072CD">
              <w:rPr>
                <w:rFonts w:cstheme="minorHAnsi"/>
                <w:sz w:val="24"/>
                <w:szCs w:val="24"/>
              </w:rPr>
              <w:t>î</w:t>
            </w:r>
            <w:r w:rsidR="00501E11" w:rsidRPr="001552C0">
              <w:rPr>
                <w:rFonts w:cstheme="minorHAnsi"/>
                <w:sz w:val="24"/>
                <w:szCs w:val="24"/>
              </w:rPr>
              <w:t xml:space="preserve">n vederea unui management eficient al rețelei Natura 2000 la nivel național se impune o întărire semnificativă a capacității administrative a ANANP, inclusiv a structurilor teritoriale astfel încât  sistemul să devină operațional și să fie asigurat un management participativ al siturilor. </w:t>
            </w:r>
          </w:p>
          <w:p w14:paraId="57E063DE" w14:textId="21C973B0" w:rsidR="00D709D5" w:rsidRPr="001552C0" w:rsidRDefault="00C072CD" w:rsidP="0079466B">
            <w:pPr>
              <w:jc w:val="both"/>
              <w:rPr>
                <w:rFonts w:eastAsia="Times New Roman" w:cstheme="minorHAnsi"/>
                <w:iCs/>
                <w:noProof/>
                <w:sz w:val="24"/>
                <w:szCs w:val="24"/>
              </w:rPr>
            </w:pPr>
            <w:r>
              <w:rPr>
                <w:rFonts w:eastAsia="Times New Roman" w:cstheme="minorHAnsi"/>
                <w:iCs/>
                <w:noProof/>
                <w:sz w:val="24"/>
                <w:szCs w:val="24"/>
              </w:rPr>
              <w:t>Î</w:t>
            </w:r>
            <w:r w:rsidR="0015612A" w:rsidRPr="001552C0">
              <w:rPr>
                <w:rFonts w:eastAsia="Times New Roman" w:cstheme="minorHAnsi"/>
                <w:iCs/>
                <w:noProof/>
                <w:sz w:val="24"/>
                <w:szCs w:val="24"/>
              </w:rPr>
              <w:t xml:space="preserve">n  </w:t>
            </w:r>
            <w:r>
              <w:rPr>
                <w:rFonts w:eastAsia="Times New Roman" w:cstheme="minorHAnsi"/>
                <w:iCs/>
                <w:noProof/>
                <w:sz w:val="24"/>
                <w:szCs w:val="24"/>
              </w:rPr>
              <w:t xml:space="preserve">scopul </w:t>
            </w:r>
            <w:r w:rsidR="0015612A" w:rsidRPr="001552C0">
              <w:rPr>
                <w:rFonts w:eastAsia="Times New Roman" w:cstheme="minorHAnsi"/>
                <w:iCs/>
                <w:noProof/>
                <w:sz w:val="24"/>
                <w:szCs w:val="24"/>
              </w:rPr>
              <w:t>asigur</w:t>
            </w:r>
            <w:r>
              <w:rPr>
                <w:rFonts w:eastAsia="Times New Roman" w:cstheme="minorHAnsi"/>
                <w:iCs/>
                <w:noProof/>
                <w:sz w:val="24"/>
                <w:szCs w:val="24"/>
              </w:rPr>
              <w:t>ă</w:t>
            </w:r>
            <w:r w:rsidR="0015612A" w:rsidRPr="001552C0">
              <w:rPr>
                <w:rFonts w:eastAsia="Times New Roman" w:cstheme="minorHAnsi"/>
                <w:iCs/>
                <w:noProof/>
                <w:sz w:val="24"/>
                <w:szCs w:val="24"/>
              </w:rPr>
              <w:t>rii unui management eficient al Re</w:t>
            </w:r>
            <w:r>
              <w:rPr>
                <w:rFonts w:eastAsia="Times New Roman" w:cstheme="minorHAnsi"/>
                <w:iCs/>
                <w:noProof/>
                <w:sz w:val="24"/>
                <w:szCs w:val="24"/>
              </w:rPr>
              <w:t>ț</w:t>
            </w:r>
            <w:r w:rsidR="0015612A" w:rsidRPr="001552C0">
              <w:rPr>
                <w:rFonts w:eastAsia="Times New Roman" w:cstheme="minorHAnsi"/>
                <w:iCs/>
                <w:noProof/>
                <w:sz w:val="24"/>
                <w:szCs w:val="24"/>
              </w:rPr>
              <w:t>elei Natura 2000, p</w:t>
            </w:r>
            <w:r w:rsidR="004124A8" w:rsidRPr="001552C0">
              <w:rPr>
                <w:rFonts w:eastAsia="Times New Roman" w:cstheme="minorHAnsi"/>
                <w:iCs/>
                <w:noProof/>
                <w:sz w:val="24"/>
                <w:szCs w:val="24"/>
              </w:rPr>
              <w:t xml:space="preserve">rin PODD se </w:t>
            </w:r>
            <w:r w:rsidR="00247B10" w:rsidRPr="001552C0">
              <w:rPr>
                <w:rFonts w:eastAsia="Times New Roman" w:cstheme="minorHAnsi"/>
                <w:iCs/>
                <w:noProof/>
                <w:sz w:val="24"/>
                <w:szCs w:val="24"/>
              </w:rPr>
              <w:t xml:space="preserve">au </w:t>
            </w:r>
            <w:r>
              <w:rPr>
                <w:rFonts w:eastAsia="Times New Roman" w:cstheme="minorHAnsi"/>
                <w:iCs/>
                <w:noProof/>
                <w:sz w:val="24"/>
                <w:szCs w:val="24"/>
              </w:rPr>
              <w:t>î</w:t>
            </w:r>
            <w:r w:rsidR="00247B10" w:rsidRPr="001552C0">
              <w:rPr>
                <w:rFonts w:eastAsia="Times New Roman" w:cstheme="minorHAnsi"/>
                <w:iCs/>
                <w:noProof/>
                <w:sz w:val="24"/>
                <w:szCs w:val="24"/>
              </w:rPr>
              <w:t>n vedere urm</w:t>
            </w:r>
            <w:r>
              <w:rPr>
                <w:rFonts w:eastAsia="Times New Roman" w:cstheme="minorHAnsi"/>
                <w:iCs/>
                <w:noProof/>
                <w:sz w:val="24"/>
                <w:szCs w:val="24"/>
              </w:rPr>
              <w:t>ă</w:t>
            </w:r>
            <w:r w:rsidR="00247B10" w:rsidRPr="001552C0">
              <w:rPr>
                <w:rFonts w:eastAsia="Times New Roman" w:cstheme="minorHAnsi"/>
                <w:iCs/>
                <w:noProof/>
                <w:sz w:val="24"/>
                <w:szCs w:val="24"/>
              </w:rPr>
              <w:t>toarele</w:t>
            </w:r>
            <w:r w:rsidR="00D709D5" w:rsidRPr="001552C0">
              <w:rPr>
                <w:rFonts w:eastAsia="Times New Roman" w:cstheme="minorHAnsi"/>
                <w:iCs/>
                <w:noProof/>
                <w:sz w:val="24"/>
                <w:szCs w:val="24"/>
              </w:rPr>
              <w:t xml:space="preserve"> </w:t>
            </w:r>
            <w:r w:rsidR="00D709D5" w:rsidRPr="001552C0">
              <w:rPr>
                <w:rFonts w:eastAsia="Times New Roman" w:cstheme="minorHAnsi"/>
                <w:b/>
                <w:iCs/>
                <w:noProof/>
                <w:sz w:val="24"/>
                <w:szCs w:val="24"/>
              </w:rPr>
              <w:t xml:space="preserve">tipuri de </w:t>
            </w:r>
            <w:r w:rsidR="005C1BBE">
              <w:rPr>
                <w:rFonts w:eastAsia="Times New Roman" w:cstheme="minorHAnsi"/>
                <w:b/>
                <w:iCs/>
                <w:noProof/>
                <w:sz w:val="24"/>
                <w:szCs w:val="24"/>
              </w:rPr>
              <w:t>intervenții</w:t>
            </w:r>
            <w:r w:rsidR="005C1BBE" w:rsidRPr="005C1BBE">
              <w:rPr>
                <w:rFonts w:eastAsia="Times New Roman" w:cstheme="minorHAnsi"/>
                <w:b/>
                <w:iCs/>
                <w:noProof/>
                <w:sz w:val="24"/>
                <w:szCs w:val="24"/>
              </w:rPr>
              <w:t>/măsuri</w:t>
            </w:r>
            <w:r w:rsidR="00D709D5" w:rsidRPr="001552C0">
              <w:rPr>
                <w:rFonts w:eastAsia="Times New Roman" w:cstheme="minorHAnsi"/>
                <w:iCs/>
                <w:noProof/>
                <w:sz w:val="24"/>
                <w:szCs w:val="24"/>
              </w:rPr>
              <w:t>:</w:t>
            </w:r>
          </w:p>
          <w:p w14:paraId="34033D51" w14:textId="77777777" w:rsidR="008B4A07" w:rsidRPr="001552C0" w:rsidRDefault="008B4A07" w:rsidP="008B4A07">
            <w:pPr>
              <w:pStyle w:val="ListParagraph"/>
              <w:numPr>
                <w:ilvl w:val="0"/>
                <w:numId w:val="81"/>
              </w:numPr>
              <w:spacing w:line="276" w:lineRule="auto"/>
              <w:jc w:val="both"/>
              <w:rPr>
                <w:rFonts w:ascii="Calibri" w:hAnsi="Calibri"/>
                <w:lang w:val="ro-RO"/>
              </w:rPr>
            </w:pPr>
            <w:r w:rsidRPr="001552C0">
              <w:rPr>
                <w:rFonts w:ascii="Calibri" w:hAnsi="Calibri"/>
                <w:lang w:val="ro-RO"/>
              </w:rPr>
              <w:t xml:space="preserve">îmbunătăţirea accesului administratorilor siturilor Natura 2000 la servicii de asistenţă tehnică specializată pentru  elaborarea sau revizuirea Planurilor de management a siturilor Natura 2000/ Planuri de acțiune pentru specii, pentru toate tipurile de habitate (inclusiv cele din mediu marin), prioritate la finanțare având planurile de management ale siturilor aflate în arealul proiectelor de infrastructură;  </w:t>
            </w:r>
          </w:p>
          <w:p w14:paraId="7B542BF5" w14:textId="228420D8" w:rsidR="008B4A07" w:rsidRPr="00445593" w:rsidRDefault="007D72A6" w:rsidP="008B4A07">
            <w:pPr>
              <w:pStyle w:val="ListParagraph"/>
              <w:numPr>
                <w:ilvl w:val="0"/>
                <w:numId w:val="81"/>
              </w:numPr>
              <w:spacing w:line="276" w:lineRule="auto"/>
              <w:jc w:val="both"/>
              <w:rPr>
                <w:rFonts w:ascii="Calibri" w:hAnsi="Calibri"/>
                <w:lang w:val="ro-RO"/>
              </w:rPr>
            </w:pPr>
            <w:r w:rsidRPr="00445593">
              <w:rPr>
                <w:rFonts w:ascii="Calibri" w:hAnsi="Calibri"/>
                <w:lang w:val="ro-RO"/>
              </w:rPr>
              <w:t>menținerea</w:t>
            </w:r>
            <w:r w:rsidR="008B4A07" w:rsidRPr="00445593">
              <w:rPr>
                <w:rFonts w:ascii="Calibri" w:hAnsi="Calibri"/>
                <w:lang w:val="ro-RO"/>
              </w:rPr>
              <w:t>/</w:t>
            </w:r>
            <w:r w:rsidR="00107BF7" w:rsidRPr="00445593">
              <w:rPr>
                <w:rFonts w:ascii="Calibri" w:hAnsi="Calibri"/>
                <w:lang w:val="ro-RO"/>
              </w:rPr>
              <w:t>î</w:t>
            </w:r>
            <w:r w:rsidR="008B4A07" w:rsidRPr="00445593">
              <w:rPr>
                <w:rFonts w:ascii="Calibri" w:hAnsi="Calibri"/>
                <w:lang w:val="ro-RO"/>
              </w:rPr>
              <w:t>mbun</w:t>
            </w:r>
            <w:r w:rsidR="00107BF7" w:rsidRPr="00445593">
              <w:rPr>
                <w:rFonts w:ascii="Calibri" w:hAnsi="Calibri"/>
                <w:lang w:val="ro-RO"/>
              </w:rPr>
              <w:t>ă</w:t>
            </w:r>
            <w:r w:rsidR="008B4A07" w:rsidRPr="00445593">
              <w:rPr>
                <w:rFonts w:ascii="Calibri" w:hAnsi="Calibri"/>
                <w:lang w:val="ro-RO"/>
              </w:rPr>
              <w:t>t</w:t>
            </w:r>
            <w:r w:rsidR="00107BF7" w:rsidRPr="00445593">
              <w:rPr>
                <w:rFonts w:ascii="Calibri" w:hAnsi="Calibri"/>
                <w:lang w:val="ro-RO"/>
              </w:rPr>
              <w:t>ăț</w:t>
            </w:r>
            <w:r w:rsidR="008B4A07" w:rsidRPr="00445593">
              <w:rPr>
                <w:rFonts w:ascii="Calibri" w:hAnsi="Calibri"/>
                <w:lang w:val="ro-RO"/>
              </w:rPr>
              <w:t>ire</w:t>
            </w:r>
            <w:r w:rsidRPr="00445593">
              <w:rPr>
                <w:rFonts w:ascii="Calibri" w:hAnsi="Calibri"/>
                <w:lang w:val="ro-RO"/>
              </w:rPr>
              <w:t>a</w:t>
            </w:r>
            <w:r w:rsidR="008B4A07" w:rsidRPr="00445593">
              <w:rPr>
                <w:rFonts w:ascii="Calibri" w:hAnsi="Calibri"/>
                <w:lang w:val="ro-RO"/>
              </w:rPr>
              <w:t xml:space="preserve"> st</w:t>
            </w:r>
            <w:r w:rsidR="00107BF7" w:rsidRPr="00445593">
              <w:rPr>
                <w:rFonts w:ascii="Calibri" w:hAnsi="Calibri"/>
                <w:lang w:val="ro-RO"/>
              </w:rPr>
              <w:t>ă</w:t>
            </w:r>
            <w:r w:rsidR="008B4A07" w:rsidRPr="00445593">
              <w:rPr>
                <w:rFonts w:ascii="Calibri" w:hAnsi="Calibri"/>
                <w:lang w:val="ro-RO"/>
              </w:rPr>
              <w:t xml:space="preserve">rii de conservare a speciilor și habitatelor prin măsuri de conservare specifice prevăzute în planurile de management ale siturilor Natura 2000/planuri de </w:t>
            </w:r>
            <w:r w:rsidR="00445593" w:rsidRPr="00445593">
              <w:rPr>
                <w:rFonts w:ascii="Calibri" w:hAnsi="Calibri"/>
                <w:lang w:val="ro-RO"/>
              </w:rPr>
              <w:t>acțiune</w:t>
            </w:r>
            <w:r w:rsidR="008B4A07" w:rsidRPr="00445593">
              <w:rPr>
                <w:rFonts w:ascii="Calibri" w:hAnsi="Calibri"/>
                <w:lang w:val="ro-RO"/>
              </w:rPr>
              <w:t xml:space="preserve"> pentru specii, și după caz a  ecosistemelor degradate și a serviciilor furnizate în afara ariilor naturale protejate,</w:t>
            </w:r>
            <w:r w:rsidR="001D1C54" w:rsidRPr="00445593">
              <w:rPr>
                <w:rFonts w:ascii="Calibri" w:hAnsi="Calibri"/>
                <w:lang w:val="ro-RO"/>
              </w:rPr>
              <w:t xml:space="preserve"> precum și asigurarea conectivității ecologice;</w:t>
            </w:r>
          </w:p>
          <w:p w14:paraId="6727468B" w14:textId="4C33DBD4" w:rsidR="008B4A07" w:rsidRPr="001552C0" w:rsidRDefault="008B4A07" w:rsidP="008B4A07">
            <w:pPr>
              <w:pStyle w:val="ListParagraph"/>
              <w:numPr>
                <w:ilvl w:val="0"/>
                <w:numId w:val="81"/>
              </w:numPr>
              <w:spacing w:line="276" w:lineRule="auto"/>
              <w:jc w:val="both"/>
              <w:rPr>
                <w:rFonts w:ascii="Calibri" w:hAnsi="Calibri"/>
                <w:lang w:val="it-IT"/>
              </w:rPr>
            </w:pPr>
            <w:r w:rsidRPr="001552C0">
              <w:rPr>
                <w:rFonts w:ascii="Calibri" w:hAnsi="Calibri"/>
                <w:lang w:val="it-IT"/>
              </w:rPr>
              <w:t xml:space="preserve">facilitarea accesului autorităților </w:t>
            </w:r>
            <w:r w:rsidR="00107BF7">
              <w:rPr>
                <w:rFonts w:ascii="Calibri" w:hAnsi="Calibri"/>
                <w:lang w:val="it-IT"/>
              </w:rPr>
              <w:t>ș</w:t>
            </w:r>
            <w:r w:rsidRPr="001552C0">
              <w:rPr>
                <w:rFonts w:ascii="Calibri" w:hAnsi="Calibri"/>
                <w:lang w:val="it-IT"/>
              </w:rPr>
              <w:t xml:space="preserve">i entităților cu rol in managementul biodiversitatii la servicii de asistenţă tehnică, cercetare şi echipamente pentru îmbunătăţirea nivelului de cunoaștere a biodiversității și a ecosistemelor (ex. realizarea de studii științifice) şi consolidarea capacitații de management a rețelei Natura 2000 </w:t>
            </w:r>
            <w:r w:rsidR="00107BF7">
              <w:rPr>
                <w:rFonts w:ascii="Calibri" w:hAnsi="Calibri"/>
                <w:lang w:val="it-IT"/>
              </w:rPr>
              <w:t>ș</w:t>
            </w:r>
            <w:r w:rsidRPr="001552C0">
              <w:rPr>
                <w:rFonts w:ascii="Calibri" w:hAnsi="Calibri"/>
                <w:lang w:val="it-IT"/>
              </w:rPr>
              <w:t>i a altor arii naturale protejate de interes na</w:t>
            </w:r>
            <w:r w:rsidR="00107BF7">
              <w:rPr>
                <w:rFonts w:ascii="Calibri" w:hAnsi="Calibri"/>
                <w:lang w:val="it-IT"/>
              </w:rPr>
              <w:t>ț</w:t>
            </w:r>
            <w:r w:rsidRPr="001552C0">
              <w:rPr>
                <w:rFonts w:ascii="Calibri" w:hAnsi="Calibri"/>
                <w:lang w:val="it-IT"/>
              </w:rPr>
              <w:t>ional.</w:t>
            </w:r>
          </w:p>
          <w:p w14:paraId="1D7DB162" w14:textId="6CBDF12B" w:rsidR="00D709D5" w:rsidRPr="001552C0" w:rsidRDefault="00315961" w:rsidP="0079466B">
            <w:pPr>
              <w:jc w:val="both"/>
              <w:rPr>
                <w:rFonts w:cstheme="minorHAnsi"/>
                <w:b/>
                <w:sz w:val="24"/>
                <w:szCs w:val="24"/>
              </w:rPr>
            </w:pPr>
            <w:r w:rsidRPr="001552C0">
              <w:rPr>
                <w:rFonts w:cstheme="minorHAnsi"/>
                <w:b/>
                <w:sz w:val="24"/>
                <w:szCs w:val="24"/>
              </w:rPr>
              <w:t>B</w:t>
            </w:r>
            <w:r w:rsidR="00D709D5" w:rsidRPr="001552C0">
              <w:rPr>
                <w:rFonts w:cstheme="minorHAnsi"/>
                <w:b/>
                <w:sz w:val="24"/>
                <w:szCs w:val="24"/>
              </w:rPr>
              <w:t>eneficiari</w:t>
            </w:r>
          </w:p>
          <w:p w14:paraId="0EBBFF6E" w14:textId="7C852396" w:rsidR="00D709D5" w:rsidRPr="001552C0" w:rsidRDefault="00D709D5" w:rsidP="007B5B2A">
            <w:pPr>
              <w:pStyle w:val="ListParagraph"/>
              <w:numPr>
                <w:ilvl w:val="0"/>
                <w:numId w:val="62"/>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 xml:space="preserve">Pentru </w:t>
            </w:r>
            <w:r w:rsidR="00FE0EF4" w:rsidRPr="001552C0">
              <w:rPr>
                <w:rFonts w:asciiTheme="minorHAnsi" w:hAnsiTheme="minorHAnsi" w:cstheme="minorHAnsi"/>
                <w:szCs w:val="24"/>
                <w:lang w:val="ro-RO"/>
              </w:rPr>
              <w:t xml:space="preserve">investiţii şi </w:t>
            </w:r>
            <w:r w:rsidR="00693855" w:rsidRPr="001552C0">
              <w:rPr>
                <w:rFonts w:asciiTheme="minorHAnsi" w:hAnsiTheme="minorHAnsi" w:cstheme="minorHAnsi"/>
                <w:szCs w:val="24"/>
                <w:lang w:val="ro-RO"/>
              </w:rPr>
              <w:t>elaborarea</w:t>
            </w:r>
            <w:r w:rsidRPr="001552C0">
              <w:rPr>
                <w:rFonts w:asciiTheme="minorHAnsi" w:hAnsiTheme="minorHAnsi" w:cstheme="minorHAnsi"/>
                <w:szCs w:val="24"/>
                <w:lang w:val="ro-RO"/>
              </w:rPr>
              <w:t xml:space="preserve"> planurilor de management: ANANP Administratori ai ariilor naturale protejate pentru ariile care au structuri de administrare proprii/ ARBDD. Proiectele pot fi depuse în parteneriat cu alte entități de drept public sau privat (ex. Institute de cercetare, ONG-uri), </w:t>
            </w:r>
          </w:p>
          <w:p w14:paraId="50658FD4" w14:textId="0864CB65" w:rsidR="00FF0C1F" w:rsidRPr="001552C0" w:rsidRDefault="00FF0C1F" w:rsidP="00FF0C1F">
            <w:pPr>
              <w:pStyle w:val="ListParagraph"/>
              <w:spacing w:line="276" w:lineRule="auto"/>
              <w:ind w:left="1080"/>
              <w:jc w:val="both"/>
              <w:rPr>
                <w:rFonts w:asciiTheme="minorHAnsi" w:hAnsiTheme="minorHAnsi" w:cstheme="minorHAnsi"/>
                <w:szCs w:val="24"/>
                <w:lang w:val="ro-RO"/>
              </w:rPr>
            </w:pPr>
            <w:r w:rsidRPr="001552C0">
              <w:rPr>
                <w:rFonts w:asciiTheme="minorHAnsi" w:hAnsiTheme="minorHAnsi" w:cstheme="minorHAnsi"/>
                <w:szCs w:val="24"/>
                <w:lang w:val="ro-RO"/>
              </w:rPr>
              <w:t>Pentru ecosistemele degradate și serviciile furnizate în afara ariilor naturale protejate: administratori desemnați în condițiile legii și/sau proprietari ai suprafețelor de teren ce constituie ecosistem degradat aflat în proprietate publică</w:t>
            </w:r>
            <w:r w:rsidR="00E849FA" w:rsidRPr="001552C0">
              <w:rPr>
                <w:rFonts w:asciiTheme="minorHAnsi" w:hAnsiTheme="minorHAnsi" w:cstheme="minorHAnsi"/>
                <w:szCs w:val="24"/>
                <w:lang w:val="ro-RO"/>
              </w:rPr>
              <w:t>.</w:t>
            </w:r>
            <w:r w:rsidR="001D1C54" w:rsidRPr="001D1C54">
              <w:rPr>
                <w:lang w:val="it-IT"/>
              </w:rPr>
              <w:t xml:space="preserve"> </w:t>
            </w:r>
            <w:r w:rsidR="001D1C54" w:rsidRPr="001D1C54">
              <w:rPr>
                <w:rFonts w:asciiTheme="minorHAnsi" w:hAnsiTheme="minorHAnsi" w:cstheme="minorHAnsi"/>
                <w:szCs w:val="24"/>
                <w:lang w:val="ro-RO"/>
              </w:rPr>
              <w:t xml:space="preserve">Proiectele pot fi depuse în parteneriat cu alte entități de drept public sau </w:t>
            </w:r>
            <w:r w:rsidR="001D1C54" w:rsidRPr="001D1C54">
              <w:rPr>
                <w:rFonts w:asciiTheme="minorHAnsi" w:hAnsiTheme="minorHAnsi" w:cstheme="minorHAnsi"/>
                <w:szCs w:val="24"/>
                <w:lang w:val="ro-RO"/>
              </w:rPr>
              <w:lastRenderedPageBreak/>
              <w:t>privat (ex. Institute de cercetare, ONG-uri)</w:t>
            </w:r>
            <w:r w:rsidR="001D1C54">
              <w:rPr>
                <w:rFonts w:asciiTheme="minorHAnsi" w:hAnsiTheme="minorHAnsi" w:cstheme="minorHAnsi"/>
                <w:szCs w:val="24"/>
                <w:lang w:val="ro-RO"/>
              </w:rPr>
              <w:t>.</w:t>
            </w:r>
          </w:p>
          <w:p w14:paraId="5D42EA0A" w14:textId="622BF769" w:rsidR="00D709D5" w:rsidRPr="001552C0" w:rsidRDefault="00D709D5" w:rsidP="007B5B2A">
            <w:pPr>
              <w:pStyle w:val="ListParagraph"/>
              <w:numPr>
                <w:ilvl w:val="0"/>
                <w:numId w:val="62"/>
              </w:numPr>
              <w:spacing w:line="276" w:lineRule="auto"/>
              <w:jc w:val="both"/>
              <w:rPr>
                <w:rFonts w:asciiTheme="minorHAnsi" w:hAnsiTheme="minorHAnsi" w:cstheme="minorHAnsi"/>
                <w:szCs w:val="24"/>
                <w:lang w:val="ro-RO"/>
              </w:rPr>
            </w:pPr>
            <w:r w:rsidRPr="001552C0">
              <w:rPr>
                <w:rFonts w:asciiTheme="minorHAnsi" w:hAnsiTheme="minorHAnsi" w:cstheme="minorHAnsi"/>
                <w:szCs w:val="24"/>
                <w:lang w:val="ro-RO"/>
              </w:rPr>
              <w:t>Pentru dezvoltarea capacității administrative</w:t>
            </w:r>
            <w:r w:rsidR="00455552" w:rsidRPr="001552C0">
              <w:rPr>
                <w:rFonts w:asciiTheme="minorHAnsi" w:hAnsiTheme="minorHAnsi" w:cstheme="minorHAnsi"/>
                <w:szCs w:val="24"/>
                <w:lang w:val="ro-RO"/>
              </w:rPr>
              <w:t xml:space="preserve"> și complementaritatea nivelului de cunoaștere a biodiversității și ecosistemelor</w:t>
            </w:r>
            <w:r w:rsidRPr="001552C0">
              <w:rPr>
                <w:rFonts w:asciiTheme="minorHAnsi" w:hAnsiTheme="minorHAnsi" w:cstheme="minorHAnsi"/>
                <w:szCs w:val="24"/>
                <w:lang w:val="ro-RO"/>
              </w:rPr>
              <w:t xml:space="preserve"> în domeniul biodiversității: MMAP/ANANP/APM/G</w:t>
            </w:r>
            <w:r w:rsidR="00131AFC" w:rsidRPr="001552C0">
              <w:rPr>
                <w:rFonts w:asciiTheme="minorHAnsi" w:hAnsiTheme="minorHAnsi" w:cstheme="minorHAnsi"/>
                <w:szCs w:val="24"/>
                <w:lang w:val="ro-RO"/>
              </w:rPr>
              <w:t>N</w:t>
            </w:r>
            <w:r w:rsidRPr="001552C0">
              <w:rPr>
                <w:rFonts w:asciiTheme="minorHAnsi" w:hAnsiTheme="minorHAnsi" w:cstheme="minorHAnsi"/>
                <w:szCs w:val="24"/>
                <w:lang w:val="ro-RO"/>
              </w:rPr>
              <w:t>M/ARBDD/administratorii de parcuri / situri Natura 2000/alte arii naturale protejate.</w:t>
            </w:r>
          </w:p>
          <w:p w14:paraId="07E2E8D1" w14:textId="4C9BDAA6" w:rsidR="00990057" w:rsidRPr="001552C0" w:rsidRDefault="005C1BBE" w:rsidP="00FD23B7">
            <w:pPr>
              <w:spacing w:before="120" w:after="120"/>
              <w:jc w:val="both"/>
              <w:rPr>
                <w:rFonts w:eastAsia="Times New Roman" w:cstheme="minorHAnsi"/>
                <w:b/>
                <w:i/>
                <w:iCs/>
                <w:noProof/>
                <w:sz w:val="24"/>
                <w:szCs w:val="24"/>
              </w:rPr>
            </w:pPr>
            <w:r>
              <w:rPr>
                <w:rFonts w:eastAsia="Times New Roman" w:cstheme="minorHAnsi"/>
                <w:b/>
                <w:i/>
                <w:iCs/>
                <w:noProof/>
                <w:sz w:val="24"/>
                <w:szCs w:val="24"/>
              </w:rPr>
              <w:t xml:space="preserve">Acțiunea </w:t>
            </w:r>
            <w:r w:rsidR="00B05615" w:rsidRPr="001552C0">
              <w:rPr>
                <w:rFonts w:eastAsia="Times New Roman" w:cstheme="minorHAnsi"/>
                <w:b/>
                <w:i/>
                <w:iCs/>
                <w:noProof/>
                <w:sz w:val="24"/>
                <w:szCs w:val="24"/>
              </w:rPr>
              <w:t xml:space="preserve">3.2 </w:t>
            </w:r>
            <w:r w:rsidR="003332C9" w:rsidRPr="001552C0">
              <w:rPr>
                <w:rFonts w:eastAsia="Times New Roman" w:cstheme="minorHAnsi"/>
                <w:b/>
                <w:i/>
                <w:iCs/>
                <w:noProof/>
                <w:sz w:val="24"/>
                <w:szCs w:val="24"/>
              </w:rPr>
              <w:t>Îmbunătățirea monitorizării c</w:t>
            </w:r>
            <w:r w:rsidR="00EC3FA0" w:rsidRPr="001552C0">
              <w:rPr>
                <w:rFonts w:eastAsia="Times New Roman" w:cstheme="minorHAnsi"/>
                <w:b/>
                <w:i/>
                <w:iCs/>
                <w:noProof/>
                <w:sz w:val="24"/>
                <w:szCs w:val="24"/>
              </w:rPr>
              <w:t>alit</w:t>
            </w:r>
            <w:r w:rsidR="003332C9" w:rsidRPr="001552C0">
              <w:rPr>
                <w:rFonts w:eastAsia="Times New Roman" w:cstheme="minorHAnsi"/>
                <w:b/>
                <w:i/>
                <w:iCs/>
                <w:noProof/>
                <w:sz w:val="24"/>
                <w:szCs w:val="24"/>
              </w:rPr>
              <w:t>ății</w:t>
            </w:r>
            <w:r w:rsidR="00EC3FA0" w:rsidRPr="001552C0">
              <w:rPr>
                <w:rFonts w:eastAsia="Times New Roman" w:cstheme="minorHAnsi"/>
                <w:b/>
                <w:i/>
                <w:iCs/>
                <w:noProof/>
                <w:sz w:val="24"/>
                <w:szCs w:val="24"/>
              </w:rPr>
              <w:t xml:space="preserve"> aerului</w:t>
            </w:r>
            <w:r w:rsidR="00FD23B7" w:rsidRPr="001552C0">
              <w:t xml:space="preserve"> </w:t>
            </w:r>
            <w:r w:rsidR="00FD23B7" w:rsidRPr="001552C0">
              <w:rPr>
                <w:rFonts w:eastAsia="Times New Roman" w:cstheme="minorHAnsi"/>
                <w:b/>
                <w:i/>
                <w:iCs/>
                <w:noProof/>
                <w:sz w:val="24"/>
                <w:szCs w:val="24"/>
              </w:rPr>
              <w:t>pentru îndeplinirea cerințelor de monitorizare și reducere a emisiilor rezultate din directive</w:t>
            </w:r>
          </w:p>
          <w:p w14:paraId="2DBE05C3" w14:textId="719503D4" w:rsidR="00CA4503" w:rsidRPr="001552C0" w:rsidRDefault="00217212" w:rsidP="0079466B">
            <w:pPr>
              <w:jc w:val="both"/>
              <w:rPr>
                <w:rFonts w:eastAsia="Times New Roman" w:cstheme="minorHAnsi"/>
                <w:iCs/>
                <w:noProof/>
                <w:sz w:val="24"/>
                <w:szCs w:val="24"/>
              </w:rPr>
            </w:pPr>
            <w:r w:rsidRPr="001552C0">
              <w:rPr>
                <w:rFonts w:eastAsia="Times New Roman" w:cstheme="minorHAnsi"/>
                <w:iCs/>
                <w:noProof/>
                <w:sz w:val="24"/>
                <w:szCs w:val="24"/>
              </w:rPr>
              <w:t xml:space="preserve">Conform Directivei 2008/50/CE privind calitatea aerului înconjurător și un aer mai curat pentru Europa, SM au obligatia de a </w:t>
            </w:r>
            <w:r w:rsidRPr="001552C0">
              <w:rPr>
                <w:rFonts w:eastAsia="Times New Roman" w:cstheme="minorHAnsi"/>
                <w:b/>
                <w:iCs/>
                <w:noProof/>
                <w:sz w:val="24"/>
                <w:szCs w:val="24"/>
              </w:rPr>
              <w:t xml:space="preserve">îmbunătăți monitorizarea </w:t>
            </w:r>
            <w:r w:rsidR="00445593">
              <w:rPr>
                <w:rFonts w:eastAsia="Times New Roman" w:cstheme="minorHAnsi"/>
                <w:b/>
                <w:iCs/>
                <w:noProof/>
                <w:sz w:val="24"/>
                <w:szCs w:val="24"/>
              </w:rPr>
              <w:t>ș</w:t>
            </w:r>
            <w:r w:rsidRPr="001552C0">
              <w:rPr>
                <w:rFonts w:eastAsia="Times New Roman" w:cstheme="minorHAnsi"/>
                <w:b/>
                <w:iCs/>
                <w:noProof/>
                <w:sz w:val="24"/>
                <w:szCs w:val="24"/>
              </w:rPr>
              <w:t>i evaluarea calității aerului</w:t>
            </w:r>
            <w:r w:rsidRPr="001552C0">
              <w:rPr>
                <w:rFonts w:eastAsia="Times New Roman" w:cstheme="minorHAnsi"/>
                <w:iCs/>
                <w:noProof/>
                <w:sz w:val="24"/>
                <w:szCs w:val="24"/>
              </w:rPr>
              <w:t xml:space="preserve">, precum </w:t>
            </w:r>
            <w:r w:rsidR="00445593">
              <w:rPr>
                <w:rFonts w:eastAsia="Times New Roman" w:cstheme="minorHAnsi"/>
                <w:iCs/>
                <w:noProof/>
                <w:sz w:val="24"/>
                <w:szCs w:val="24"/>
              </w:rPr>
              <w:t>ș</w:t>
            </w:r>
            <w:r w:rsidRPr="001552C0">
              <w:rPr>
                <w:rFonts w:eastAsia="Times New Roman" w:cstheme="minorHAnsi"/>
                <w:iCs/>
                <w:noProof/>
                <w:sz w:val="24"/>
                <w:szCs w:val="24"/>
              </w:rPr>
              <w:t>i de a raporta COM asupra calității aerului</w:t>
            </w:r>
            <w:r w:rsidR="00CA4503" w:rsidRPr="001552C0">
              <w:rPr>
                <w:rFonts w:eastAsia="Times New Roman" w:cstheme="minorHAnsi"/>
                <w:iCs/>
                <w:noProof/>
                <w:sz w:val="24"/>
                <w:szCs w:val="24"/>
              </w:rPr>
              <w:t>.</w:t>
            </w:r>
            <w:r w:rsidR="009E59CF" w:rsidRPr="001552C0">
              <w:rPr>
                <w:rFonts w:eastAsia="Times New Roman" w:cstheme="minorHAnsi"/>
                <w:iCs/>
                <w:noProof/>
                <w:sz w:val="24"/>
                <w:szCs w:val="24"/>
              </w:rPr>
              <w:t xml:space="preserve"> </w:t>
            </w:r>
            <w:r w:rsidR="00CA4503" w:rsidRPr="001552C0">
              <w:rPr>
                <w:rFonts w:eastAsia="Times New Roman" w:cstheme="minorHAnsi"/>
                <w:iCs/>
                <w:noProof/>
                <w:sz w:val="24"/>
                <w:szCs w:val="24"/>
              </w:rPr>
              <w:t>Poluanţii monitorizaţi, metodele de măsurare, valorile limită, valorile țint</w:t>
            </w:r>
            <w:r w:rsidR="00445593">
              <w:rPr>
                <w:rFonts w:eastAsia="Times New Roman" w:cstheme="minorHAnsi"/>
                <w:iCs/>
                <w:noProof/>
                <w:sz w:val="24"/>
                <w:szCs w:val="24"/>
              </w:rPr>
              <w:t>ă</w:t>
            </w:r>
            <w:r w:rsidR="00CA4503" w:rsidRPr="001552C0">
              <w:rPr>
                <w:rFonts w:eastAsia="Times New Roman" w:cstheme="minorHAnsi"/>
                <w:iCs/>
                <w:noProof/>
                <w:sz w:val="24"/>
                <w:szCs w:val="24"/>
              </w:rPr>
              <w:t xml:space="preserve">, pragurile de alertă şi de informare şi criteriile de amplasare a punctelor de monitorizare sunt stabilite de legislaţia naţională </w:t>
            </w:r>
            <w:r w:rsidR="00445593">
              <w:rPr>
                <w:rFonts w:eastAsia="Times New Roman" w:cstheme="minorHAnsi"/>
                <w:iCs/>
                <w:noProof/>
                <w:sz w:val="24"/>
                <w:szCs w:val="24"/>
              </w:rPr>
              <w:t>î</w:t>
            </w:r>
            <w:r w:rsidR="009E59CF" w:rsidRPr="001552C0">
              <w:rPr>
                <w:rFonts w:eastAsia="Times New Roman" w:cstheme="minorHAnsi"/>
                <w:iCs/>
                <w:noProof/>
                <w:sz w:val="24"/>
                <w:szCs w:val="24"/>
              </w:rPr>
              <w:t>n conformitate cu prevederile</w:t>
            </w:r>
            <w:r w:rsidR="00CA4503" w:rsidRPr="001552C0">
              <w:rPr>
                <w:rFonts w:eastAsia="Times New Roman" w:cstheme="minorHAnsi"/>
                <w:iCs/>
                <w:noProof/>
                <w:sz w:val="24"/>
                <w:szCs w:val="24"/>
              </w:rPr>
              <w:t xml:space="preserve"> reglementăril</w:t>
            </w:r>
            <w:r w:rsidR="009E59CF" w:rsidRPr="001552C0">
              <w:rPr>
                <w:rFonts w:eastAsia="Times New Roman" w:cstheme="minorHAnsi"/>
                <w:iCs/>
                <w:noProof/>
                <w:sz w:val="24"/>
                <w:szCs w:val="24"/>
              </w:rPr>
              <w:t>or</w:t>
            </w:r>
            <w:r w:rsidR="00CA4503" w:rsidRPr="001552C0">
              <w:rPr>
                <w:rFonts w:eastAsia="Times New Roman" w:cstheme="minorHAnsi"/>
                <w:iCs/>
                <w:noProof/>
                <w:sz w:val="24"/>
                <w:szCs w:val="24"/>
              </w:rPr>
              <w:t xml:space="preserve"> europene.</w:t>
            </w:r>
          </w:p>
          <w:p w14:paraId="2A0E5626" w14:textId="47863DE3" w:rsidR="00217212" w:rsidRPr="001552C0" w:rsidRDefault="00217212" w:rsidP="0079466B">
            <w:pPr>
              <w:jc w:val="both"/>
              <w:rPr>
                <w:rFonts w:eastAsia="Times New Roman" w:cstheme="minorHAnsi"/>
                <w:iCs/>
                <w:noProof/>
                <w:sz w:val="24"/>
                <w:szCs w:val="24"/>
              </w:rPr>
            </w:pPr>
            <w:r w:rsidRPr="001552C0">
              <w:rPr>
                <w:rFonts w:eastAsia="Times New Roman" w:cstheme="minorHAnsi"/>
                <w:iCs/>
                <w:noProof/>
                <w:sz w:val="24"/>
                <w:szCs w:val="24"/>
              </w:rPr>
              <w:t>Totodat</w:t>
            </w:r>
            <w:r w:rsidR="00445593">
              <w:rPr>
                <w:rFonts w:eastAsia="Times New Roman" w:cstheme="minorHAnsi"/>
                <w:iCs/>
                <w:noProof/>
                <w:sz w:val="24"/>
                <w:szCs w:val="24"/>
              </w:rPr>
              <w:t>ă</w:t>
            </w:r>
            <w:r w:rsidRPr="001552C0">
              <w:rPr>
                <w:rFonts w:eastAsia="Times New Roman" w:cstheme="minorHAnsi"/>
                <w:iCs/>
                <w:noProof/>
                <w:sz w:val="24"/>
                <w:szCs w:val="24"/>
              </w:rPr>
              <w:t xml:space="preserve">, conform Directivei (UE) 2016/2284 privind reducerea emisiilor naționale de anumiți poluanți atmosferici (Directiva NEC) fiecare Stat Membru are angajamente de monitorizare </w:t>
            </w:r>
            <w:r w:rsidR="00445593">
              <w:rPr>
                <w:rFonts w:eastAsia="Times New Roman" w:cstheme="minorHAnsi"/>
                <w:iCs/>
                <w:noProof/>
                <w:sz w:val="24"/>
                <w:szCs w:val="24"/>
              </w:rPr>
              <w:t>ș</w:t>
            </w:r>
            <w:r w:rsidRPr="001552C0">
              <w:rPr>
                <w:rFonts w:eastAsia="Times New Roman" w:cstheme="minorHAnsi"/>
                <w:iCs/>
                <w:noProof/>
                <w:sz w:val="24"/>
                <w:szCs w:val="24"/>
              </w:rPr>
              <w:t>i reducere a emisiilor de poluanți atmosferici (particule fine în suspensie-PM2,5, oxizi de azot-NOx, dioxid de sulf – SO2, compuși organici volatili- COVnm și amoniac – NH3) cu ținte stabilite pentru anii 2020 și 2030</w:t>
            </w:r>
            <w:r w:rsidR="00EA06F6" w:rsidRPr="001552C0">
              <w:rPr>
                <w:rFonts w:eastAsia="Times New Roman" w:cstheme="minorHAnsi"/>
                <w:iCs/>
                <w:noProof/>
                <w:sz w:val="24"/>
                <w:szCs w:val="24"/>
              </w:rPr>
              <w:t xml:space="preserve">, precum </w:t>
            </w:r>
            <w:r w:rsidRPr="001552C0">
              <w:rPr>
                <w:rFonts w:eastAsia="Times New Roman" w:cstheme="minorHAnsi"/>
                <w:iCs/>
                <w:noProof/>
                <w:sz w:val="24"/>
                <w:szCs w:val="24"/>
              </w:rPr>
              <w:t>obliga</w:t>
            </w:r>
            <w:r w:rsidR="00445593">
              <w:rPr>
                <w:rFonts w:eastAsia="Times New Roman" w:cstheme="minorHAnsi"/>
                <w:iCs/>
                <w:noProof/>
                <w:sz w:val="24"/>
                <w:szCs w:val="24"/>
              </w:rPr>
              <w:t>ț</w:t>
            </w:r>
            <w:r w:rsidRPr="001552C0">
              <w:rPr>
                <w:rFonts w:eastAsia="Times New Roman" w:cstheme="minorHAnsi"/>
                <w:iCs/>
                <w:noProof/>
                <w:sz w:val="24"/>
                <w:szCs w:val="24"/>
              </w:rPr>
              <w:t>ia de a elabora un program național de control al poluării atmosferice (PNCPA).</w:t>
            </w:r>
          </w:p>
          <w:p w14:paraId="196DB069" w14:textId="77777777" w:rsidR="00B65BE9" w:rsidRPr="001552C0" w:rsidRDefault="00B65BE9" w:rsidP="00B65BE9">
            <w:pPr>
              <w:jc w:val="both"/>
              <w:rPr>
                <w:rFonts w:eastAsia="Times New Roman" w:cstheme="minorHAnsi"/>
                <w:iCs/>
                <w:noProof/>
                <w:sz w:val="24"/>
                <w:szCs w:val="24"/>
              </w:rPr>
            </w:pPr>
            <w:r w:rsidRPr="001552C0">
              <w:rPr>
                <w:rFonts w:eastAsia="Times New Roman" w:cstheme="minorHAnsi"/>
                <w:iCs/>
                <w:noProof/>
                <w:sz w:val="24"/>
                <w:szCs w:val="24"/>
              </w:rPr>
              <w:t>În conformitate cu prevederile Legii nr. 104/2011 privind calitatea aerului înconjurător responsabilitatea privind monitorizarea calităţii aerului înconjurător în România revine autorităţilor pentru protecţia mediului.</w:t>
            </w:r>
          </w:p>
          <w:p w14:paraId="4E58478A" w14:textId="040108E2" w:rsidR="00B65BE9" w:rsidRPr="001552C0" w:rsidRDefault="00B65BE9" w:rsidP="00B65BE9">
            <w:pPr>
              <w:jc w:val="both"/>
              <w:rPr>
                <w:rFonts w:eastAsia="Times New Roman" w:cstheme="minorHAnsi"/>
                <w:iCs/>
                <w:noProof/>
                <w:sz w:val="24"/>
                <w:szCs w:val="24"/>
              </w:rPr>
            </w:pPr>
            <w:r w:rsidRPr="001552C0">
              <w:rPr>
                <w:rFonts w:eastAsia="Times New Roman" w:cstheme="minorHAnsi"/>
                <w:iCs/>
                <w:noProof/>
                <w:sz w:val="24"/>
                <w:szCs w:val="24"/>
              </w:rPr>
              <w:t>Poluanţii monitorizaţi, metodele de măsurare, valorile limită, valorile țint</w:t>
            </w:r>
            <w:r w:rsidR="00445593">
              <w:rPr>
                <w:rFonts w:eastAsia="Times New Roman" w:cstheme="minorHAnsi"/>
                <w:iCs/>
                <w:noProof/>
                <w:sz w:val="24"/>
                <w:szCs w:val="24"/>
              </w:rPr>
              <w:t>ă</w:t>
            </w:r>
            <w:r w:rsidRPr="001552C0">
              <w:rPr>
                <w:rFonts w:eastAsia="Times New Roman" w:cstheme="minorHAnsi"/>
                <w:iCs/>
                <w:noProof/>
                <w:sz w:val="24"/>
                <w:szCs w:val="24"/>
              </w:rPr>
              <w:t>, pragurile de alertă şi de informare şi criteriile de amplasare a punctelor de monitorizare sunt stabilite de legislaţia naţională privind protecţia atmosferei şi sunt conforme cerinţelor prevăzute de reglementările europene.</w:t>
            </w:r>
          </w:p>
          <w:p w14:paraId="46C3401F" w14:textId="1B33FF40" w:rsidR="00D8762D" w:rsidRPr="001552C0" w:rsidRDefault="00D8762D" w:rsidP="0079466B">
            <w:pPr>
              <w:jc w:val="both"/>
              <w:rPr>
                <w:rFonts w:eastAsia="Times New Roman" w:cstheme="minorHAnsi"/>
                <w:iCs/>
                <w:noProof/>
                <w:sz w:val="24"/>
                <w:szCs w:val="24"/>
              </w:rPr>
            </w:pPr>
            <w:r w:rsidRPr="001552C0">
              <w:rPr>
                <w:rFonts w:eastAsia="Times New Roman" w:cstheme="minorHAnsi"/>
                <w:iCs/>
                <w:noProof/>
                <w:sz w:val="24"/>
                <w:szCs w:val="24"/>
              </w:rPr>
              <w:t xml:space="preserve">În prezent Reţeaua Naționala de Monitorizare a Calităţii Aerului (RNMCA) efectuează măsurători continue de dioxid de sulf (SO2), oxizi de azot (NOx), monoxid de carbon (CO), ozon (O3), particule în suspensie (PM10 şi PM2.5), benzen (C6H6), plumb (Pb), arsen (As), cadmiu (Cd), nichel (Ni), benzo(a)piren. </w:t>
            </w:r>
            <w:r w:rsidR="00EA06F6" w:rsidRPr="001552C0">
              <w:rPr>
                <w:rFonts w:eastAsia="Times New Roman" w:cstheme="minorHAnsi"/>
                <w:iCs/>
                <w:noProof/>
                <w:sz w:val="24"/>
                <w:szCs w:val="24"/>
              </w:rPr>
              <w:t>In plus fata de acesti poluanti, Directiva NEC mai impune monitrizarea compușilor organici volatili- COVnm și amoniacului – NH3</w:t>
            </w:r>
            <w:r w:rsidR="00DB345D" w:rsidRPr="001552C0">
              <w:rPr>
                <w:rFonts w:eastAsia="Times New Roman" w:cstheme="minorHAnsi"/>
                <w:iCs/>
                <w:noProof/>
                <w:sz w:val="24"/>
                <w:szCs w:val="24"/>
              </w:rPr>
              <w:t>.</w:t>
            </w:r>
          </w:p>
          <w:p w14:paraId="4B7FB91B" w14:textId="42008ED2" w:rsidR="00D8762D" w:rsidRPr="001552C0" w:rsidRDefault="00D8762D" w:rsidP="0079466B">
            <w:pPr>
              <w:jc w:val="both"/>
              <w:rPr>
                <w:rFonts w:eastAsia="Times New Roman" w:cstheme="minorHAnsi"/>
                <w:iCs/>
                <w:noProof/>
                <w:sz w:val="24"/>
                <w:szCs w:val="24"/>
              </w:rPr>
            </w:pPr>
            <w:r w:rsidRPr="001552C0">
              <w:rPr>
                <w:rFonts w:eastAsia="Times New Roman" w:cstheme="minorHAnsi"/>
                <w:iCs/>
                <w:noProof/>
                <w:sz w:val="24"/>
                <w:szCs w:val="24"/>
              </w:rPr>
              <w:t>În  România sunt amplasate 148 staţii de monitorizare continuă a calităţii aerului, dotate cu echipamente automate pentru măsurarea concentraţiilor principalilor poluanţi atmosferici. RNMCA cuprinde 41 de centre locale (aflate la Agenţiile locale pentru Protecţia Mediului) care colectează şi transmit panourilor de informare a publicului datele furnizate de staţii, iar după validarea primară le transmit spre certificare Centrului de Evaluare a Calităţii Aerului (CECA) din cadrul Agenţiei Naţionale pentru Protecţia Mediului.</w:t>
            </w:r>
          </w:p>
          <w:p w14:paraId="791B11A9" w14:textId="77777777" w:rsidR="00B65BE9" w:rsidRPr="001552C0" w:rsidRDefault="00B65BE9" w:rsidP="00B65BE9">
            <w:pPr>
              <w:spacing w:line="240" w:lineRule="auto"/>
              <w:jc w:val="both"/>
              <w:rPr>
                <w:rFonts w:eastAsia="Times New Roman" w:cstheme="minorHAnsi"/>
                <w:iCs/>
                <w:noProof/>
                <w:sz w:val="24"/>
                <w:szCs w:val="24"/>
              </w:rPr>
            </w:pPr>
            <w:r w:rsidRPr="001552C0">
              <w:rPr>
                <w:rFonts w:eastAsia="Times New Roman" w:cstheme="minorHAnsi"/>
                <w:iCs/>
                <w:noProof/>
                <w:sz w:val="24"/>
                <w:szCs w:val="24"/>
              </w:rPr>
              <w:lastRenderedPageBreak/>
              <w:t xml:space="preserve">Sistemul de monitorizare permite autorităţilor locale pentru protecția mediului: </w:t>
            </w:r>
          </w:p>
          <w:p w14:paraId="2B1236EE" w14:textId="3B0D5221" w:rsidR="00B65BE9" w:rsidRPr="001552C0" w:rsidRDefault="00B65BE9" w:rsidP="00B65BE9">
            <w:pPr>
              <w:spacing w:after="0" w:line="240" w:lineRule="auto"/>
              <w:jc w:val="both"/>
              <w:rPr>
                <w:rFonts w:eastAsia="Times New Roman" w:cstheme="minorHAnsi"/>
                <w:iCs/>
                <w:noProof/>
                <w:sz w:val="24"/>
                <w:szCs w:val="24"/>
              </w:rPr>
            </w:pPr>
            <w:r w:rsidRPr="001552C0">
              <w:rPr>
                <w:rFonts w:eastAsia="Times New Roman" w:cstheme="minorHAnsi"/>
                <w:iCs/>
                <w:noProof/>
                <w:sz w:val="24"/>
                <w:szCs w:val="24"/>
              </w:rPr>
              <w:t>•să evalueze, să cunoască și să informeze în permanenț</w:t>
            </w:r>
            <w:r w:rsidR="00445593">
              <w:rPr>
                <w:rFonts w:eastAsia="Times New Roman" w:cstheme="minorHAnsi"/>
                <w:iCs/>
                <w:noProof/>
                <w:sz w:val="24"/>
                <w:szCs w:val="24"/>
              </w:rPr>
              <w:t>ă</w:t>
            </w:r>
            <w:r w:rsidRPr="001552C0">
              <w:rPr>
                <w:rFonts w:eastAsia="Times New Roman" w:cstheme="minorHAnsi"/>
                <w:iCs/>
                <w:noProof/>
                <w:sz w:val="24"/>
                <w:szCs w:val="24"/>
              </w:rPr>
              <w:t xml:space="preserve"> publicul, alte autorităţi şi instituții interesate, </w:t>
            </w:r>
            <w:r w:rsidR="00445593">
              <w:rPr>
                <w:rFonts w:eastAsia="Times New Roman" w:cstheme="minorHAnsi"/>
                <w:iCs/>
                <w:noProof/>
                <w:sz w:val="24"/>
                <w:szCs w:val="24"/>
              </w:rPr>
              <w:t>referitor la</w:t>
            </w:r>
            <w:r w:rsidRPr="001552C0">
              <w:rPr>
                <w:rFonts w:eastAsia="Times New Roman" w:cstheme="minorHAnsi"/>
                <w:iCs/>
                <w:noProof/>
                <w:sz w:val="24"/>
                <w:szCs w:val="24"/>
              </w:rPr>
              <w:t xml:space="preserve"> nivelul calităţii aerului;</w:t>
            </w:r>
          </w:p>
          <w:p w14:paraId="74D2164F" w14:textId="77777777" w:rsidR="00B65BE9" w:rsidRPr="001552C0" w:rsidRDefault="00B65BE9" w:rsidP="00B65BE9">
            <w:pPr>
              <w:spacing w:after="0" w:line="240" w:lineRule="auto"/>
              <w:jc w:val="both"/>
              <w:rPr>
                <w:rFonts w:eastAsia="Times New Roman" w:cstheme="minorHAnsi"/>
                <w:iCs/>
                <w:noProof/>
                <w:sz w:val="24"/>
                <w:szCs w:val="24"/>
              </w:rPr>
            </w:pPr>
            <w:r w:rsidRPr="001552C0">
              <w:rPr>
                <w:rFonts w:eastAsia="Times New Roman" w:cstheme="minorHAnsi"/>
                <w:iCs/>
                <w:noProof/>
                <w:sz w:val="24"/>
                <w:szCs w:val="24"/>
              </w:rPr>
              <w:t>•să ia, în timp util, măsuri prompte pentru diminuarea și/sau eliminarea episoadelor de poluare sau în cazul unor situații de urgentă;</w:t>
            </w:r>
          </w:p>
          <w:p w14:paraId="3AAECA56" w14:textId="77777777" w:rsidR="00B65BE9" w:rsidRPr="001552C0" w:rsidRDefault="00B65BE9" w:rsidP="00B65BE9">
            <w:pPr>
              <w:spacing w:after="0" w:line="240" w:lineRule="auto"/>
              <w:jc w:val="both"/>
              <w:rPr>
                <w:rFonts w:eastAsia="Times New Roman" w:cstheme="minorHAnsi"/>
                <w:iCs/>
                <w:noProof/>
                <w:sz w:val="24"/>
                <w:szCs w:val="24"/>
              </w:rPr>
            </w:pPr>
            <w:r w:rsidRPr="001552C0">
              <w:rPr>
                <w:rFonts w:eastAsia="Times New Roman" w:cstheme="minorHAnsi"/>
                <w:iCs/>
                <w:noProof/>
                <w:sz w:val="24"/>
                <w:szCs w:val="24"/>
              </w:rPr>
              <w:t>•să avertizeze şi să protejeze populația în caz de urgență.</w:t>
            </w:r>
          </w:p>
          <w:p w14:paraId="44083A4F" w14:textId="67CFB863" w:rsidR="00B65BE9" w:rsidRPr="001552C0" w:rsidRDefault="00B65BE9" w:rsidP="00B65BE9">
            <w:pPr>
              <w:jc w:val="both"/>
              <w:rPr>
                <w:rFonts w:eastAsia="Times New Roman" w:cstheme="minorHAnsi"/>
                <w:iCs/>
                <w:noProof/>
                <w:sz w:val="24"/>
                <w:szCs w:val="24"/>
              </w:rPr>
            </w:pPr>
            <w:r w:rsidRPr="001552C0">
              <w:rPr>
                <w:rFonts w:eastAsia="Times New Roman" w:cstheme="minorHAnsi"/>
                <w:iCs/>
                <w:noProof/>
                <w:sz w:val="24"/>
                <w:szCs w:val="24"/>
              </w:rPr>
              <w:t>Informațiile privind calitatea aerului, provenite de la cele 148 de stații de monitorizare şi datele meteorologice primite de la cele 123 stații de monitorizare sunt transmise la Centrele locale de la cele 41 Agenții pentru Protecţia Mediului.</w:t>
            </w:r>
          </w:p>
          <w:p w14:paraId="22E6EE9B" w14:textId="2B682C64" w:rsidR="004276E4" w:rsidRPr="001552C0" w:rsidRDefault="005E1123" w:rsidP="0079466B">
            <w:pPr>
              <w:jc w:val="both"/>
              <w:rPr>
                <w:rFonts w:eastAsia="Times New Roman" w:cstheme="minorHAnsi"/>
                <w:iCs/>
                <w:noProof/>
                <w:sz w:val="24"/>
                <w:szCs w:val="24"/>
              </w:rPr>
            </w:pPr>
            <w:r w:rsidRPr="001552C0">
              <w:rPr>
                <w:rFonts w:eastAsia="Times New Roman" w:cstheme="minorHAnsi"/>
                <w:iCs/>
                <w:noProof/>
                <w:sz w:val="24"/>
                <w:szCs w:val="24"/>
              </w:rPr>
              <w:t>De men</w:t>
            </w:r>
            <w:r w:rsidR="00445593">
              <w:rPr>
                <w:rFonts w:eastAsia="Times New Roman" w:cstheme="minorHAnsi"/>
                <w:iCs/>
                <w:noProof/>
                <w:sz w:val="24"/>
                <w:szCs w:val="24"/>
              </w:rPr>
              <w:t>ț</w:t>
            </w:r>
            <w:r w:rsidRPr="001552C0">
              <w:rPr>
                <w:rFonts w:eastAsia="Times New Roman" w:cstheme="minorHAnsi"/>
                <w:iCs/>
                <w:noProof/>
                <w:sz w:val="24"/>
                <w:szCs w:val="24"/>
              </w:rPr>
              <w:t>ionat este faptul că î</w:t>
            </w:r>
            <w:r w:rsidR="009E4C0F" w:rsidRPr="001552C0">
              <w:rPr>
                <w:rFonts w:eastAsia="Times New Roman" w:cstheme="minorHAnsi"/>
                <w:iCs/>
                <w:noProof/>
                <w:sz w:val="24"/>
                <w:szCs w:val="24"/>
              </w:rPr>
              <w:t xml:space="preserve">n </w:t>
            </w:r>
            <w:r w:rsidRPr="001552C0">
              <w:rPr>
                <w:rFonts w:eastAsia="Times New Roman" w:cstheme="minorHAnsi"/>
                <w:iCs/>
                <w:noProof/>
                <w:sz w:val="24"/>
                <w:szCs w:val="24"/>
              </w:rPr>
              <w:t>Raportul de Țară</w:t>
            </w:r>
            <w:r w:rsidR="004276E4" w:rsidRPr="001552C0">
              <w:rPr>
                <w:rFonts w:eastAsia="Times New Roman" w:cstheme="minorHAnsi"/>
                <w:iCs/>
                <w:noProof/>
                <w:sz w:val="24"/>
                <w:szCs w:val="24"/>
              </w:rPr>
              <w:t xml:space="preserve"> din 2019 privind punerea în aplicare a politicilor de mediu ale UE</w:t>
            </w:r>
            <w:r w:rsidR="009E4C0F" w:rsidRPr="001552C0">
              <w:rPr>
                <w:rFonts w:eastAsia="Times New Roman" w:cstheme="minorHAnsi"/>
                <w:iCs/>
                <w:noProof/>
                <w:sz w:val="24"/>
                <w:szCs w:val="24"/>
              </w:rPr>
              <w:t xml:space="preserve">, Comisia </w:t>
            </w:r>
            <w:r w:rsidR="004276E4" w:rsidRPr="001552C0">
              <w:rPr>
                <w:rFonts w:eastAsia="Times New Roman" w:cstheme="minorHAnsi"/>
                <w:iCs/>
                <w:noProof/>
                <w:sz w:val="24"/>
                <w:szCs w:val="24"/>
              </w:rPr>
              <w:t>subliniaz</w:t>
            </w:r>
            <w:r w:rsidR="00445593">
              <w:rPr>
                <w:rFonts w:eastAsia="Times New Roman" w:cstheme="minorHAnsi"/>
                <w:iCs/>
                <w:noProof/>
                <w:sz w:val="24"/>
                <w:szCs w:val="24"/>
              </w:rPr>
              <w:t>ă</w:t>
            </w:r>
            <w:r w:rsidR="004276E4" w:rsidRPr="001552C0">
              <w:rPr>
                <w:rFonts w:eastAsia="Times New Roman" w:cstheme="minorHAnsi"/>
                <w:iCs/>
                <w:noProof/>
                <w:sz w:val="24"/>
                <w:szCs w:val="24"/>
              </w:rPr>
              <w:t xml:space="preserve"> c</w:t>
            </w:r>
            <w:r w:rsidR="00445593">
              <w:rPr>
                <w:rFonts w:eastAsia="Times New Roman" w:cstheme="minorHAnsi"/>
                <w:iCs/>
                <w:noProof/>
                <w:sz w:val="24"/>
                <w:szCs w:val="24"/>
              </w:rPr>
              <w:t>ă</w:t>
            </w:r>
            <w:r w:rsidR="004276E4" w:rsidRPr="001552C0">
              <w:rPr>
                <w:rFonts w:eastAsia="Times New Roman" w:cstheme="minorHAnsi"/>
                <w:iCs/>
                <w:noProof/>
                <w:sz w:val="24"/>
                <w:szCs w:val="24"/>
              </w:rPr>
              <w:t xml:space="preserve"> au fost identificate deficiențe grave și structurale în datele privind calitatea aerului măsurate de rețeaua de monitorizare din România și raportate Comisiei </w:t>
            </w:r>
            <w:r w:rsidR="009E4C0F" w:rsidRPr="001552C0">
              <w:rPr>
                <w:rFonts w:eastAsia="Times New Roman" w:cstheme="minorHAnsi"/>
                <w:iCs/>
                <w:noProof/>
                <w:sz w:val="24"/>
                <w:szCs w:val="24"/>
              </w:rPr>
              <w:t xml:space="preserve">Europene </w:t>
            </w:r>
            <w:r w:rsidR="00445593">
              <w:rPr>
                <w:rFonts w:eastAsia="Times New Roman" w:cstheme="minorHAnsi"/>
                <w:iCs/>
                <w:noProof/>
                <w:sz w:val="24"/>
                <w:szCs w:val="24"/>
              </w:rPr>
              <w:t>ș</w:t>
            </w:r>
            <w:r w:rsidR="009E4C0F" w:rsidRPr="001552C0">
              <w:rPr>
                <w:rFonts w:eastAsia="Times New Roman" w:cstheme="minorHAnsi"/>
                <w:iCs/>
                <w:noProof/>
                <w:sz w:val="24"/>
                <w:szCs w:val="24"/>
              </w:rPr>
              <w:t>i</w:t>
            </w:r>
            <w:r w:rsidR="00445593">
              <w:rPr>
                <w:rFonts w:eastAsia="Times New Roman" w:cstheme="minorHAnsi"/>
                <w:iCs/>
                <w:noProof/>
                <w:sz w:val="24"/>
                <w:szCs w:val="24"/>
              </w:rPr>
              <w:t>,</w:t>
            </w:r>
            <w:r w:rsidR="004276E4" w:rsidRPr="001552C0">
              <w:rPr>
                <w:rFonts w:eastAsia="Times New Roman" w:cstheme="minorHAnsi"/>
                <w:iCs/>
                <w:noProof/>
                <w:sz w:val="24"/>
                <w:szCs w:val="24"/>
              </w:rPr>
              <w:t xml:space="preserve"> </w:t>
            </w:r>
            <w:r w:rsidR="00445593">
              <w:rPr>
                <w:rFonts w:eastAsia="Times New Roman" w:cstheme="minorHAnsi"/>
                <w:iCs/>
                <w:noProof/>
                <w:sz w:val="24"/>
                <w:szCs w:val="24"/>
              </w:rPr>
              <w:t>î</w:t>
            </w:r>
            <w:r w:rsidR="004276E4" w:rsidRPr="001552C0">
              <w:rPr>
                <w:rFonts w:eastAsia="Times New Roman" w:cstheme="minorHAnsi"/>
                <w:iCs/>
                <w:noProof/>
                <w:sz w:val="24"/>
                <w:szCs w:val="24"/>
              </w:rPr>
              <w:t>n realitate, situația ar putea fi mult mai gravă decât cea raportată efectiv.</w:t>
            </w:r>
            <w:r w:rsidR="009E4C0F" w:rsidRPr="001552C0">
              <w:rPr>
                <w:rFonts w:eastAsia="Times New Roman" w:cstheme="minorHAnsi"/>
                <w:iCs/>
                <w:noProof/>
                <w:sz w:val="24"/>
                <w:szCs w:val="24"/>
              </w:rPr>
              <w:t xml:space="preserve"> Astfel, Comisia propu</w:t>
            </w:r>
            <w:r w:rsidR="00381F10" w:rsidRPr="001552C0">
              <w:rPr>
                <w:rFonts w:eastAsia="Times New Roman" w:cstheme="minorHAnsi"/>
                <w:iCs/>
                <w:noProof/>
                <w:sz w:val="24"/>
                <w:szCs w:val="24"/>
              </w:rPr>
              <w:t>ne</w:t>
            </w:r>
            <w:r w:rsidR="009E4C0F" w:rsidRPr="001552C0">
              <w:rPr>
                <w:rFonts w:eastAsia="Times New Roman" w:cstheme="minorHAnsi"/>
                <w:iCs/>
                <w:noProof/>
                <w:sz w:val="24"/>
                <w:szCs w:val="24"/>
              </w:rPr>
              <w:t xml:space="preserve"> ca </w:t>
            </w:r>
            <w:r w:rsidR="00445593">
              <w:rPr>
                <w:rFonts w:eastAsia="Times New Roman" w:cstheme="minorHAnsi"/>
                <w:iCs/>
                <w:noProof/>
                <w:sz w:val="24"/>
                <w:szCs w:val="24"/>
              </w:rPr>
              <w:t>ș</w:t>
            </w:r>
            <w:r w:rsidR="009E4C0F" w:rsidRPr="001552C0">
              <w:rPr>
                <w:rFonts w:eastAsia="Times New Roman" w:cstheme="minorHAnsi"/>
                <w:iCs/>
                <w:noProof/>
                <w:sz w:val="24"/>
                <w:szCs w:val="24"/>
              </w:rPr>
              <w:t>i ac</w:t>
            </w:r>
            <w:r w:rsidR="00445593">
              <w:rPr>
                <w:rFonts w:eastAsia="Times New Roman" w:cstheme="minorHAnsi"/>
                <w:iCs/>
                <w:noProof/>
                <w:sz w:val="24"/>
                <w:szCs w:val="24"/>
              </w:rPr>
              <w:t>ț</w:t>
            </w:r>
            <w:r w:rsidR="009E4C0F" w:rsidRPr="001552C0">
              <w:rPr>
                <w:rFonts w:eastAsia="Times New Roman" w:cstheme="minorHAnsi"/>
                <w:iCs/>
                <w:noProof/>
                <w:sz w:val="24"/>
                <w:szCs w:val="24"/>
              </w:rPr>
              <w:t>iune prioritar</w:t>
            </w:r>
            <w:r w:rsidR="00445593">
              <w:rPr>
                <w:rFonts w:eastAsia="Times New Roman" w:cstheme="minorHAnsi"/>
                <w:iCs/>
                <w:noProof/>
                <w:sz w:val="24"/>
                <w:szCs w:val="24"/>
              </w:rPr>
              <w:t>ă</w:t>
            </w:r>
            <w:r w:rsidR="009E4C0F" w:rsidRPr="001552C0">
              <w:rPr>
                <w:rFonts w:eastAsia="Times New Roman" w:cstheme="minorHAnsi"/>
                <w:iCs/>
                <w:noProof/>
                <w:sz w:val="24"/>
                <w:szCs w:val="24"/>
              </w:rPr>
              <w:t xml:space="preserve"> actualizarea și îmbunătățirea rețelei de monitorizare a calității aerului și asigurarea raportării prompte a datelor privind calitatea aerului.</w:t>
            </w:r>
          </w:p>
          <w:p w14:paraId="34326345" w14:textId="3C701713" w:rsidR="005E1123" w:rsidRPr="001552C0" w:rsidRDefault="005E1123" w:rsidP="005E1123">
            <w:pPr>
              <w:jc w:val="both"/>
              <w:rPr>
                <w:rFonts w:eastAsia="Times New Roman" w:cstheme="minorHAnsi"/>
                <w:iCs/>
                <w:noProof/>
                <w:sz w:val="24"/>
                <w:szCs w:val="24"/>
              </w:rPr>
            </w:pPr>
            <w:r w:rsidRPr="001552C0">
              <w:rPr>
                <w:rFonts w:eastAsia="Times New Roman" w:cstheme="minorHAnsi"/>
                <w:iCs/>
                <w:noProof/>
                <w:sz w:val="24"/>
                <w:szCs w:val="24"/>
              </w:rPr>
              <w:t>De asemenea, în Raportul de Țară din 2020, emis în contextul Semestrului European, Comisia evidențiază că poluarea aerului continuă să fie o problemă în România, precum și faptul că modernizarea și îmbunătățirea rețelei de monitorizare a calității aerului și sprijinirea raportării în timp util a datelor privind calitatea aerului sunt de o importanță capitală.</w:t>
            </w:r>
          </w:p>
          <w:p w14:paraId="270A41CA" w14:textId="4F18ACB9" w:rsidR="00990057" w:rsidRPr="001552C0" w:rsidRDefault="00DB345D" w:rsidP="0079466B">
            <w:pPr>
              <w:jc w:val="both"/>
              <w:rPr>
                <w:rFonts w:cstheme="minorHAnsi"/>
                <w:sz w:val="24"/>
                <w:szCs w:val="24"/>
              </w:rPr>
            </w:pPr>
            <w:r w:rsidRPr="001552C0">
              <w:rPr>
                <w:rFonts w:eastAsia="Times New Roman" w:cstheme="minorHAnsi"/>
                <w:iCs/>
                <w:noProof/>
                <w:sz w:val="24"/>
                <w:szCs w:val="24"/>
              </w:rPr>
              <w:t xml:space="preserve">Avand </w:t>
            </w:r>
            <w:r w:rsidR="008A6366">
              <w:rPr>
                <w:rFonts w:eastAsia="Times New Roman" w:cstheme="minorHAnsi"/>
                <w:iCs/>
                <w:noProof/>
                <w:sz w:val="24"/>
                <w:szCs w:val="24"/>
              </w:rPr>
              <w:t>î</w:t>
            </w:r>
            <w:r w:rsidRPr="001552C0">
              <w:rPr>
                <w:rFonts w:eastAsia="Times New Roman" w:cstheme="minorHAnsi"/>
                <w:iCs/>
                <w:noProof/>
                <w:sz w:val="24"/>
                <w:szCs w:val="24"/>
              </w:rPr>
              <w:t xml:space="preserve">n vedere cele prezentate mai sus, </w:t>
            </w:r>
            <w:r w:rsidR="00381F10" w:rsidRPr="001552C0">
              <w:rPr>
                <w:rFonts w:eastAsia="Times New Roman" w:cstheme="minorHAnsi"/>
                <w:iCs/>
                <w:noProof/>
                <w:sz w:val="24"/>
                <w:szCs w:val="24"/>
              </w:rPr>
              <w:t>prin PODD v</w:t>
            </w:r>
            <w:r w:rsidR="005C1BBE">
              <w:rPr>
                <w:rFonts w:eastAsia="Times New Roman" w:cstheme="minorHAnsi"/>
                <w:iCs/>
                <w:noProof/>
                <w:sz w:val="24"/>
                <w:szCs w:val="24"/>
              </w:rPr>
              <w:t>or</w:t>
            </w:r>
            <w:r w:rsidRPr="001552C0">
              <w:rPr>
                <w:rFonts w:eastAsia="Times New Roman" w:cstheme="minorHAnsi"/>
                <w:iCs/>
                <w:noProof/>
                <w:sz w:val="24"/>
                <w:szCs w:val="24"/>
              </w:rPr>
              <w:t xml:space="preserve"> fi finan</w:t>
            </w:r>
            <w:r w:rsidR="005C1BBE">
              <w:rPr>
                <w:rFonts w:eastAsia="Times New Roman" w:cstheme="minorHAnsi"/>
                <w:iCs/>
                <w:noProof/>
                <w:sz w:val="24"/>
                <w:szCs w:val="24"/>
              </w:rPr>
              <w:t>țate intervenții</w:t>
            </w:r>
            <w:r w:rsidR="005C1BBE" w:rsidRPr="005C1BBE">
              <w:rPr>
                <w:rFonts w:eastAsia="Times New Roman" w:cstheme="minorHAnsi"/>
                <w:iCs/>
                <w:noProof/>
                <w:sz w:val="24"/>
                <w:szCs w:val="24"/>
              </w:rPr>
              <w:t xml:space="preserve">/măsuri </w:t>
            </w:r>
            <w:r w:rsidR="00381F10" w:rsidRPr="001552C0">
              <w:rPr>
                <w:rFonts w:eastAsia="Times New Roman" w:cstheme="minorHAnsi"/>
                <w:iCs/>
                <w:noProof/>
                <w:sz w:val="24"/>
                <w:szCs w:val="24"/>
              </w:rPr>
              <w:t xml:space="preserve"> </w:t>
            </w:r>
            <w:r w:rsidR="005C1BBE">
              <w:rPr>
                <w:rFonts w:eastAsia="Times New Roman" w:cstheme="minorHAnsi"/>
                <w:iCs/>
                <w:noProof/>
                <w:sz w:val="24"/>
                <w:szCs w:val="24"/>
              </w:rPr>
              <w:t xml:space="preserve">privind </w:t>
            </w:r>
            <w:r w:rsidR="009534FB" w:rsidRPr="001552C0">
              <w:rPr>
                <w:rFonts w:cstheme="minorHAnsi"/>
                <w:b/>
                <w:sz w:val="24"/>
                <w:szCs w:val="24"/>
              </w:rPr>
              <w:t>d</w:t>
            </w:r>
            <w:r w:rsidR="00990057" w:rsidRPr="001552C0">
              <w:rPr>
                <w:rFonts w:cstheme="minorHAnsi"/>
                <w:b/>
                <w:sz w:val="24"/>
                <w:szCs w:val="24"/>
              </w:rPr>
              <w:t>otarea RNMCA cu echipamente noi</w:t>
            </w:r>
            <w:r w:rsidR="00990057" w:rsidRPr="001552C0">
              <w:rPr>
                <w:rFonts w:cstheme="minorHAnsi"/>
                <w:sz w:val="24"/>
                <w:szCs w:val="24"/>
              </w:rPr>
              <w:t>, prin înlocuirea</w:t>
            </w:r>
            <w:r w:rsidR="00381F10" w:rsidRPr="001552C0">
              <w:rPr>
                <w:rFonts w:cstheme="minorHAnsi"/>
                <w:sz w:val="24"/>
                <w:szCs w:val="24"/>
              </w:rPr>
              <w:t xml:space="preserve"> sau up-datarea</w:t>
            </w:r>
            <w:r w:rsidR="00990057" w:rsidRPr="001552C0">
              <w:rPr>
                <w:rFonts w:cstheme="minorHAnsi"/>
                <w:sz w:val="24"/>
                <w:szCs w:val="24"/>
              </w:rPr>
              <w:t xml:space="preserve"> echipamentelor existente de măsurare a poluanților uzate din punct de vedere moral și tehnic, astfel încât să se continue conformarea cu cerințele de asigurare și controlul calității datelor și de raportare a RO la CE</w:t>
            </w:r>
            <w:r w:rsidR="00D06E45" w:rsidRPr="001552C0">
              <w:rPr>
                <w:rFonts w:cstheme="minorHAnsi"/>
                <w:sz w:val="24"/>
                <w:szCs w:val="24"/>
              </w:rPr>
              <w:t>,</w:t>
            </w:r>
            <w:r w:rsidR="00381F10" w:rsidRPr="001552C0">
              <w:rPr>
                <w:rFonts w:cstheme="minorHAnsi"/>
                <w:sz w:val="24"/>
                <w:szCs w:val="24"/>
              </w:rPr>
              <w:t xml:space="preserve"> conform prevederilor directivelor europene</w:t>
            </w:r>
            <w:r w:rsidR="005F11F3" w:rsidRPr="001552C0">
              <w:rPr>
                <w:rFonts w:cstheme="minorHAnsi"/>
                <w:sz w:val="24"/>
                <w:szCs w:val="24"/>
              </w:rPr>
              <w:t>.</w:t>
            </w:r>
          </w:p>
          <w:p w14:paraId="7FD4BEDC" w14:textId="758F21E9" w:rsidR="00EC5511" w:rsidRPr="001552C0" w:rsidRDefault="00451D3E" w:rsidP="0079466B">
            <w:pPr>
              <w:spacing w:before="120" w:after="120"/>
              <w:contextualSpacing/>
              <w:rPr>
                <w:rFonts w:cstheme="minorHAnsi"/>
                <w:sz w:val="24"/>
                <w:szCs w:val="24"/>
              </w:rPr>
            </w:pPr>
            <w:r w:rsidRPr="001552C0">
              <w:rPr>
                <w:rFonts w:cstheme="minorHAnsi"/>
                <w:b/>
                <w:sz w:val="24"/>
                <w:szCs w:val="24"/>
              </w:rPr>
              <w:t>B</w:t>
            </w:r>
            <w:r w:rsidR="00FB364E" w:rsidRPr="001552C0">
              <w:rPr>
                <w:rFonts w:cstheme="minorHAnsi"/>
                <w:b/>
                <w:sz w:val="24"/>
                <w:szCs w:val="24"/>
              </w:rPr>
              <w:t>eneficiar</w:t>
            </w:r>
            <w:r w:rsidR="00EC5511" w:rsidRPr="001552C0">
              <w:rPr>
                <w:rFonts w:cstheme="minorHAnsi"/>
                <w:sz w:val="24"/>
                <w:szCs w:val="24"/>
              </w:rPr>
              <w:t xml:space="preserve"> - Ministerul Mediulu</w:t>
            </w:r>
            <w:r w:rsidR="00DB345D" w:rsidRPr="001552C0">
              <w:rPr>
                <w:rFonts w:cstheme="minorHAnsi"/>
                <w:sz w:val="24"/>
                <w:szCs w:val="24"/>
              </w:rPr>
              <w:t xml:space="preserve">i, Apelor si </w:t>
            </w:r>
            <w:r w:rsidR="00136B42" w:rsidRPr="001552C0">
              <w:rPr>
                <w:rFonts w:cstheme="minorHAnsi"/>
                <w:sz w:val="24"/>
                <w:szCs w:val="24"/>
              </w:rPr>
              <w:t>Pădurilor</w:t>
            </w:r>
            <w:r w:rsidR="00DB345D" w:rsidRPr="001552C0">
              <w:rPr>
                <w:rFonts w:cstheme="minorHAnsi"/>
                <w:sz w:val="24"/>
                <w:szCs w:val="24"/>
              </w:rPr>
              <w:t xml:space="preserve"> </w:t>
            </w:r>
            <w:r w:rsidR="00E775CA" w:rsidRPr="001552C0">
              <w:rPr>
                <w:rFonts w:cstheme="minorHAnsi"/>
                <w:sz w:val="24"/>
                <w:szCs w:val="24"/>
              </w:rPr>
              <w:t xml:space="preserve"> </w:t>
            </w:r>
          </w:p>
          <w:p w14:paraId="1FAAEF5E" w14:textId="77777777" w:rsidR="00EC5511" w:rsidRPr="001552C0" w:rsidRDefault="00EC5511" w:rsidP="0079466B">
            <w:pPr>
              <w:spacing w:before="120" w:after="120"/>
              <w:ind w:left="720"/>
              <w:contextualSpacing/>
              <w:rPr>
                <w:rFonts w:cstheme="minorHAnsi"/>
                <w:sz w:val="24"/>
                <w:szCs w:val="24"/>
              </w:rPr>
            </w:pPr>
          </w:p>
          <w:p w14:paraId="0EFA09C0" w14:textId="47E97711" w:rsidR="005D6C21" w:rsidRPr="001552C0" w:rsidRDefault="005C1BBE" w:rsidP="0079466B">
            <w:pPr>
              <w:spacing w:before="120" w:after="120"/>
              <w:rPr>
                <w:rFonts w:eastAsia="Times New Roman" w:cstheme="minorHAnsi"/>
                <w:b/>
                <w:i/>
                <w:noProof/>
                <w:sz w:val="24"/>
                <w:szCs w:val="24"/>
              </w:rPr>
            </w:pPr>
            <w:r>
              <w:rPr>
                <w:rFonts w:eastAsia="Times New Roman" w:cstheme="minorHAnsi"/>
                <w:b/>
                <w:i/>
                <w:noProof/>
                <w:sz w:val="24"/>
                <w:szCs w:val="24"/>
              </w:rPr>
              <w:t xml:space="preserve">Acțiunea </w:t>
            </w:r>
            <w:r w:rsidR="00B05615" w:rsidRPr="001552C0">
              <w:rPr>
                <w:rFonts w:eastAsia="Times New Roman" w:cstheme="minorHAnsi"/>
                <w:b/>
                <w:i/>
                <w:noProof/>
                <w:sz w:val="24"/>
                <w:szCs w:val="24"/>
              </w:rPr>
              <w:t xml:space="preserve">3.3 </w:t>
            </w:r>
            <w:r w:rsidR="00335DD0" w:rsidRPr="001552C0">
              <w:rPr>
                <w:rFonts w:eastAsia="Times New Roman" w:cstheme="minorHAnsi"/>
                <w:b/>
                <w:i/>
                <w:noProof/>
                <w:sz w:val="24"/>
                <w:szCs w:val="24"/>
              </w:rPr>
              <w:t xml:space="preserve">Investigarea preliminară </w:t>
            </w:r>
            <w:r w:rsidR="00316954" w:rsidRPr="001552C0">
              <w:rPr>
                <w:rFonts w:eastAsia="Times New Roman" w:cstheme="minorHAnsi"/>
                <w:b/>
                <w:i/>
                <w:noProof/>
                <w:sz w:val="24"/>
                <w:szCs w:val="24"/>
              </w:rPr>
              <w:t>ș</w:t>
            </w:r>
            <w:r w:rsidR="00335DD0" w:rsidRPr="001552C0">
              <w:rPr>
                <w:rFonts w:eastAsia="Times New Roman" w:cstheme="minorHAnsi"/>
                <w:b/>
                <w:i/>
                <w:noProof/>
                <w:sz w:val="24"/>
                <w:szCs w:val="24"/>
              </w:rPr>
              <w:t>i detaliată a siturilor contamionate, evaluarea riscurilor asupra mediului si r</w:t>
            </w:r>
            <w:r w:rsidR="000B6B9B" w:rsidRPr="001552C0">
              <w:rPr>
                <w:rFonts w:eastAsia="Times New Roman" w:cstheme="minorHAnsi"/>
                <w:b/>
                <w:i/>
                <w:noProof/>
                <w:sz w:val="24"/>
                <w:szCs w:val="24"/>
              </w:rPr>
              <w:t>emedierea</w:t>
            </w:r>
            <w:r w:rsidR="00EC3FA0" w:rsidRPr="001552C0">
              <w:rPr>
                <w:rFonts w:eastAsia="Times New Roman" w:cstheme="minorHAnsi"/>
                <w:b/>
                <w:i/>
                <w:noProof/>
                <w:sz w:val="24"/>
                <w:szCs w:val="24"/>
              </w:rPr>
              <w:t xml:space="preserve"> siturilor</w:t>
            </w:r>
          </w:p>
          <w:p w14:paraId="5D185B78" w14:textId="77777777" w:rsidR="00582D93" w:rsidRPr="001552C0" w:rsidRDefault="00582D93" w:rsidP="0071682D">
            <w:pPr>
              <w:jc w:val="both"/>
              <w:rPr>
                <w:rFonts w:cstheme="minorHAnsi"/>
                <w:sz w:val="24"/>
                <w:szCs w:val="24"/>
              </w:rPr>
            </w:pPr>
            <w:r w:rsidRPr="001552C0">
              <w:rPr>
                <w:rFonts w:cstheme="minorHAnsi"/>
                <w:sz w:val="24"/>
                <w:szCs w:val="24"/>
              </w:rPr>
              <w:t>Prin Strategia Naționala și Planul Național pentru Gestionarea Siturilor Contaminate din România (HG nr. 683/2015) au fost inventariate 210 situri contaminate şi 1183 situri potenţial contaminate, ca urmare a desfăşurării activităţilor economice, fără a se cunoaşte însă gradul de contaminare şi fără a exista o ierarhizare din perspectiva riscurilor pe care acestea le incumbă asupra stării de sănătate a populaţiei și asupra mediului.</w:t>
            </w:r>
          </w:p>
          <w:p w14:paraId="0A79E230" w14:textId="00A7271A" w:rsidR="00582D93" w:rsidRPr="001552C0" w:rsidRDefault="00582D93" w:rsidP="0071682D">
            <w:pPr>
              <w:jc w:val="both"/>
              <w:rPr>
                <w:rFonts w:cstheme="minorHAnsi"/>
                <w:sz w:val="24"/>
                <w:szCs w:val="24"/>
              </w:rPr>
            </w:pPr>
            <w:r w:rsidRPr="001552C0">
              <w:rPr>
                <w:rFonts w:cstheme="minorHAnsi"/>
                <w:sz w:val="24"/>
                <w:szCs w:val="24"/>
              </w:rPr>
              <w:t xml:space="preserve">Numărul de situri contaminate/potențial contaminate menţionat în actul normativ mai sus amintit, a fost stabilit pe baza unor informaţii calitative la nivelul anilor 2008/2013, iar în prezent este dificil de cuantificat situația la nivelul României, având în vedere că a fost </w:t>
            </w:r>
            <w:r w:rsidRPr="001552C0">
              <w:rPr>
                <w:rFonts w:cstheme="minorHAnsi"/>
                <w:sz w:val="24"/>
                <w:szCs w:val="24"/>
              </w:rPr>
              <w:lastRenderedPageBreak/>
              <w:t xml:space="preserve">imperios necesar elaborarea unui cadru unic de reglementare a gestionării siturilor potențial contaminate </w:t>
            </w:r>
            <w:r w:rsidR="008A6366">
              <w:rPr>
                <w:rFonts w:cstheme="minorHAnsi"/>
                <w:sz w:val="24"/>
                <w:szCs w:val="24"/>
              </w:rPr>
              <w:t>ș</w:t>
            </w:r>
            <w:r w:rsidRPr="001552C0">
              <w:rPr>
                <w:rFonts w:cstheme="minorHAnsi"/>
                <w:sz w:val="24"/>
                <w:szCs w:val="24"/>
              </w:rPr>
              <w:t>i contaminate, respectiv Legea nr. 74/2019 privind gestionarea siturilor potențial contaminate și a celor contaminate, care urmărește reglementarea unitară și distinctă a gestionării siturilor potențial contaminate și a celor contaminate.</w:t>
            </w:r>
          </w:p>
          <w:p w14:paraId="00E70BE1" w14:textId="0F14EBF9" w:rsidR="00582D93" w:rsidRPr="001552C0" w:rsidRDefault="00582D93" w:rsidP="0071682D">
            <w:pPr>
              <w:jc w:val="both"/>
              <w:rPr>
                <w:rFonts w:cstheme="minorHAnsi"/>
                <w:sz w:val="24"/>
                <w:szCs w:val="24"/>
              </w:rPr>
            </w:pPr>
            <w:r w:rsidRPr="001552C0">
              <w:rPr>
                <w:rFonts w:cstheme="minorHAnsi"/>
                <w:sz w:val="24"/>
                <w:szCs w:val="24"/>
              </w:rPr>
              <w:t>Urmare adoptării Legii nr. 74/2019 privind gestionarea siturilor potențial contaminate și a celor contaminate, inventarul realizat conform Strategiei Naționale și Planului Național pentru Gestionarea Siturilor Contaminate din România, adoptate prin HG nr. 683/2015, urmează a fi reactualizat pe baza metodologiilor de inventariere și investigare și remediere aprobate în concordanță cu noua lege.</w:t>
            </w:r>
            <w:r w:rsidR="00136B42" w:rsidRPr="001552C0">
              <w:rPr>
                <w:rFonts w:cstheme="minorHAnsi"/>
                <w:sz w:val="24"/>
                <w:szCs w:val="24"/>
              </w:rPr>
              <w:t xml:space="preserve"> </w:t>
            </w:r>
            <w:r w:rsidRPr="001552C0">
              <w:rPr>
                <w:rFonts w:cstheme="minorHAnsi"/>
                <w:sz w:val="24"/>
                <w:szCs w:val="24"/>
              </w:rPr>
              <w:t xml:space="preserve">Metodologia de investigare a siturilor potențial contaminate și a celor contaminate și metodologia de remediere a siturilor contaminate au fost elaborate cu ajutorul unei asistențe tehnice în perioada 2017-2018. </w:t>
            </w:r>
          </w:p>
          <w:p w14:paraId="3ABF724F" w14:textId="77777777" w:rsidR="00582D93" w:rsidRPr="001552C0" w:rsidRDefault="00582D93" w:rsidP="0071682D">
            <w:pPr>
              <w:jc w:val="both"/>
              <w:rPr>
                <w:rFonts w:cstheme="minorHAnsi"/>
                <w:sz w:val="24"/>
                <w:szCs w:val="24"/>
              </w:rPr>
            </w:pPr>
            <w:r w:rsidRPr="001552C0">
              <w:rPr>
                <w:rFonts w:cstheme="minorHAnsi"/>
                <w:sz w:val="24"/>
                <w:szCs w:val="24"/>
              </w:rPr>
              <w:t>Metodologia de investigare reprezintă setul de măsuri pentru: i) Identificarea și inventarierea siturilor potențial contaminate; ii) Investigarea preliminară a siturilor potențial contaminate; iii) Investigarea detaliată și evaluarea riscului şi iv) realizarea listelor județene și a Inventarului național al siturilor potențial contaminate, siturilor contaminate și siturilor remediate. Metodologia clarifică, de asemenea, modelul conceptual al sitului, precizează responsabilităţile şi procedurile în cazul siturilor potențial contaminate și contaminate orfane precum şi procedura de acreditare a experţilor (persoane fizice şi juridice) care desfășoară activități din domeniul gestionării siturilor potențial contaminate și a celor contaminate.</w:t>
            </w:r>
          </w:p>
          <w:p w14:paraId="5D9103AF" w14:textId="77777777" w:rsidR="00582D93" w:rsidRPr="001552C0" w:rsidRDefault="00582D93" w:rsidP="0071682D">
            <w:pPr>
              <w:jc w:val="both"/>
              <w:rPr>
                <w:rFonts w:cstheme="minorHAnsi"/>
                <w:sz w:val="24"/>
                <w:szCs w:val="24"/>
              </w:rPr>
            </w:pPr>
            <w:r w:rsidRPr="001552C0">
              <w:rPr>
                <w:rFonts w:cstheme="minorHAnsi"/>
                <w:sz w:val="24"/>
                <w:szCs w:val="24"/>
              </w:rPr>
              <w:t xml:space="preserve">Conform Legii nr.74/2019 privind gestionarea siturilor potențial contaminate și a celor contaminate, paşii necesar a fi parcurşi sunt: </w:t>
            </w:r>
          </w:p>
          <w:p w14:paraId="1F4744B7"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w:t>
            </w:r>
            <w:r w:rsidRPr="001552C0">
              <w:rPr>
                <w:rFonts w:cstheme="minorHAnsi"/>
                <w:sz w:val="24"/>
                <w:szCs w:val="24"/>
              </w:rPr>
              <w:tab/>
              <w:t>Identificarea siturilor potenţial contaminate;</w:t>
            </w:r>
          </w:p>
          <w:p w14:paraId="0C23E8CA"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w:t>
            </w:r>
            <w:r w:rsidRPr="001552C0">
              <w:rPr>
                <w:rFonts w:cstheme="minorHAnsi"/>
                <w:sz w:val="24"/>
                <w:szCs w:val="24"/>
              </w:rPr>
              <w:tab/>
              <w:t>Inventarierea siturilor potenţial contaminate;</w:t>
            </w:r>
          </w:p>
          <w:p w14:paraId="58A64BB9"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w:t>
            </w:r>
            <w:r w:rsidRPr="001552C0">
              <w:rPr>
                <w:rFonts w:cstheme="minorHAnsi"/>
                <w:sz w:val="24"/>
                <w:szCs w:val="24"/>
              </w:rPr>
              <w:tab/>
              <w:t>Investigarea preliminară a siturilor potenţial contaminate;</w:t>
            </w:r>
          </w:p>
          <w:p w14:paraId="7EB3D6D7"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w:t>
            </w:r>
            <w:r w:rsidRPr="001552C0">
              <w:rPr>
                <w:rFonts w:cstheme="minorHAnsi"/>
                <w:sz w:val="24"/>
                <w:szCs w:val="24"/>
              </w:rPr>
              <w:tab/>
              <w:t>Investigarea detaliată şi evaluarea riscului asupra mediului;</w:t>
            </w:r>
          </w:p>
          <w:p w14:paraId="5445DFC1"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w:t>
            </w:r>
            <w:r w:rsidRPr="001552C0">
              <w:rPr>
                <w:rFonts w:cstheme="minorHAnsi"/>
                <w:sz w:val="24"/>
                <w:szCs w:val="24"/>
              </w:rPr>
              <w:tab/>
              <w:t>Prioritizarea siturilor declarate contaminate;</w:t>
            </w:r>
          </w:p>
          <w:p w14:paraId="17A5CD4D"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w:t>
            </w:r>
            <w:r w:rsidRPr="001552C0">
              <w:rPr>
                <w:rFonts w:cstheme="minorHAnsi"/>
                <w:sz w:val="24"/>
                <w:szCs w:val="24"/>
              </w:rPr>
              <w:tab/>
              <w:t>Remedierea siturilor contaminate;</w:t>
            </w:r>
          </w:p>
          <w:p w14:paraId="4EC1C2D0" w14:textId="77777777" w:rsidR="00582D93" w:rsidRPr="001552C0" w:rsidRDefault="00582D93" w:rsidP="00842F93">
            <w:pPr>
              <w:spacing w:after="0" w:line="240" w:lineRule="auto"/>
              <w:jc w:val="both"/>
              <w:rPr>
                <w:rFonts w:cstheme="minorHAnsi"/>
                <w:sz w:val="24"/>
                <w:szCs w:val="24"/>
              </w:rPr>
            </w:pPr>
            <w:r w:rsidRPr="001552C0">
              <w:rPr>
                <w:rFonts w:cstheme="minorHAnsi"/>
                <w:sz w:val="24"/>
                <w:szCs w:val="24"/>
              </w:rPr>
              <w:t xml:space="preserve"> •         Monitorizarea post remediere.</w:t>
            </w:r>
          </w:p>
          <w:p w14:paraId="726D5777" w14:textId="2793C785" w:rsidR="00582D93" w:rsidRPr="001552C0" w:rsidRDefault="00582D93" w:rsidP="0071682D">
            <w:pPr>
              <w:jc w:val="both"/>
              <w:rPr>
                <w:rFonts w:cstheme="minorHAnsi"/>
                <w:sz w:val="24"/>
                <w:szCs w:val="24"/>
              </w:rPr>
            </w:pPr>
            <w:r w:rsidRPr="001552C0">
              <w:rPr>
                <w:rFonts w:cstheme="minorHAnsi"/>
                <w:sz w:val="24"/>
                <w:szCs w:val="24"/>
              </w:rPr>
              <w:t xml:space="preserve">Informațiile rezultate în urma aplicării legislației naționale în domeniul gestionării siturilor contaminate, în etapele de inventariere și investigare </w:t>
            </w:r>
            <w:r w:rsidR="008A6366">
              <w:rPr>
                <w:rFonts w:cstheme="minorHAnsi"/>
                <w:sz w:val="24"/>
                <w:szCs w:val="24"/>
              </w:rPr>
              <w:t>este necesar a</w:t>
            </w:r>
            <w:r w:rsidRPr="001552C0">
              <w:rPr>
                <w:rFonts w:cstheme="minorHAnsi"/>
                <w:sz w:val="24"/>
                <w:szCs w:val="24"/>
              </w:rPr>
              <w:t xml:space="preserve"> fi cumulate într-o bază de date la nivel național în sistem GIS care va reprezenta un instrument de lucru util autorității publice centrale și locale pentru protecția mediului care să stea la baza alegerii celor mai potrivite soluții în vederea remedierii acestora. </w:t>
            </w:r>
          </w:p>
          <w:p w14:paraId="67C17108" w14:textId="77777777" w:rsidR="00582D93" w:rsidRPr="001552C0" w:rsidRDefault="00582D93" w:rsidP="0071682D">
            <w:pPr>
              <w:jc w:val="both"/>
              <w:rPr>
                <w:rFonts w:cstheme="minorHAnsi"/>
                <w:sz w:val="24"/>
                <w:szCs w:val="24"/>
              </w:rPr>
            </w:pPr>
            <w:r w:rsidRPr="001552C0">
              <w:rPr>
                <w:rFonts w:cstheme="minorHAnsi"/>
                <w:sz w:val="24"/>
                <w:szCs w:val="24"/>
              </w:rPr>
              <w:t xml:space="preserve">Finanţarea proiectelor privind remedierea siturilor contaminate poate avea o contribuţie directă la dezvoltarea infrastructurii verzi. </w:t>
            </w:r>
          </w:p>
          <w:p w14:paraId="031A230A" w14:textId="76C6836C" w:rsidR="00582D93" w:rsidRPr="001552C0" w:rsidRDefault="00582D93" w:rsidP="0071682D">
            <w:pPr>
              <w:jc w:val="both"/>
              <w:rPr>
                <w:rFonts w:cstheme="minorHAnsi"/>
                <w:sz w:val="24"/>
                <w:szCs w:val="24"/>
              </w:rPr>
            </w:pPr>
            <w:r w:rsidRPr="001552C0">
              <w:rPr>
                <w:rFonts w:cstheme="minorHAnsi"/>
                <w:sz w:val="24"/>
                <w:szCs w:val="24"/>
              </w:rPr>
              <w:t>P</w:t>
            </w:r>
            <w:r w:rsidR="00F2759A" w:rsidRPr="001552C0">
              <w:rPr>
                <w:rFonts w:cstheme="minorHAnsi"/>
                <w:sz w:val="24"/>
                <w:szCs w:val="24"/>
              </w:rPr>
              <w:t xml:space="preserve">rin PODD vor fi promovate </w:t>
            </w:r>
            <w:r w:rsidR="005C1BBE">
              <w:rPr>
                <w:rFonts w:cstheme="minorHAnsi"/>
                <w:sz w:val="24"/>
                <w:szCs w:val="24"/>
              </w:rPr>
              <w:t>intervenții/măsuri</w:t>
            </w:r>
            <w:r w:rsidR="005C1BBE" w:rsidRPr="005C1BBE">
              <w:rPr>
                <w:rFonts w:cstheme="minorHAnsi"/>
                <w:sz w:val="24"/>
                <w:szCs w:val="24"/>
              </w:rPr>
              <w:t xml:space="preserve"> </w:t>
            </w:r>
            <w:r w:rsidRPr="001552C0">
              <w:rPr>
                <w:rFonts w:cstheme="minorHAnsi"/>
                <w:sz w:val="24"/>
                <w:szCs w:val="24"/>
              </w:rPr>
              <w:t>privind:</w:t>
            </w:r>
          </w:p>
          <w:p w14:paraId="1CBEF606" w14:textId="21A4DA13" w:rsidR="00582D93" w:rsidRPr="001552C0" w:rsidRDefault="00582D93" w:rsidP="00603627">
            <w:pPr>
              <w:pStyle w:val="ListParagraph"/>
              <w:numPr>
                <w:ilvl w:val="0"/>
                <w:numId w:val="81"/>
              </w:numPr>
              <w:spacing w:line="276" w:lineRule="auto"/>
              <w:jc w:val="both"/>
              <w:rPr>
                <w:rFonts w:ascii="Calibri" w:hAnsi="Calibri"/>
                <w:lang w:val="ro-RO"/>
              </w:rPr>
            </w:pPr>
            <w:r w:rsidRPr="001552C0">
              <w:rPr>
                <w:rFonts w:ascii="Calibri" w:hAnsi="Calibri"/>
                <w:lang w:val="ro-RO"/>
              </w:rPr>
              <w:t xml:space="preserve">sprijinirea procesului de inventariere și investigare preliminară și detaliată a </w:t>
            </w:r>
            <w:r w:rsidRPr="001552C0">
              <w:rPr>
                <w:rFonts w:ascii="Calibri" w:hAnsi="Calibri"/>
                <w:lang w:val="ro-RO"/>
              </w:rPr>
              <w:lastRenderedPageBreak/>
              <w:t>siturilor potenţial contaminate (în principal prin dezvoltarea unei baze de date şi a unei platforme GIS care să permită actualizarea permanentă a acestora);</w:t>
            </w:r>
          </w:p>
          <w:p w14:paraId="64F11148" w14:textId="07AA75B8" w:rsidR="00582D93" w:rsidRPr="001552C0" w:rsidRDefault="00582D93" w:rsidP="00603627">
            <w:pPr>
              <w:pStyle w:val="ListParagraph"/>
              <w:numPr>
                <w:ilvl w:val="0"/>
                <w:numId w:val="81"/>
              </w:numPr>
              <w:spacing w:line="276" w:lineRule="auto"/>
              <w:jc w:val="both"/>
              <w:rPr>
                <w:rFonts w:ascii="Calibri" w:hAnsi="Calibri"/>
                <w:lang w:val="ro-RO"/>
              </w:rPr>
            </w:pPr>
            <w:r w:rsidRPr="001552C0">
              <w:rPr>
                <w:rFonts w:ascii="Calibri" w:hAnsi="Calibri"/>
                <w:lang w:val="ro-RO"/>
              </w:rPr>
              <w:t>remedierea siturilor contaminate orfane aflate în proprietatea autorităților publice sau puse la dispoziţia acestora de către proprietar, asigurarea calității factorilor de mediu, în vederea protejării sănătăţii umane și mediului, inclusiv monitorizarea post</w:t>
            </w:r>
            <w:r w:rsidR="00842F93" w:rsidRPr="001552C0">
              <w:rPr>
                <w:rFonts w:ascii="Calibri" w:hAnsi="Calibri"/>
                <w:lang w:val="ro-RO"/>
              </w:rPr>
              <w:t>-</w:t>
            </w:r>
            <w:r w:rsidRPr="001552C0">
              <w:rPr>
                <w:rFonts w:ascii="Calibri" w:hAnsi="Calibri"/>
                <w:lang w:val="ro-RO"/>
              </w:rPr>
              <w:t>remediere a acestora.</w:t>
            </w:r>
          </w:p>
          <w:p w14:paraId="52404E36" w14:textId="5134F351" w:rsidR="00EC5511" w:rsidRPr="001552C0" w:rsidRDefault="00582D93" w:rsidP="004A4C1A">
            <w:pPr>
              <w:spacing w:before="120" w:after="120"/>
              <w:contextualSpacing/>
              <w:jc w:val="both"/>
              <w:rPr>
                <w:rFonts w:ascii="Times New Roman" w:eastAsia="Times New Roman" w:hAnsi="Times New Roman" w:cs="Times New Roman"/>
                <w:i/>
                <w:noProof/>
              </w:rPr>
            </w:pPr>
            <w:r w:rsidRPr="001552C0">
              <w:rPr>
                <w:rFonts w:cstheme="minorHAnsi"/>
                <w:b/>
                <w:sz w:val="24"/>
                <w:szCs w:val="24"/>
              </w:rPr>
              <w:t>Beneficiari</w:t>
            </w:r>
            <w:r w:rsidRPr="001552C0">
              <w:rPr>
                <w:rFonts w:cstheme="minorHAnsi"/>
                <w:sz w:val="24"/>
                <w:szCs w:val="24"/>
              </w:rPr>
              <w:t xml:space="preserve"> - </w:t>
            </w:r>
            <w:r w:rsidR="004A4C1A" w:rsidRPr="001552C0">
              <w:rPr>
                <w:rFonts w:cstheme="minorHAnsi"/>
                <w:sz w:val="24"/>
                <w:szCs w:val="24"/>
              </w:rPr>
              <w:t>Ministerul Mediului, Apelor si Pădurilor (MMAP), a</w:t>
            </w:r>
            <w:r w:rsidRPr="001552C0">
              <w:rPr>
                <w:rFonts w:cstheme="minorHAnsi"/>
                <w:sz w:val="24"/>
                <w:szCs w:val="24"/>
              </w:rPr>
              <w:t>utorități publice centrale și locale, alte organisme publice în domeniul protecției mediului, inclusiv structuri subordonate acestora, cu responsabilități în domeniul gestionării siturilor contaminate</w:t>
            </w:r>
            <w:r w:rsidR="00EC5511" w:rsidRPr="001552C0">
              <w:rPr>
                <w:rFonts w:eastAsia="Times New Roman" w:cstheme="minorHAnsi"/>
                <w:iCs/>
                <w:noProof/>
                <w:szCs w:val="24"/>
              </w:rPr>
              <w:t xml:space="preserve"> </w:t>
            </w:r>
          </w:p>
        </w:tc>
      </w:tr>
    </w:tbl>
    <w:p w14:paraId="4E25BE94" w14:textId="77777777" w:rsidR="007A5507" w:rsidRPr="001552C0" w:rsidRDefault="007A5507" w:rsidP="007A5507">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lastRenderedPageBreak/>
        <w:t>The main target groups - Article 17(3)(d)(iii):</w:t>
      </w:r>
    </w:p>
    <w:p w14:paraId="190D212A" w14:textId="77777777" w:rsidR="007A5507" w:rsidRPr="001552C0"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[1 000]</w:t>
      </w:r>
    </w:p>
    <w:p w14:paraId="27BE033A" w14:textId="77777777" w:rsidR="007A5507" w:rsidRPr="001552C0" w:rsidRDefault="007A5507" w:rsidP="007A5507">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Specific territories tageted, including the planned use of territorial tools – Article 17(3)(d)(iv)</w:t>
      </w:r>
    </w:p>
    <w:p w14:paraId="3F8EA009" w14:textId="77777777" w:rsidR="007A5507" w:rsidRPr="001552C0" w:rsidRDefault="007A5507" w:rsidP="007A550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[2 000]</w:t>
      </w:r>
    </w:p>
    <w:p w14:paraId="16B06D0E" w14:textId="77777777" w:rsidR="007A5507" w:rsidRPr="001552C0" w:rsidRDefault="007A5507" w:rsidP="007A5507">
      <w:pPr>
        <w:spacing w:before="120" w:after="120" w:line="240" w:lineRule="auto"/>
        <w:rPr>
          <w:b/>
          <w:iCs/>
        </w:rPr>
      </w:pPr>
      <w:r w:rsidRPr="001552C0">
        <w:rPr>
          <w:b/>
          <w:iCs/>
        </w:rPr>
        <w:t>2.A.3.2 Indicators</w:t>
      </w:r>
    </w:p>
    <w:p w14:paraId="09546424" w14:textId="77777777" w:rsidR="007A5507" w:rsidRPr="001552C0" w:rsidRDefault="007A5507" w:rsidP="007A5507">
      <w:pPr>
        <w:rPr>
          <w:b/>
          <w:bCs/>
          <w:i/>
        </w:rPr>
      </w:pPr>
      <w:r w:rsidRPr="001552C0">
        <w:rPr>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357"/>
        <w:gridCol w:w="630"/>
        <w:gridCol w:w="1051"/>
        <w:gridCol w:w="759"/>
        <w:gridCol w:w="1425"/>
        <w:gridCol w:w="1367"/>
        <w:gridCol w:w="1039"/>
        <w:gridCol w:w="740"/>
      </w:tblGrid>
      <w:tr w:rsidR="00B96B06" w:rsidRPr="001552C0" w14:paraId="5F49BF03" w14:textId="77777777" w:rsidTr="001D27CD">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05927972" w14:textId="77777777" w:rsidR="007A5507" w:rsidRPr="001552C0" w:rsidRDefault="007A5507" w:rsidP="007A5507">
            <w:pPr>
              <w:rPr>
                <w:b/>
              </w:rPr>
            </w:pPr>
            <w:r w:rsidRPr="001552C0">
              <w:rPr>
                <w:b/>
                <w:iCs/>
              </w:rPr>
              <w:t>Table 2: Output indicators</w:t>
            </w:r>
          </w:p>
        </w:tc>
      </w:tr>
      <w:tr w:rsidR="00B96B06" w:rsidRPr="001552C0" w14:paraId="0B9B7B1E" w14:textId="77777777" w:rsidTr="007D72A6">
        <w:trPr>
          <w:trHeight w:val="1647"/>
        </w:trPr>
        <w:tc>
          <w:tcPr>
            <w:tcW w:w="754" w:type="pct"/>
            <w:tcBorders>
              <w:top w:val="single" w:sz="4" w:space="0" w:color="auto"/>
              <w:left w:val="single" w:sz="4" w:space="0" w:color="auto"/>
              <w:bottom w:val="single" w:sz="4" w:space="0" w:color="auto"/>
              <w:right w:val="single" w:sz="4" w:space="0" w:color="auto"/>
            </w:tcBorders>
            <w:hideMark/>
          </w:tcPr>
          <w:p w14:paraId="2B31C390" w14:textId="77777777" w:rsidR="007A5507" w:rsidRPr="001552C0" w:rsidRDefault="007A5507" w:rsidP="007A5507">
            <w:pPr>
              <w:rPr>
                <w:b/>
              </w:rPr>
            </w:pPr>
            <w:r w:rsidRPr="001552C0">
              <w:rPr>
                <w:b/>
              </w:rPr>
              <w:t xml:space="preserve">Priority </w:t>
            </w:r>
          </w:p>
        </w:tc>
        <w:tc>
          <w:tcPr>
            <w:tcW w:w="689" w:type="pct"/>
            <w:tcBorders>
              <w:top w:val="single" w:sz="4" w:space="0" w:color="auto"/>
              <w:left w:val="single" w:sz="4" w:space="0" w:color="auto"/>
              <w:bottom w:val="single" w:sz="4" w:space="0" w:color="auto"/>
              <w:right w:val="single" w:sz="4" w:space="0" w:color="auto"/>
            </w:tcBorders>
            <w:hideMark/>
          </w:tcPr>
          <w:p w14:paraId="2F282D40" w14:textId="77777777" w:rsidR="007A5507" w:rsidRPr="001552C0" w:rsidRDefault="007A5507" w:rsidP="007A5507">
            <w:pPr>
              <w:rPr>
                <w:b/>
              </w:rPr>
            </w:pPr>
            <w:r w:rsidRPr="001552C0">
              <w:rPr>
                <w:b/>
              </w:rPr>
              <w:t>Specific objective (Investment for Jobs and Growth goal or EMFF)</w:t>
            </w:r>
          </w:p>
        </w:tc>
        <w:tc>
          <w:tcPr>
            <w:tcW w:w="320" w:type="pct"/>
            <w:tcBorders>
              <w:top w:val="single" w:sz="4" w:space="0" w:color="auto"/>
              <w:left w:val="single" w:sz="4" w:space="0" w:color="auto"/>
              <w:bottom w:val="single" w:sz="4" w:space="0" w:color="auto"/>
              <w:right w:val="single" w:sz="4" w:space="0" w:color="auto"/>
            </w:tcBorders>
            <w:hideMark/>
          </w:tcPr>
          <w:p w14:paraId="335CC419" w14:textId="77777777" w:rsidR="007A5507" w:rsidRPr="001552C0" w:rsidRDefault="007A5507" w:rsidP="007A5507">
            <w:pPr>
              <w:rPr>
                <w:b/>
              </w:rPr>
            </w:pPr>
            <w:r w:rsidRPr="001552C0">
              <w:rPr>
                <w:b/>
              </w:rPr>
              <w:t>Fund</w:t>
            </w:r>
          </w:p>
        </w:tc>
        <w:tc>
          <w:tcPr>
            <w:tcW w:w="533" w:type="pct"/>
            <w:tcBorders>
              <w:top w:val="single" w:sz="4" w:space="0" w:color="auto"/>
              <w:left w:val="single" w:sz="4" w:space="0" w:color="auto"/>
              <w:bottom w:val="single" w:sz="4" w:space="0" w:color="auto"/>
              <w:right w:val="single" w:sz="4" w:space="0" w:color="auto"/>
            </w:tcBorders>
            <w:hideMark/>
          </w:tcPr>
          <w:p w14:paraId="08DBB061" w14:textId="77777777" w:rsidR="007A5507" w:rsidRPr="001552C0" w:rsidRDefault="007A5507" w:rsidP="007A5507">
            <w:pPr>
              <w:rPr>
                <w:b/>
              </w:rPr>
            </w:pPr>
            <w:r w:rsidRPr="001552C0">
              <w:rPr>
                <w:b/>
              </w:rPr>
              <w:t>Category of region</w:t>
            </w:r>
          </w:p>
        </w:tc>
        <w:tc>
          <w:tcPr>
            <w:tcW w:w="385" w:type="pct"/>
            <w:tcBorders>
              <w:top w:val="single" w:sz="4" w:space="0" w:color="auto"/>
              <w:left w:val="single" w:sz="4" w:space="0" w:color="auto"/>
              <w:bottom w:val="single" w:sz="4" w:space="0" w:color="auto"/>
              <w:right w:val="single" w:sz="4" w:space="0" w:color="auto"/>
            </w:tcBorders>
            <w:hideMark/>
          </w:tcPr>
          <w:p w14:paraId="6F0A1CAD" w14:textId="77777777" w:rsidR="007A5507" w:rsidRPr="001552C0" w:rsidRDefault="007A5507" w:rsidP="007A5507">
            <w:pPr>
              <w:rPr>
                <w:b/>
              </w:rPr>
            </w:pPr>
            <w:r w:rsidRPr="001552C0">
              <w:rPr>
                <w:b/>
              </w:rPr>
              <w:t>ID [5]</w:t>
            </w:r>
          </w:p>
        </w:tc>
        <w:tc>
          <w:tcPr>
            <w:tcW w:w="723" w:type="pct"/>
            <w:tcBorders>
              <w:top w:val="single" w:sz="4" w:space="0" w:color="auto"/>
              <w:left w:val="single" w:sz="4" w:space="0" w:color="auto"/>
              <w:bottom w:val="single" w:sz="4" w:space="0" w:color="auto"/>
              <w:right w:val="single" w:sz="4" w:space="0" w:color="auto"/>
            </w:tcBorders>
            <w:hideMark/>
          </w:tcPr>
          <w:p w14:paraId="71FB15D3" w14:textId="77777777" w:rsidR="007A5507" w:rsidRPr="001552C0" w:rsidRDefault="007A5507" w:rsidP="007A5507">
            <w:pPr>
              <w:rPr>
                <w:b/>
              </w:rPr>
            </w:pPr>
            <w:r w:rsidRPr="001552C0">
              <w:rPr>
                <w:b/>
              </w:rPr>
              <w:t xml:space="preserve">Indicator [255] </w:t>
            </w:r>
          </w:p>
        </w:tc>
        <w:tc>
          <w:tcPr>
            <w:tcW w:w="694" w:type="pct"/>
            <w:tcBorders>
              <w:top w:val="single" w:sz="4" w:space="0" w:color="auto"/>
              <w:left w:val="single" w:sz="4" w:space="0" w:color="auto"/>
              <w:bottom w:val="single" w:sz="4" w:space="0" w:color="auto"/>
              <w:right w:val="single" w:sz="4" w:space="0" w:color="auto"/>
            </w:tcBorders>
            <w:hideMark/>
          </w:tcPr>
          <w:p w14:paraId="48813EF5" w14:textId="77777777" w:rsidR="007A5507" w:rsidRPr="001552C0" w:rsidRDefault="007A5507" w:rsidP="007A5507">
            <w:pPr>
              <w:rPr>
                <w:b/>
              </w:rPr>
            </w:pPr>
            <w:r w:rsidRPr="001552C0">
              <w:rPr>
                <w:b/>
              </w:rPr>
              <w:t>Measurement unit</w:t>
            </w:r>
          </w:p>
        </w:tc>
        <w:tc>
          <w:tcPr>
            <w:tcW w:w="527" w:type="pct"/>
            <w:tcBorders>
              <w:top w:val="single" w:sz="4" w:space="0" w:color="auto"/>
              <w:left w:val="single" w:sz="4" w:space="0" w:color="auto"/>
              <w:bottom w:val="single" w:sz="4" w:space="0" w:color="auto"/>
              <w:right w:val="single" w:sz="4" w:space="0" w:color="auto"/>
            </w:tcBorders>
          </w:tcPr>
          <w:p w14:paraId="215907DC" w14:textId="77777777" w:rsidR="007A5507" w:rsidRPr="001552C0" w:rsidRDefault="007A5507" w:rsidP="007A5507">
            <w:pPr>
              <w:rPr>
                <w:b/>
              </w:rPr>
            </w:pPr>
            <w:r w:rsidRPr="001552C0">
              <w:rPr>
                <w:b/>
              </w:rPr>
              <w:t>Milestone (2024)</w:t>
            </w:r>
          </w:p>
          <w:p w14:paraId="6F8F4801" w14:textId="77777777" w:rsidR="007A5507" w:rsidRPr="001552C0" w:rsidRDefault="007A5507" w:rsidP="007A5507">
            <w:pPr>
              <w:rPr>
                <w:b/>
              </w:rPr>
            </w:pPr>
          </w:p>
        </w:tc>
        <w:tc>
          <w:tcPr>
            <w:tcW w:w="375" w:type="pct"/>
            <w:tcBorders>
              <w:top w:val="single" w:sz="4" w:space="0" w:color="auto"/>
              <w:left w:val="single" w:sz="4" w:space="0" w:color="auto"/>
              <w:bottom w:val="single" w:sz="4" w:space="0" w:color="auto"/>
              <w:right w:val="single" w:sz="4" w:space="0" w:color="auto"/>
            </w:tcBorders>
          </w:tcPr>
          <w:p w14:paraId="66CA3A55" w14:textId="77777777" w:rsidR="007A5507" w:rsidRPr="001552C0" w:rsidRDefault="007A5507" w:rsidP="007A5507">
            <w:pPr>
              <w:rPr>
                <w:b/>
              </w:rPr>
            </w:pPr>
            <w:r w:rsidRPr="001552C0">
              <w:rPr>
                <w:b/>
              </w:rPr>
              <w:t>Target (2029)</w:t>
            </w:r>
          </w:p>
          <w:p w14:paraId="772CC556" w14:textId="77777777" w:rsidR="007A5507" w:rsidRPr="001552C0" w:rsidRDefault="007A5507" w:rsidP="007A5507">
            <w:pPr>
              <w:rPr>
                <w:b/>
              </w:rPr>
            </w:pPr>
          </w:p>
        </w:tc>
      </w:tr>
      <w:tr w:rsidR="00B96B06" w:rsidRPr="001552C0" w14:paraId="78190C82" w14:textId="77777777" w:rsidTr="007D72A6">
        <w:trPr>
          <w:trHeight w:val="340"/>
        </w:trPr>
        <w:tc>
          <w:tcPr>
            <w:tcW w:w="754" w:type="pct"/>
            <w:tcBorders>
              <w:top w:val="single" w:sz="4" w:space="0" w:color="auto"/>
              <w:left w:val="single" w:sz="4" w:space="0" w:color="auto"/>
              <w:bottom w:val="single" w:sz="4" w:space="0" w:color="auto"/>
              <w:right w:val="single" w:sz="4" w:space="0" w:color="auto"/>
            </w:tcBorders>
          </w:tcPr>
          <w:p w14:paraId="46579418" w14:textId="77777777" w:rsidR="00201D78" w:rsidRPr="001552C0" w:rsidRDefault="00201D78" w:rsidP="00201D78">
            <w:r w:rsidRPr="001552C0">
              <w:t>Prioritatea 3. Protecţia mediului prin conservarea biodiversităţii, asigurarea calităţii aerului şi remediere a siturilor contaminate</w:t>
            </w:r>
          </w:p>
          <w:p w14:paraId="66CEDF93" w14:textId="744016BB" w:rsidR="007A5507" w:rsidRPr="001552C0" w:rsidRDefault="003332C9" w:rsidP="007A5507">
            <w:r w:rsidRPr="001552C0">
              <w:t>3.1 Conservarea biodiversității</w:t>
            </w:r>
          </w:p>
        </w:tc>
        <w:tc>
          <w:tcPr>
            <w:tcW w:w="689" w:type="pct"/>
            <w:tcBorders>
              <w:top w:val="single" w:sz="4" w:space="0" w:color="auto"/>
              <w:left w:val="single" w:sz="4" w:space="0" w:color="auto"/>
              <w:bottom w:val="single" w:sz="4" w:space="0" w:color="auto"/>
              <w:right w:val="single" w:sz="4" w:space="0" w:color="auto"/>
            </w:tcBorders>
          </w:tcPr>
          <w:p w14:paraId="2963F4A7" w14:textId="78225FFC" w:rsidR="007A5507" w:rsidRPr="001552C0" w:rsidRDefault="00201D78" w:rsidP="00201D78">
            <w:r w:rsidRPr="001552C0">
              <w:t>Îmbunătățirea protecției naturii și a biodiversității, a infrastructurii verzi în special în mediul urban și reducerea poluării</w:t>
            </w:r>
          </w:p>
        </w:tc>
        <w:tc>
          <w:tcPr>
            <w:tcW w:w="320" w:type="pct"/>
            <w:tcBorders>
              <w:top w:val="single" w:sz="4" w:space="0" w:color="auto"/>
              <w:left w:val="single" w:sz="4" w:space="0" w:color="auto"/>
              <w:bottom w:val="single" w:sz="4" w:space="0" w:color="auto"/>
              <w:right w:val="single" w:sz="4" w:space="0" w:color="auto"/>
            </w:tcBorders>
          </w:tcPr>
          <w:p w14:paraId="7AAD73DF" w14:textId="00A93671" w:rsidR="007A5507" w:rsidRPr="001552C0" w:rsidRDefault="003332C9" w:rsidP="007A5507">
            <w:r w:rsidRPr="001552C0">
              <w:t>FERD</w:t>
            </w:r>
          </w:p>
        </w:tc>
        <w:tc>
          <w:tcPr>
            <w:tcW w:w="533" w:type="pct"/>
            <w:tcBorders>
              <w:top w:val="single" w:sz="4" w:space="0" w:color="auto"/>
              <w:left w:val="single" w:sz="4" w:space="0" w:color="auto"/>
              <w:bottom w:val="single" w:sz="4" w:space="0" w:color="auto"/>
              <w:right w:val="single" w:sz="4" w:space="0" w:color="auto"/>
            </w:tcBorders>
          </w:tcPr>
          <w:p w14:paraId="769A4638" w14:textId="77777777" w:rsidR="007A5507" w:rsidRPr="001552C0" w:rsidRDefault="003332C9" w:rsidP="007A5507">
            <w:r w:rsidRPr="001552C0">
              <w:t>Mai dezvoltată</w:t>
            </w:r>
          </w:p>
          <w:p w14:paraId="6B431D9B" w14:textId="5B355D19" w:rsidR="003332C9" w:rsidRPr="001552C0" w:rsidRDefault="003332C9" w:rsidP="007A5507">
            <w:r w:rsidRPr="001552C0">
              <w:t>Mai puțin dezvoltată</w:t>
            </w:r>
          </w:p>
        </w:tc>
        <w:tc>
          <w:tcPr>
            <w:tcW w:w="385" w:type="pct"/>
            <w:tcBorders>
              <w:top w:val="single" w:sz="4" w:space="0" w:color="auto"/>
              <w:left w:val="single" w:sz="4" w:space="0" w:color="auto"/>
              <w:bottom w:val="single" w:sz="4" w:space="0" w:color="auto"/>
              <w:right w:val="single" w:sz="4" w:space="0" w:color="auto"/>
            </w:tcBorders>
          </w:tcPr>
          <w:p w14:paraId="08D3BD38" w14:textId="075CA874" w:rsidR="007A5507" w:rsidRPr="001552C0" w:rsidRDefault="00827349" w:rsidP="007A5507">
            <w:pPr>
              <w:rPr>
                <w:b/>
                <w:i/>
              </w:rPr>
            </w:pPr>
            <w:r w:rsidRPr="001552C0">
              <w:rPr>
                <w:b/>
                <w:i/>
              </w:rPr>
              <w:t>RCO 37</w:t>
            </w:r>
          </w:p>
        </w:tc>
        <w:tc>
          <w:tcPr>
            <w:tcW w:w="723" w:type="pct"/>
            <w:tcBorders>
              <w:top w:val="single" w:sz="4" w:space="0" w:color="auto"/>
              <w:left w:val="single" w:sz="4" w:space="0" w:color="auto"/>
              <w:bottom w:val="single" w:sz="4" w:space="0" w:color="auto"/>
              <w:right w:val="single" w:sz="4" w:space="0" w:color="auto"/>
            </w:tcBorders>
          </w:tcPr>
          <w:p w14:paraId="3E0ED533" w14:textId="5F6C4524" w:rsidR="007A5507" w:rsidRPr="001552C0" w:rsidRDefault="00053980" w:rsidP="00827349">
            <w:r w:rsidRPr="001552C0">
              <w:t xml:space="preserve">Surface of Natura 2000 sites covered by protection and restoration measures </w:t>
            </w:r>
            <w:r w:rsidR="00827349" w:rsidRPr="001552C0">
              <w:t>(acţiunea vii.1)</w:t>
            </w:r>
          </w:p>
        </w:tc>
        <w:tc>
          <w:tcPr>
            <w:tcW w:w="694" w:type="pct"/>
            <w:tcBorders>
              <w:top w:val="single" w:sz="4" w:space="0" w:color="auto"/>
              <w:left w:val="single" w:sz="4" w:space="0" w:color="auto"/>
              <w:bottom w:val="single" w:sz="4" w:space="0" w:color="auto"/>
              <w:right w:val="single" w:sz="4" w:space="0" w:color="auto"/>
            </w:tcBorders>
          </w:tcPr>
          <w:p w14:paraId="5A15E6C8" w14:textId="57A55982" w:rsidR="007A5507" w:rsidRPr="001552C0" w:rsidRDefault="00053980" w:rsidP="007A5507">
            <w:pPr>
              <w:rPr>
                <w:b/>
                <w:i/>
              </w:rPr>
            </w:pPr>
            <w:r w:rsidRPr="001552C0">
              <w:t>hectare</w:t>
            </w:r>
          </w:p>
        </w:tc>
        <w:tc>
          <w:tcPr>
            <w:tcW w:w="527" w:type="pct"/>
            <w:tcBorders>
              <w:top w:val="single" w:sz="4" w:space="0" w:color="auto"/>
              <w:left w:val="single" w:sz="4" w:space="0" w:color="auto"/>
              <w:bottom w:val="single" w:sz="4" w:space="0" w:color="auto"/>
              <w:right w:val="single" w:sz="4" w:space="0" w:color="auto"/>
            </w:tcBorders>
          </w:tcPr>
          <w:p w14:paraId="15437E05" w14:textId="1632284E" w:rsidR="007A5507" w:rsidRPr="001552C0" w:rsidRDefault="00053980" w:rsidP="007A5507">
            <w:r w:rsidRPr="001552C0">
              <w:t>&gt;0</w:t>
            </w:r>
          </w:p>
        </w:tc>
        <w:tc>
          <w:tcPr>
            <w:tcW w:w="375" w:type="pct"/>
            <w:tcBorders>
              <w:top w:val="single" w:sz="4" w:space="0" w:color="auto"/>
              <w:left w:val="single" w:sz="4" w:space="0" w:color="auto"/>
              <w:bottom w:val="single" w:sz="4" w:space="0" w:color="auto"/>
              <w:right w:val="single" w:sz="4" w:space="0" w:color="auto"/>
            </w:tcBorders>
          </w:tcPr>
          <w:p w14:paraId="594646DA" w14:textId="32E77DC0" w:rsidR="007A5507" w:rsidRPr="001552C0" w:rsidRDefault="00053980" w:rsidP="007A5507">
            <w:r w:rsidRPr="001552C0">
              <w:t>&gt;0</w:t>
            </w:r>
          </w:p>
        </w:tc>
      </w:tr>
      <w:tr w:rsidR="00B96B06" w:rsidRPr="001552C0" w14:paraId="124641F0" w14:textId="77777777" w:rsidTr="007D72A6">
        <w:trPr>
          <w:trHeight w:val="332"/>
        </w:trPr>
        <w:tc>
          <w:tcPr>
            <w:tcW w:w="754" w:type="pct"/>
            <w:tcBorders>
              <w:top w:val="single" w:sz="4" w:space="0" w:color="auto"/>
              <w:left w:val="single" w:sz="4" w:space="0" w:color="auto"/>
              <w:bottom w:val="single" w:sz="4" w:space="0" w:color="auto"/>
              <w:right w:val="single" w:sz="4" w:space="0" w:color="auto"/>
            </w:tcBorders>
          </w:tcPr>
          <w:p w14:paraId="723C8428" w14:textId="77777777" w:rsidR="00D2674E" w:rsidRPr="001552C0" w:rsidRDefault="00D2674E" w:rsidP="00A446DA">
            <w:r w:rsidRPr="001552C0">
              <w:lastRenderedPageBreak/>
              <w:t>Prioritatea 3. Protecţia mediului prin conservarea biodiversităţii, asigurarea calităţii aerului şi remediere a siturilor contaminate</w:t>
            </w:r>
          </w:p>
          <w:p w14:paraId="7F4BF411" w14:textId="08D12CEF" w:rsidR="00D2674E" w:rsidRPr="001552C0" w:rsidRDefault="00D2674E">
            <w:pPr>
              <w:rPr>
                <w:b/>
                <w:i/>
              </w:rPr>
            </w:pPr>
            <w:r w:rsidRPr="001552C0">
              <w:t>3.1 Conservarea biodiversității</w:t>
            </w:r>
          </w:p>
        </w:tc>
        <w:tc>
          <w:tcPr>
            <w:tcW w:w="689" w:type="pct"/>
            <w:tcBorders>
              <w:top w:val="single" w:sz="4" w:space="0" w:color="auto"/>
              <w:left w:val="single" w:sz="4" w:space="0" w:color="auto"/>
              <w:bottom w:val="single" w:sz="4" w:space="0" w:color="auto"/>
              <w:right w:val="single" w:sz="4" w:space="0" w:color="auto"/>
            </w:tcBorders>
          </w:tcPr>
          <w:p w14:paraId="1FDF1F72" w14:textId="19F2338E" w:rsidR="00D2674E" w:rsidRPr="001552C0" w:rsidRDefault="00D2674E" w:rsidP="007A5507">
            <w:pPr>
              <w:rPr>
                <w:b/>
                <w:i/>
              </w:rPr>
            </w:pPr>
            <w:r w:rsidRPr="001552C0">
              <w:t>Îmbunătățirea protecției naturii și a biodiversității, a infrastructurii verzi în special în mediul urban și reducerea poluării</w:t>
            </w:r>
          </w:p>
        </w:tc>
        <w:tc>
          <w:tcPr>
            <w:tcW w:w="320" w:type="pct"/>
            <w:tcBorders>
              <w:top w:val="single" w:sz="4" w:space="0" w:color="auto"/>
              <w:left w:val="single" w:sz="4" w:space="0" w:color="auto"/>
              <w:bottom w:val="single" w:sz="4" w:space="0" w:color="auto"/>
              <w:right w:val="single" w:sz="4" w:space="0" w:color="auto"/>
            </w:tcBorders>
          </w:tcPr>
          <w:p w14:paraId="4DC62836" w14:textId="7BB08954" w:rsidR="00D2674E" w:rsidRPr="001552C0" w:rsidRDefault="00D2674E" w:rsidP="007A5507">
            <w:pPr>
              <w:rPr>
                <w:b/>
                <w:i/>
              </w:rPr>
            </w:pPr>
            <w:r w:rsidRPr="001552C0">
              <w:t>FERD</w:t>
            </w:r>
          </w:p>
        </w:tc>
        <w:tc>
          <w:tcPr>
            <w:tcW w:w="533" w:type="pct"/>
            <w:tcBorders>
              <w:top w:val="single" w:sz="4" w:space="0" w:color="auto"/>
              <w:left w:val="single" w:sz="4" w:space="0" w:color="auto"/>
              <w:bottom w:val="single" w:sz="4" w:space="0" w:color="auto"/>
              <w:right w:val="single" w:sz="4" w:space="0" w:color="auto"/>
            </w:tcBorders>
          </w:tcPr>
          <w:p w14:paraId="3E9144F1" w14:textId="77777777" w:rsidR="00D2674E" w:rsidRPr="001552C0" w:rsidRDefault="00D2674E" w:rsidP="00A446DA">
            <w:r w:rsidRPr="001552C0">
              <w:t>Mai dezvoltată</w:t>
            </w:r>
          </w:p>
          <w:p w14:paraId="46018A9D" w14:textId="660E9AE7" w:rsidR="00D2674E" w:rsidRPr="001552C0" w:rsidRDefault="00D2674E" w:rsidP="007A5507">
            <w:pPr>
              <w:rPr>
                <w:b/>
                <w:i/>
              </w:rPr>
            </w:pPr>
            <w:r w:rsidRPr="001552C0">
              <w:t>Mai puțin dezvoltată</w:t>
            </w:r>
          </w:p>
        </w:tc>
        <w:tc>
          <w:tcPr>
            <w:tcW w:w="385" w:type="pct"/>
            <w:tcBorders>
              <w:top w:val="single" w:sz="4" w:space="0" w:color="auto"/>
              <w:left w:val="single" w:sz="4" w:space="0" w:color="auto"/>
              <w:bottom w:val="single" w:sz="4" w:space="0" w:color="auto"/>
              <w:right w:val="single" w:sz="4" w:space="0" w:color="auto"/>
            </w:tcBorders>
          </w:tcPr>
          <w:p w14:paraId="442F918F" w14:textId="69DA4613" w:rsidR="00D2674E" w:rsidRPr="001552C0" w:rsidRDefault="00D2674E" w:rsidP="007A5507">
            <w:pPr>
              <w:rPr>
                <w:b/>
                <w:i/>
              </w:rPr>
            </w:pPr>
            <w:r w:rsidRPr="001552C0">
              <w:rPr>
                <w:b/>
                <w:i/>
              </w:rPr>
              <w:t>2S4</w:t>
            </w:r>
          </w:p>
        </w:tc>
        <w:tc>
          <w:tcPr>
            <w:tcW w:w="723" w:type="pct"/>
            <w:tcBorders>
              <w:top w:val="single" w:sz="4" w:space="0" w:color="auto"/>
              <w:left w:val="single" w:sz="4" w:space="0" w:color="auto"/>
              <w:bottom w:val="single" w:sz="4" w:space="0" w:color="auto"/>
              <w:right w:val="single" w:sz="4" w:space="0" w:color="auto"/>
            </w:tcBorders>
          </w:tcPr>
          <w:p w14:paraId="6FF003B2" w14:textId="1DCECDB1" w:rsidR="00D2674E" w:rsidRPr="001552C0" w:rsidRDefault="00D2674E" w:rsidP="007D72A6">
            <w:pPr>
              <w:rPr>
                <w:b/>
                <w:i/>
              </w:rPr>
            </w:pPr>
            <w:r w:rsidRPr="001552C0">
              <w:t xml:space="preserve">Structuri cu rol în managementul rețelei Natura 2000 si a altor arii naturale protejate sprijinite </w:t>
            </w:r>
          </w:p>
        </w:tc>
        <w:tc>
          <w:tcPr>
            <w:tcW w:w="694" w:type="pct"/>
            <w:tcBorders>
              <w:top w:val="single" w:sz="4" w:space="0" w:color="auto"/>
              <w:left w:val="single" w:sz="4" w:space="0" w:color="auto"/>
              <w:bottom w:val="single" w:sz="4" w:space="0" w:color="auto"/>
              <w:right w:val="single" w:sz="4" w:space="0" w:color="auto"/>
            </w:tcBorders>
          </w:tcPr>
          <w:p w14:paraId="65CAC151" w14:textId="21B5D0C0" w:rsidR="00D2674E" w:rsidRPr="001552C0" w:rsidRDefault="00D2674E" w:rsidP="007A5507">
            <w:pPr>
              <w:rPr>
                <w:b/>
                <w:i/>
              </w:rPr>
            </w:pPr>
            <w:r w:rsidRPr="001552C0">
              <w:t>structuri</w:t>
            </w:r>
          </w:p>
        </w:tc>
        <w:tc>
          <w:tcPr>
            <w:tcW w:w="527" w:type="pct"/>
            <w:tcBorders>
              <w:top w:val="single" w:sz="4" w:space="0" w:color="auto"/>
              <w:left w:val="single" w:sz="4" w:space="0" w:color="auto"/>
              <w:bottom w:val="single" w:sz="4" w:space="0" w:color="auto"/>
              <w:right w:val="single" w:sz="4" w:space="0" w:color="auto"/>
            </w:tcBorders>
          </w:tcPr>
          <w:p w14:paraId="2E6731CB" w14:textId="4EE7772F" w:rsidR="00D2674E" w:rsidRPr="001552C0" w:rsidRDefault="00D2674E" w:rsidP="007A5507">
            <w:pPr>
              <w:rPr>
                <w:b/>
              </w:rPr>
            </w:pPr>
            <w:r w:rsidRPr="001552C0">
              <w:t>&gt;0</w:t>
            </w:r>
          </w:p>
        </w:tc>
        <w:tc>
          <w:tcPr>
            <w:tcW w:w="375" w:type="pct"/>
            <w:tcBorders>
              <w:top w:val="single" w:sz="4" w:space="0" w:color="auto"/>
              <w:left w:val="single" w:sz="4" w:space="0" w:color="auto"/>
              <w:bottom w:val="single" w:sz="4" w:space="0" w:color="auto"/>
              <w:right w:val="single" w:sz="4" w:space="0" w:color="auto"/>
            </w:tcBorders>
          </w:tcPr>
          <w:p w14:paraId="47EE0BC4" w14:textId="20D41CEB" w:rsidR="00D2674E" w:rsidRPr="001552C0" w:rsidRDefault="00D2674E" w:rsidP="007A5507">
            <w:pPr>
              <w:rPr>
                <w:b/>
              </w:rPr>
            </w:pPr>
            <w:r w:rsidRPr="001552C0">
              <w:t>&gt;0</w:t>
            </w:r>
          </w:p>
        </w:tc>
      </w:tr>
      <w:tr w:rsidR="00B96B06" w:rsidRPr="001552C0" w14:paraId="4FCDFB77" w14:textId="77777777" w:rsidTr="007D72A6">
        <w:trPr>
          <w:trHeight w:val="332"/>
        </w:trPr>
        <w:tc>
          <w:tcPr>
            <w:tcW w:w="754" w:type="pct"/>
            <w:tcBorders>
              <w:top w:val="single" w:sz="4" w:space="0" w:color="auto"/>
              <w:left w:val="single" w:sz="4" w:space="0" w:color="auto"/>
              <w:bottom w:val="single" w:sz="4" w:space="0" w:color="auto"/>
              <w:right w:val="single" w:sz="4" w:space="0" w:color="auto"/>
            </w:tcBorders>
          </w:tcPr>
          <w:p w14:paraId="48E4912A" w14:textId="77777777" w:rsidR="00D2674E" w:rsidRPr="001552C0" w:rsidRDefault="00D2674E" w:rsidP="00A446DA">
            <w:r w:rsidRPr="001552C0">
              <w:t>Prioritatea 3. Protecţia mediului prin conservarea biodiversităţii, asigurarea calităţii aerului şi remediere a siturilor contaminate</w:t>
            </w:r>
          </w:p>
          <w:p w14:paraId="18EAA36B" w14:textId="1A5251EE" w:rsidR="00D2674E" w:rsidRPr="001552C0" w:rsidRDefault="00D2674E">
            <w:pPr>
              <w:rPr>
                <w:b/>
                <w:i/>
              </w:rPr>
            </w:pPr>
            <w:r w:rsidRPr="001552C0">
              <w:t>3.1 Conservarea biodiversității</w:t>
            </w:r>
          </w:p>
        </w:tc>
        <w:tc>
          <w:tcPr>
            <w:tcW w:w="689" w:type="pct"/>
            <w:tcBorders>
              <w:top w:val="single" w:sz="4" w:space="0" w:color="auto"/>
              <w:left w:val="single" w:sz="4" w:space="0" w:color="auto"/>
              <w:bottom w:val="single" w:sz="4" w:space="0" w:color="auto"/>
              <w:right w:val="single" w:sz="4" w:space="0" w:color="auto"/>
            </w:tcBorders>
          </w:tcPr>
          <w:p w14:paraId="7C8C00D5" w14:textId="748F7D86" w:rsidR="00D2674E" w:rsidRPr="001552C0" w:rsidRDefault="00D2674E" w:rsidP="007A5507">
            <w:pPr>
              <w:rPr>
                <w:b/>
                <w:i/>
              </w:rPr>
            </w:pPr>
            <w:r w:rsidRPr="001552C0">
              <w:t>Îmbunătățirea protecției naturii și a biodiversității, a infrastructurii verzi în special în mediul urban și reducerea poluării</w:t>
            </w:r>
          </w:p>
        </w:tc>
        <w:tc>
          <w:tcPr>
            <w:tcW w:w="320" w:type="pct"/>
            <w:tcBorders>
              <w:top w:val="single" w:sz="4" w:space="0" w:color="auto"/>
              <w:left w:val="single" w:sz="4" w:space="0" w:color="auto"/>
              <w:bottom w:val="single" w:sz="4" w:space="0" w:color="auto"/>
              <w:right w:val="single" w:sz="4" w:space="0" w:color="auto"/>
            </w:tcBorders>
          </w:tcPr>
          <w:p w14:paraId="2208D7BA" w14:textId="3FCF72CB" w:rsidR="00D2674E" w:rsidRPr="001552C0" w:rsidRDefault="00D2674E" w:rsidP="007A5507">
            <w:pPr>
              <w:rPr>
                <w:b/>
                <w:i/>
              </w:rPr>
            </w:pPr>
            <w:r w:rsidRPr="001552C0">
              <w:t>FERD</w:t>
            </w:r>
          </w:p>
        </w:tc>
        <w:tc>
          <w:tcPr>
            <w:tcW w:w="533" w:type="pct"/>
            <w:tcBorders>
              <w:top w:val="single" w:sz="4" w:space="0" w:color="auto"/>
              <w:left w:val="single" w:sz="4" w:space="0" w:color="auto"/>
              <w:bottom w:val="single" w:sz="4" w:space="0" w:color="auto"/>
              <w:right w:val="single" w:sz="4" w:space="0" w:color="auto"/>
            </w:tcBorders>
          </w:tcPr>
          <w:p w14:paraId="1473ABFE" w14:textId="77777777" w:rsidR="00D2674E" w:rsidRPr="001552C0" w:rsidRDefault="00D2674E" w:rsidP="00A446DA">
            <w:r w:rsidRPr="001552C0">
              <w:t>Mai dezvoltată</w:t>
            </w:r>
          </w:p>
          <w:p w14:paraId="4848C739" w14:textId="3499E55F" w:rsidR="00D2674E" w:rsidRPr="001552C0" w:rsidRDefault="00D2674E" w:rsidP="007A5507">
            <w:pPr>
              <w:rPr>
                <w:b/>
                <w:i/>
              </w:rPr>
            </w:pPr>
            <w:r w:rsidRPr="001552C0">
              <w:t>Mai puțin dezvoltată</w:t>
            </w:r>
          </w:p>
        </w:tc>
        <w:tc>
          <w:tcPr>
            <w:tcW w:w="385" w:type="pct"/>
            <w:tcBorders>
              <w:top w:val="single" w:sz="4" w:space="0" w:color="auto"/>
              <w:left w:val="single" w:sz="4" w:space="0" w:color="auto"/>
              <w:bottom w:val="single" w:sz="4" w:space="0" w:color="auto"/>
              <w:right w:val="single" w:sz="4" w:space="0" w:color="auto"/>
            </w:tcBorders>
          </w:tcPr>
          <w:p w14:paraId="2B0FA894" w14:textId="678B70AD" w:rsidR="00D2674E" w:rsidRPr="001552C0" w:rsidRDefault="00D2674E" w:rsidP="007A5507">
            <w:pPr>
              <w:rPr>
                <w:b/>
                <w:i/>
              </w:rPr>
            </w:pPr>
            <w:r w:rsidRPr="001552C0">
              <w:rPr>
                <w:b/>
                <w:i/>
              </w:rPr>
              <w:t>2S5</w:t>
            </w:r>
          </w:p>
        </w:tc>
        <w:tc>
          <w:tcPr>
            <w:tcW w:w="723" w:type="pct"/>
            <w:tcBorders>
              <w:top w:val="single" w:sz="4" w:space="0" w:color="auto"/>
              <w:left w:val="single" w:sz="4" w:space="0" w:color="auto"/>
              <w:bottom w:val="single" w:sz="4" w:space="0" w:color="auto"/>
              <w:right w:val="single" w:sz="4" w:space="0" w:color="auto"/>
            </w:tcBorders>
          </w:tcPr>
          <w:p w14:paraId="12C30B90" w14:textId="0049D7C4" w:rsidR="00D2674E" w:rsidRPr="001552C0" w:rsidRDefault="00D2674E" w:rsidP="007D72A6">
            <w:r w:rsidRPr="001552C0">
              <w:t>Planuri de management a siturilor Natura 2000/ Planuri de acțiune pentru specii elaborate</w:t>
            </w:r>
          </w:p>
        </w:tc>
        <w:tc>
          <w:tcPr>
            <w:tcW w:w="694" w:type="pct"/>
            <w:tcBorders>
              <w:top w:val="single" w:sz="4" w:space="0" w:color="auto"/>
              <w:left w:val="single" w:sz="4" w:space="0" w:color="auto"/>
              <w:bottom w:val="single" w:sz="4" w:space="0" w:color="auto"/>
              <w:right w:val="single" w:sz="4" w:space="0" w:color="auto"/>
            </w:tcBorders>
          </w:tcPr>
          <w:p w14:paraId="5F9F45F6" w14:textId="2BE725D0" w:rsidR="00D2674E" w:rsidRPr="001552C0" w:rsidRDefault="00D2674E" w:rsidP="007A5507">
            <w:pPr>
              <w:rPr>
                <w:b/>
                <w:i/>
              </w:rPr>
            </w:pPr>
            <w:r w:rsidRPr="001552C0">
              <w:t>planuri</w:t>
            </w:r>
          </w:p>
        </w:tc>
        <w:tc>
          <w:tcPr>
            <w:tcW w:w="527" w:type="pct"/>
            <w:tcBorders>
              <w:top w:val="single" w:sz="4" w:space="0" w:color="auto"/>
              <w:left w:val="single" w:sz="4" w:space="0" w:color="auto"/>
              <w:bottom w:val="single" w:sz="4" w:space="0" w:color="auto"/>
              <w:right w:val="single" w:sz="4" w:space="0" w:color="auto"/>
            </w:tcBorders>
          </w:tcPr>
          <w:p w14:paraId="7C4BE679" w14:textId="543EE474" w:rsidR="00D2674E" w:rsidRPr="001552C0" w:rsidRDefault="00D2674E" w:rsidP="007A5507">
            <w:pPr>
              <w:rPr>
                <w:b/>
              </w:rPr>
            </w:pPr>
            <w:r w:rsidRPr="001552C0">
              <w:t>&gt;0</w:t>
            </w:r>
          </w:p>
        </w:tc>
        <w:tc>
          <w:tcPr>
            <w:tcW w:w="375" w:type="pct"/>
            <w:tcBorders>
              <w:top w:val="single" w:sz="4" w:space="0" w:color="auto"/>
              <w:left w:val="single" w:sz="4" w:space="0" w:color="auto"/>
              <w:bottom w:val="single" w:sz="4" w:space="0" w:color="auto"/>
              <w:right w:val="single" w:sz="4" w:space="0" w:color="auto"/>
            </w:tcBorders>
          </w:tcPr>
          <w:p w14:paraId="06D5B6AF" w14:textId="0BCF1FCB" w:rsidR="00D2674E" w:rsidRPr="001552C0" w:rsidRDefault="00D2674E" w:rsidP="007A5507">
            <w:pPr>
              <w:rPr>
                <w:b/>
              </w:rPr>
            </w:pPr>
            <w:r w:rsidRPr="001552C0">
              <w:t>&gt;0</w:t>
            </w:r>
          </w:p>
        </w:tc>
      </w:tr>
      <w:tr w:rsidR="00B96B06" w:rsidRPr="001552C0" w14:paraId="4D339F16" w14:textId="77777777" w:rsidTr="007D72A6">
        <w:trPr>
          <w:trHeight w:val="332"/>
        </w:trPr>
        <w:tc>
          <w:tcPr>
            <w:tcW w:w="754" w:type="pct"/>
            <w:tcBorders>
              <w:top w:val="single" w:sz="4" w:space="0" w:color="auto"/>
              <w:left w:val="single" w:sz="4" w:space="0" w:color="auto"/>
              <w:bottom w:val="single" w:sz="4" w:space="0" w:color="auto"/>
              <w:right w:val="single" w:sz="4" w:space="0" w:color="auto"/>
            </w:tcBorders>
          </w:tcPr>
          <w:p w14:paraId="41E1BF20" w14:textId="77777777" w:rsidR="003332C9" w:rsidRPr="001552C0" w:rsidRDefault="003332C9" w:rsidP="00A446DA">
            <w:r w:rsidRPr="001552C0">
              <w:t>Prioritatea 3. Protecţia mediului prin conservarea biodiversităţii, asigurarea calităţii aerului şi remediere a siturilor contaminate</w:t>
            </w:r>
          </w:p>
          <w:p w14:paraId="0BA39353" w14:textId="62BC2441" w:rsidR="003332C9" w:rsidRPr="001552C0" w:rsidRDefault="003332C9">
            <w:pPr>
              <w:rPr>
                <w:b/>
                <w:i/>
              </w:rPr>
            </w:pPr>
            <w:r w:rsidRPr="001552C0">
              <w:t xml:space="preserve">3.2. Îmbunătățirea </w:t>
            </w:r>
            <w:r w:rsidRPr="001552C0">
              <w:lastRenderedPageBreak/>
              <w:t>monitorizării calității aerului</w:t>
            </w:r>
          </w:p>
        </w:tc>
        <w:tc>
          <w:tcPr>
            <w:tcW w:w="689" w:type="pct"/>
            <w:tcBorders>
              <w:top w:val="single" w:sz="4" w:space="0" w:color="auto"/>
              <w:left w:val="single" w:sz="4" w:space="0" w:color="auto"/>
              <w:bottom w:val="single" w:sz="4" w:space="0" w:color="auto"/>
              <w:right w:val="single" w:sz="4" w:space="0" w:color="auto"/>
            </w:tcBorders>
          </w:tcPr>
          <w:p w14:paraId="1D578370" w14:textId="74223095" w:rsidR="003332C9" w:rsidRPr="001552C0" w:rsidRDefault="003332C9" w:rsidP="007A5507">
            <w:pPr>
              <w:rPr>
                <w:b/>
                <w:i/>
              </w:rPr>
            </w:pPr>
            <w:r w:rsidRPr="001552C0">
              <w:lastRenderedPageBreak/>
              <w:t>Îmbunătățirea protecției naturii și a biodiversității, a infrastructurii verzi în special în mediul urban și reducerea poluării</w:t>
            </w:r>
          </w:p>
        </w:tc>
        <w:tc>
          <w:tcPr>
            <w:tcW w:w="320" w:type="pct"/>
            <w:tcBorders>
              <w:top w:val="single" w:sz="4" w:space="0" w:color="auto"/>
              <w:left w:val="single" w:sz="4" w:space="0" w:color="auto"/>
              <w:bottom w:val="single" w:sz="4" w:space="0" w:color="auto"/>
              <w:right w:val="single" w:sz="4" w:space="0" w:color="auto"/>
            </w:tcBorders>
          </w:tcPr>
          <w:p w14:paraId="415A2093" w14:textId="5EAEACBA" w:rsidR="003332C9" w:rsidRPr="001552C0" w:rsidRDefault="003332C9" w:rsidP="007A5507">
            <w:pPr>
              <w:rPr>
                <w:b/>
                <w:i/>
              </w:rPr>
            </w:pPr>
            <w:r w:rsidRPr="001552C0">
              <w:t>FERD</w:t>
            </w:r>
          </w:p>
        </w:tc>
        <w:tc>
          <w:tcPr>
            <w:tcW w:w="533" w:type="pct"/>
            <w:tcBorders>
              <w:top w:val="single" w:sz="4" w:space="0" w:color="auto"/>
              <w:left w:val="single" w:sz="4" w:space="0" w:color="auto"/>
              <w:bottom w:val="single" w:sz="4" w:space="0" w:color="auto"/>
              <w:right w:val="single" w:sz="4" w:space="0" w:color="auto"/>
            </w:tcBorders>
          </w:tcPr>
          <w:p w14:paraId="6E254B49" w14:textId="77777777" w:rsidR="003332C9" w:rsidRPr="001552C0" w:rsidRDefault="003332C9" w:rsidP="00A446DA">
            <w:r w:rsidRPr="001552C0">
              <w:t>Mai dezvoltată</w:t>
            </w:r>
          </w:p>
          <w:p w14:paraId="39A08CC8" w14:textId="27C6290E" w:rsidR="003332C9" w:rsidRPr="001552C0" w:rsidRDefault="003332C9" w:rsidP="007A5507">
            <w:pPr>
              <w:rPr>
                <w:b/>
                <w:i/>
              </w:rPr>
            </w:pPr>
            <w:r w:rsidRPr="001552C0">
              <w:t>Mai puțin dezvoltată</w:t>
            </w:r>
          </w:p>
        </w:tc>
        <w:tc>
          <w:tcPr>
            <w:tcW w:w="385" w:type="pct"/>
            <w:tcBorders>
              <w:top w:val="single" w:sz="4" w:space="0" w:color="auto"/>
              <w:left w:val="single" w:sz="4" w:space="0" w:color="auto"/>
              <w:bottom w:val="single" w:sz="4" w:space="0" w:color="auto"/>
              <w:right w:val="single" w:sz="4" w:space="0" w:color="auto"/>
            </w:tcBorders>
          </w:tcPr>
          <w:p w14:paraId="5F45A547" w14:textId="31789949" w:rsidR="003332C9" w:rsidRPr="001552C0" w:rsidRDefault="003332C9" w:rsidP="007A5507">
            <w:pPr>
              <w:rPr>
                <w:b/>
                <w:i/>
              </w:rPr>
            </w:pPr>
            <w:r w:rsidRPr="001552C0">
              <w:rPr>
                <w:b/>
                <w:i/>
              </w:rPr>
              <w:t>RCO39</w:t>
            </w:r>
          </w:p>
        </w:tc>
        <w:tc>
          <w:tcPr>
            <w:tcW w:w="723" w:type="pct"/>
            <w:tcBorders>
              <w:top w:val="single" w:sz="4" w:space="0" w:color="auto"/>
              <w:left w:val="single" w:sz="4" w:space="0" w:color="auto"/>
              <w:bottom w:val="single" w:sz="4" w:space="0" w:color="auto"/>
              <w:right w:val="single" w:sz="4" w:space="0" w:color="auto"/>
            </w:tcBorders>
          </w:tcPr>
          <w:p w14:paraId="0DE27FB8" w14:textId="4D271CB5" w:rsidR="003332C9" w:rsidRPr="001552C0" w:rsidRDefault="00D2674E" w:rsidP="003B37E4">
            <w:r w:rsidRPr="001552C0">
              <w:t>Area covered by systems for monitoring air pollution installed</w:t>
            </w:r>
          </w:p>
        </w:tc>
        <w:tc>
          <w:tcPr>
            <w:tcW w:w="694" w:type="pct"/>
            <w:tcBorders>
              <w:top w:val="single" w:sz="4" w:space="0" w:color="auto"/>
              <w:left w:val="single" w:sz="4" w:space="0" w:color="auto"/>
              <w:bottom w:val="single" w:sz="4" w:space="0" w:color="auto"/>
              <w:right w:val="single" w:sz="4" w:space="0" w:color="auto"/>
            </w:tcBorders>
          </w:tcPr>
          <w:p w14:paraId="454A7109" w14:textId="157188B2" w:rsidR="003332C9" w:rsidRPr="001552C0" w:rsidRDefault="00570A68" w:rsidP="007A5507">
            <w:r w:rsidRPr="001552C0">
              <w:t>hectare</w:t>
            </w:r>
          </w:p>
        </w:tc>
        <w:tc>
          <w:tcPr>
            <w:tcW w:w="527" w:type="pct"/>
            <w:tcBorders>
              <w:top w:val="single" w:sz="4" w:space="0" w:color="auto"/>
              <w:left w:val="single" w:sz="4" w:space="0" w:color="auto"/>
              <w:bottom w:val="single" w:sz="4" w:space="0" w:color="auto"/>
              <w:right w:val="single" w:sz="4" w:space="0" w:color="auto"/>
            </w:tcBorders>
          </w:tcPr>
          <w:p w14:paraId="53DF5324" w14:textId="1F2CA108" w:rsidR="003332C9" w:rsidRPr="001552C0" w:rsidRDefault="00D2674E" w:rsidP="007A5507">
            <w:r w:rsidRPr="001552C0">
              <w:t>&gt;=0</w:t>
            </w:r>
          </w:p>
        </w:tc>
        <w:tc>
          <w:tcPr>
            <w:tcW w:w="375" w:type="pct"/>
            <w:tcBorders>
              <w:top w:val="single" w:sz="4" w:space="0" w:color="auto"/>
              <w:left w:val="single" w:sz="4" w:space="0" w:color="auto"/>
              <w:bottom w:val="single" w:sz="4" w:space="0" w:color="auto"/>
              <w:right w:val="single" w:sz="4" w:space="0" w:color="auto"/>
            </w:tcBorders>
          </w:tcPr>
          <w:p w14:paraId="398562FF" w14:textId="5B76D2B7" w:rsidR="003332C9" w:rsidRPr="001552C0" w:rsidRDefault="00D2674E" w:rsidP="00D2674E">
            <w:r w:rsidRPr="001552C0">
              <w:t>&gt;0</w:t>
            </w:r>
          </w:p>
        </w:tc>
      </w:tr>
      <w:tr w:rsidR="00B96B06" w:rsidRPr="001552C0" w14:paraId="2ED916AC" w14:textId="77777777" w:rsidTr="007D72A6">
        <w:trPr>
          <w:trHeight w:val="332"/>
        </w:trPr>
        <w:tc>
          <w:tcPr>
            <w:tcW w:w="754" w:type="pct"/>
            <w:tcBorders>
              <w:top w:val="single" w:sz="4" w:space="0" w:color="auto"/>
              <w:left w:val="single" w:sz="4" w:space="0" w:color="auto"/>
              <w:bottom w:val="single" w:sz="4" w:space="0" w:color="auto"/>
              <w:right w:val="single" w:sz="4" w:space="0" w:color="auto"/>
            </w:tcBorders>
          </w:tcPr>
          <w:p w14:paraId="45D77BD0" w14:textId="77777777" w:rsidR="0024788E" w:rsidRPr="001552C0" w:rsidRDefault="0024788E" w:rsidP="00A446DA">
            <w:r w:rsidRPr="001552C0">
              <w:lastRenderedPageBreak/>
              <w:t>Prioritatea 3. Protecţia mediului prin conservarea biodiversităţii, asigurarea calităţii aerului şi remediere a siturilor contaminate</w:t>
            </w:r>
          </w:p>
          <w:p w14:paraId="57CBE6EE" w14:textId="73ED9642" w:rsidR="0024788E" w:rsidRPr="001552C0" w:rsidRDefault="0024788E" w:rsidP="0024788E">
            <w:pPr>
              <w:spacing w:before="120" w:after="120"/>
              <w:rPr>
                <w:rFonts w:eastAsia="Times New Roman" w:cstheme="minorHAnsi"/>
                <w:noProof/>
                <w:sz w:val="24"/>
                <w:szCs w:val="24"/>
              </w:rPr>
            </w:pPr>
            <w:r w:rsidRPr="001552C0">
              <w:rPr>
                <w:rFonts w:eastAsia="Times New Roman" w:cstheme="minorHAnsi"/>
                <w:noProof/>
                <w:sz w:val="24"/>
                <w:szCs w:val="24"/>
              </w:rPr>
              <w:t>3.3 Investigarea preliminară și detaliată a siturilor contamionate, evaluarea riscurilor asupra mediului si remedierea siturilor</w:t>
            </w:r>
          </w:p>
          <w:p w14:paraId="2C961977" w14:textId="658C70AF" w:rsidR="0024788E" w:rsidRPr="001552C0" w:rsidRDefault="0024788E" w:rsidP="00A446DA"/>
        </w:tc>
        <w:tc>
          <w:tcPr>
            <w:tcW w:w="689" w:type="pct"/>
            <w:tcBorders>
              <w:top w:val="single" w:sz="4" w:space="0" w:color="auto"/>
              <w:left w:val="single" w:sz="4" w:space="0" w:color="auto"/>
              <w:bottom w:val="single" w:sz="4" w:space="0" w:color="auto"/>
              <w:right w:val="single" w:sz="4" w:space="0" w:color="auto"/>
            </w:tcBorders>
          </w:tcPr>
          <w:p w14:paraId="155BA919" w14:textId="34ED788C" w:rsidR="0024788E" w:rsidRPr="001552C0" w:rsidRDefault="0024788E" w:rsidP="007A5507">
            <w:r w:rsidRPr="001552C0">
              <w:t>Îmbunătățirea protecției naturii și a biodiversității, a infrastructurii verzi în special în mediul urban și reducerea poluării</w:t>
            </w:r>
          </w:p>
        </w:tc>
        <w:tc>
          <w:tcPr>
            <w:tcW w:w="320" w:type="pct"/>
            <w:tcBorders>
              <w:top w:val="single" w:sz="4" w:space="0" w:color="auto"/>
              <w:left w:val="single" w:sz="4" w:space="0" w:color="auto"/>
              <w:bottom w:val="single" w:sz="4" w:space="0" w:color="auto"/>
              <w:right w:val="single" w:sz="4" w:space="0" w:color="auto"/>
            </w:tcBorders>
          </w:tcPr>
          <w:p w14:paraId="7872E6C4" w14:textId="15365C38" w:rsidR="0024788E" w:rsidRPr="001552C0" w:rsidRDefault="0024788E" w:rsidP="007A5507">
            <w:r w:rsidRPr="001552C0">
              <w:t>FERD</w:t>
            </w:r>
          </w:p>
        </w:tc>
        <w:tc>
          <w:tcPr>
            <w:tcW w:w="533" w:type="pct"/>
            <w:tcBorders>
              <w:top w:val="single" w:sz="4" w:space="0" w:color="auto"/>
              <w:left w:val="single" w:sz="4" w:space="0" w:color="auto"/>
              <w:bottom w:val="single" w:sz="4" w:space="0" w:color="auto"/>
              <w:right w:val="single" w:sz="4" w:space="0" w:color="auto"/>
            </w:tcBorders>
          </w:tcPr>
          <w:p w14:paraId="617C7D26" w14:textId="77777777" w:rsidR="0024788E" w:rsidRPr="001552C0" w:rsidRDefault="0024788E" w:rsidP="00A446DA">
            <w:r w:rsidRPr="001552C0">
              <w:t>Mai dezvoltată</w:t>
            </w:r>
          </w:p>
          <w:p w14:paraId="6B0BE05E" w14:textId="7FDA0C78" w:rsidR="0024788E" w:rsidRPr="001552C0" w:rsidRDefault="0024788E" w:rsidP="00A446DA">
            <w:r w:rsidRPr="001552C0">
              <w:t>Mai puțin dezvoltată</w:t>
            </w:r>
          </w:p>
        </w:tc>
        <w:tc>
          <w:tcPr>
            <w:tcW w:w="385" w:type="pct"/>
            <w:tcBorders>
              <w:top w:val="single" w:sz="4" w:space="0" w:color="auto"/>
              <w:left w:val="single" w:sz="4" w:space="0" w:color="auto"/>
              <w:bottom w:val="single" w:sz="4" w:space="0" w:color="auto"/>
              <w:right w:val="single" w:sz="4" w:space="0" w:color="auto"/>
            </w:tcBorders>
          </w:tcPr>
          <w:p w14:paraId="41AB5708" w14:textId="77777777" w:rsidR="0024788E" w:rsidRPr="001552C0" w:rsidRDefault="0024788E" w:rsidP="007A5507">
            <w:pPr>
              <w:rPr>
                <w:b/>
                <w:i/>
              </w:rPr>
            </w:pPr>
          </w:p>
        </w:tc>
        <w:tc>
          <w:tcPr>
            <w:tcW w:w="723" w:type="pct"/>
            <w:tcBorders>
              <w:top w:val="single" w:sz="4" w:space="0" w:color="auto"/>
              <w:left w:val="single" w:sz="4" w:space="0" w:color="auto"/>
              <w:bottom w:val="single" w:sz="4" w:space="0" w:color="auto"/>
              <w:right w:val="single" w:sz="4" w:space="0" w:color="auto"/>
            </w:tcBorders>
          </w:tcPr>
          <w:p w14:paraId="6536A280" w14:textId="00DB26A6" w:rsidR="0024788E" w:rsidRPr="001552C0" w:rsidRDefault="009E7501" w:rsidP="003B37E4">
            <w:r w:rsidRPr="001552C0">
              <w:t>Sprijin pentru inventarierea siturilor contaminate</w:t>
            </w:r>
          </w:p>
        </w:tc>
        <w:tc>
          <w:tcPr>
            <w:tcW w:w="694" w:type="pct"/>
            <w:tcBorders>
              <w:top w:val="single" w:sz="4" w:space="0" w:color="auto"/>
              <w:left w:val="single" w:sz="4" w:space="0" w:color="auto"/>
              <w:bottom w:val="single" w:sz="4" w:space="0" w:color="auto"/>
              <w:right w:val="single" w:sz="4" w:space="0" w:color="auto"/>
            </w:tcBorders>
          </w:tcPr>
          <w:p w14:paraId="7C04E51C" w14:textId="64E8939C" w:rsidR="0024788E" w:rsidRPr="001552C0" w:rsidRDefault="009E7501" w:rsidP="007A5507">
            <w:pPr>
              <w:rPr>
                <w:b/>
                <w:i/>
              </w:rPr>
            </w:pPr>
            <w:r w:rsidRPr="001552C0">
              <w:t>lei</w:t>
            </w:r>
          </w:p>
        </w:tc>
        <w:tc>
          <w:tcPr>
            <w:tcW w:w="527" w:type="pct"/>
            <w:tcBorders>
              <w:top w:val="single" w:sz="4" w:space="0" w:color="auto"/>
              <w:left w:val="single" w:sz="4" w:space="0" w:color="auto"/>
              <w:bottom w:val="single" w:sz="4" w:space="0" w:color="auto"/>
              <w:right w:val="single" w:sz="4" w:space="0" w:color="auto"/>
            </w:tcBorders>
          </w:tcPr>
          <w:p w14:paraId="62D6507E" w14:textId="17F5CBE6" w:rsidR="004B06B5" w:rsidRPr="001552C0" w:rsidRDefault="009E7501" w:rsidP="004B06B5">
            <w:r w:rsidRPr="001552C0">
              <w:t>0</w:t>
            </w:r>
            <w:r w:rsidR="004B06B5" w:rsidRPr="001552C0">
              <w:tab/>
            </w:r>
          </w:p>
        </w:tc>
        <w:tc>
          <w:tcPr>
            <w:tcW w:w="375" w:type="pct"/>
            <w:tcBorders>
              <w:top w:val="single" w:sz="4" w:space="0" w:color="auto"/>
              <w:left w:val="single" w:sz="4" w:space="0" w:color="auto"/>
              <w:bottom w:val="single" w:sz="4" w:space="0" w:color="auto"/>
              <w:right w:val="single" w:sz="4" w:space="0" w:color="auto"/>
            </w:tcBorders>
          </w:tcPr>
          <w:p w14:paraId="52DACC36" w14:textId="39FBD80F" w:rsidR="0024788E" w:rsidRPr="001552C0" w:rsidRDefault="004B06B5" w:rsidP="007A5507">
            <w:r w:rsidRPr="001552C0">
              <w:t>&gt;0</w:t>
            </w:r>
          </w:p>
        </w:tc>
      </w:tr>
      <w:tr w:rsidR="004B06B5" w:rsidRPr="001552C0" w14:paraId="60BFD837" w14:textId="77777777" w:rsidTr="007D72A6">
        <w:trPr>
          <w:trHeight w:val="332"/>
        </w:trPr>
        <w:tc>
          <w:tcPr>
            <w:tcW w:w="754" w:type="pct"/>
            <w:tcBorders>
              <w:top w:val="single" w:sz="4" w:space="0" w:color="auto"/>
              <w:left w:val="single" w:sz="4" w:space="0" w:color="auto"/>
              <w:bottom w:val="single" w:sz="4" w:space="0" w:color="auto"/>
              <w:right w:val="single" w:sz="4" w:space="0" w:color="auto"/>
            </w:tcBorders>
          </w:tcPr>
          <w:p w14:paraId="19B122E7" w14:textId="77777777" w:rsidR="004B06B5" w:rsidRPr="001552C0" w:rsidRDefault="004B06B5" w:rsidP="0070675A">
            <w:r w:rsidRPr="001552C0">
              <w:t>Prioritatea 3. Protecţia mediului prin conservarea biodiversităţii, asigurarea calităţii aerului şi remediere a siturilor contaminate</w:t>
            </w:r>
          </w:p>
          <w:p w14:paraId="3B94AD0B" w14:textId="77777777" w:rsidR="004B06B5" w:rsidRPr="001552C0" w:rsidRDefault="004B06B5" w:rsidP="0070675A">
            <w:pPr>
              <w:spacing w:before="120" w:after="120"/>
              <w:rPr>
                <w:rFonts w:eastAsia="Times New Roman" w:cstheme="minorHAnsi"/>
                <w:noProof/>
                <w:sz w:val="24"/>
                <w:szCs w:val="24"/>
              </w:rPr>
            </w:pPr>
            <w:r w:rsidRPr="001552C0">
              <w:rPr>
                <w:rFonts w:eastAsia="Times New Roman" w:cstheme="minorHAnsi"/>
                <w:noProof/>
                <w:sz w:val="24"/>
                <w:szCs w:val="24"/>
              </w:rPr>
              <w:t xml:space="preserve">3.3 Investigarea preliminară </w:t>
            </w:r>
            <w:r w:rsidRPr="001552C0">
              <w:rPr>
                <w:rFonts w:eastAsia="Times New Roman" w:cstheme="minorHAnsi"/>
                <w:noProof/>
                <w:sz w:val="24"/>
                <w:szCs w:val="24"/>
              </w:rPr>
              <w:lastRenderedPageBreak/>
              <w:t>și detaliată a siturilor contamionate, evaluarea riscurilor asupra mediului si remedierea siturilor</w:t>
            </w:r>
          </w:p>
          <w:p w14:paraId="4BE4100E" w14:textId="77777777" w:rsidR="004B06B5" w:rsidRPr="001552C0" w:rsidRDefault="004B06B5" w:rsidP="00A446DA"/>
        </w:tc>
        <w:tc>
          <w:tcPr>
            <w:tcW w:w="689" w:type="pct"/>
            <w:tcBorders>
              <w:top w:val="single" w:sz="4" w:space="0" w:color="auto"/>
              <w:left w:val="single" w:sz="4" w:space="0" w:color="auto"/>
              <w:bottom w:val="single" w:sz="4" w:space="0" w:color="auto"/>
              <w:right w:val="single" w:sz="4" w:space="0" w:color="auto"/>
            </w:tcBorders>
          </w:tcPr>
          <w:p w14:paraId="0748D5E3" w14:textId="51BF5084" w:rsidR="004B06B5" w:rsidRPr="001552C0" w:rsidRDefault="004B06B5" w:rsidP="007A5507">
            <w:r w:rsidRPr="001552C0">
              <w:lastRenderedPageBreak/>
              <w:t>Îmbunătățirea protecției naturii și a biodiversității, a infrastructurii verzi în special în mediul urban și reducerea poluării</w:t>
            </w:r>
          </w:p>
        </w:tc>
        <w:tc>
          <w:tcPr>
            <w:tcW w:w="320" w:type="pct"/>
            <w:tcBorders>
              <w:top w:val="single" w:sz="4" w:space="0" w:color="auto"/>
              <w:left w:val="single" w:sz="4" w:space="0" w:color="auto"/>
              <w:bottom w:val="single" w:sz="4" w:space="0" w:color="auto"/>
              <w:right w:val="single" w:sz="4" w:space="0" w:color="auto"/>
            </w:tcBorders>
          </w:tcPr>
          <w:p w14:paraId="10420F0E" w14:textId="3380C9C5" w:rsidR="004B06B5" w:rsidRPr="001552C0" w:rsidRDefault="004B06B5" w:rsidP="007A5507">
            <w:r w:rsidRPr="001552C0">
              <w:t>FERD</w:t>
            </w:r>
          </w:p>
        </w:tc>
        <w:tc>
          <w:tcPr>
            <w:tcW w:w="533" w:type="pct"/>
            <w:tcBorders>
              <w:top w:val="single" w:sz="4" w:space="0" w:color="auto"/>
              <w:left w:val="single" w:sz="4" w:space="0" w:color="auto"/>
              <w:bottom w:val="single" w:sz="4" w:space="0" w:color="auto"/>
              <w:right w:val="single" w:sz="4" w:space="0" w:color="auto"/>
            </w:tcBorders>
          </w:tcPr>
          <w:p w14:paraId="6EC96108" w14:textId="77777777" w:rsidR="004B06B5" w:rsidRPr="001552C0" w:rsidRDefault="004B06B5" w:rsidP="0070675A">
            <w:r w:rsidRPr="001552C0">
              <w:t>Mai dezvoltată</w:t>
            </w:r>
          </w:p>
          <w:p w14:paraId="5148384B" w14:textId="3E9C6146" w:rsidR="004B06B5" w:rsidRPr="001552C0" w:rsidRDefault="004B06B5" w:rsidP="00A446DA">
            <w:r w:rsidRPr="001552C0">
              <w:t>Mai puțin dezvoltată</w:t>
            </w:r>
          </w:p>
        </w:tc>
        <w:tc>
          <w:tcPr>
            <w:tcW w:w="385" w:type="pct"/>
            <w:tcBorders>
              <w:top w:val="single" w:sz="4" w:space="0" w:color="auto"/>
              <w:left w:val="single" w:sz="4" w:space="0" w:color="auto"/>
              <w:bottom w:val="single" w:sz="4" w:space="0" w:color="auto"/>
              <w:right w:val="single" w:sz="4" w:space="0" w:color="auto"/>
            </w:tcBorders>
          </w:tcPr>
          <w:p w14:paraId="5AA47587" w14:textId="56140FAC" w:rsidR="004B06B5" w:rsidRPr="001552C0" w:rsidRDefault="004B06B5" w:rsidP="007A5507">
            <w:pPr>
              <w:rPr>
                <w:b/>
                <w:i/>
              </w:rPr>
            </w:pPr>
            <w:r w:rsidRPr="001552C0">
              <w:rPr>
                <w:b/>
                <w:i/>
              </w:rPr>
              <w:t>RCO38</w:t>
            </w:r>
          </w:p>
        </w:tc>
        <w:tc>
          <w:tcPr>
            <w:tcW w:w="723" w:type="pct"/>
            <w:tcBorders>
              <w:top w:val="single" w:sz="4" w:space="0" w:color="auto"/>
              <w:left w:val="single" w:sz="4" w:space="0" w:color="auto"/>
              <w:bottom w:val="single" w:sz="4" w:space="0" w:color="auto"/>
              <w:right w:val="single" w:sz="4" w:space="0" w:color="auto"/>
            </w:tcBorders>
          </w:tcPr>
          <w:p w14:paraId="723DA58A" w14:textId="1DF6D6FD" w:rsidR="004B06B5" w:rsidRPr="001552C0" w:rsidRDefault="004B06B5" w:rsidP="003B37E4">
            <w:r w:rsidRPr="001552C0">
              <w:t>Surface area of rehabilitated land supported</w:t>
            </w:r>
          </w:p>
        </w:tc>
        <w:tc>
          <w:tcPr>
            <w:tcW w:w="694" w:type="pct"/>
            <w:tcBorders>
              <w:top w:val="single" w:sz="4" w:space="0" w:color="auto"/>
              <w:left w:val="single" w:sz="4" w:space="0" w:color="auto"/>
              <w:bottom w:val="single" w:sz="4" w:space="0" w:color="auto"/>
              <w:right w:val="single" w:sz="4" w:space="0" w:color="auto"/>
            </w:tcBorders>
          </w:tcPr>
          <w:p w14:paraId="420495BF" w14:textId="68E4D579" w:rsidR="004B06B5" w:rsidRPr="001552C0" w:rsidRDefault="004B06B5" w:rsidP="007A5507">
            <w:r w:rsidRPr="001552C0">
              <w:t>hectare</w:t>
            </w:r>
          </w:p>
        </w:tc>
        <w:tc>
          <w:tcPr>
            <w:tcW w:w="527" w:type="pct"/>
            <w:tcBorders>
              <w:top w:val="single" w:sz="4" w:space="0" w:color="auto"/>
              <w:left w:val="single" w:sz="4" w:space="0" w:color="auto"/>
              <w:bottom w:val="single" w:sz="4" w:space="0" w:color="auto"/>
              <w:right w:val="single" w:sz="4" w:space="0" w:color="auto"/>
            </w:tcBorders>
          </w:tcPr>
          <w:p w14:paraId="44F1888B" w14:textId="0784F4E2" w:rsidR="004B06B5" w:rsidRPr="001552C0" w:rsidRDefault="004B06B5" w:rsidP="007A5507">
            <w:r w:rsidRPr="001552C0">
              <w:t>&gt;=0</w:t>
            </w:r>
          </w:p>
        </w:tc>
        <w:tc>
          <w:tcPr>
            <w:tcW w:w="375" w:type="pct"/>
            <w:tcBorders>
              <w:top w:val="single" w:sz="4" w:space="0" w:color="auto"/>
              <w:left w:val="single" w:sz="4" w:space="0" w:color="auto"/>
              <w:bottom w:val="single" w:sz="4" w:space="0" w:color="auto"/>
              <w:right w:val="single" w:sz="4" w:space="0" w:color="auto"/>
            </w:tcBorders>
          </w:tcPr>
          <w:p w14:paraId="01101344" w14:textId="12B33103" w:rsidR="004B06B5" w:rsidRPr="001552C0" w:rsidRDefault="004B06B5" w:rsidP="007A5507">
            <w:pPr>
              <w:rPr>
                <w:b/>
              </w:rPr>
            </w:pPr>
            <w:r w:rsidRPr="001552C0">
              <w:t>&gt;0</w:t>
            </w:r>
          </w:p>
        </w:tc>
      </w:tr>
    </w:tbl>
    <w:p w14:paraId="0F0DD410" w14:textId="77777777" w:rsidR="007A5507" w:rsidRPr="001552C0" w:rsidRDefault="007A5507" w:rsidP="007A55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1050"/>
        <w:gridCol w:w="560"/>
        <w:gridCol w:w="832"/>
        <w:gridCol w:w="483"/>
        <w:gridCol w:w="1277"/>
        <w:gridCol w:w="838"/>
        <w:gridCol w:w="879"/>
        <w:gridCol w:w="912"/>
        <w:gridCol w:w="658"/>
        <w:gridCol w:w="684"/>
        <w:gridCol w:w="954"/>
      </w:tblGrid>
      <w:tr w:rsidR="00B96B06" w:rsidRPr="001552C0" w14:paraId="60CBF000" w14:textId="77777777" w:rsidTr="00106952">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208D1E31" w14:textId="77777777" w:rsidR="007A5507" w:rsidRPr="001552C0" w:rsidRDefault="007A5507" w:rsidP="007A5507">
            <w:pPr>
              <w:rPr>
                <w:b/>
              </w:rPr>
            </w:pPr>
            <w:r w:rsidRPr="001552C0">
              <w:rPr>
                <w:b/>
                <w:iCs/>
              </w:rPr>
              <w:t>Table 3: Result indicators</w:t>
            </w:r>
          </w:p>
        </w:tc>
      </w:tr>
      <w:tr w:rsidR="00B96B06" w:rsidRPr="001552C0" w14:paraId="0CFADB0A" w14:textId="77777777" w:rsidTr="004B06B5">
        <w:trPr>
          <w:trHeight w:val="1768"/>
        </w:trPr>
        <w:tc>
          <w:tcPr>
            <w:tcW w:w="369" w:type="pct"/>
            <w:tcBorders>
              <w:top w:val="single" w:sz="4" w:space="0" w:color="auto"/>
              <w:left w:val="single" w:sz="4" w:space="0" w:color="auto"/>
              <w:bottom w:val="single" w:sz="4" w:space="0" w:color="auto"/>
              <w:right w:val="single" w:sz="4" w:space="0" w:color="auto"/>
            </w:tcBorders>
            <w:hideMark/>
          </w:tcPr>
          <w:p w14:paraId="0AC324AB" w14:textId="77777777" w:rsidR="007A5507" w:rsidRPr="001552C0" w:rsidRDefault="007A5507" w:rsidP="007A5507">
            <w:pPr>
              <w:rPr>
                <w:b/>
              </w:rPr>
            </w:pPr>
            <w:r w:rsidRPr="001552C0">
              <w:rPr>
                <w:b/>
              </w:rPr>
              <w:t xml:space="preserve">Priority </w:t>
            </w:r>
          </w:p>
        </w:tc>
        <w:tc>
          <w:tcPr>
            <w:tcW w:w="533" w:type="pct"/>
            <w:tcBorders>
              <w:top w:val="single" w:sz="4" w:space="0" w:color="auto"/>
              <w:left w:val="single" w:sz="4" w:space="0" w:color="auto"/>
              <w:bottom w:val="single" w:sz="4" w:space="0" w:color="auto"/>
              <w:right w:val="single" w:sz="4" w:space="0" w:color="auto"/>
            </w:tcBorders>
            <w:hideMark/>
          </w:tcPr>
          <w:p w14:paraId="7B62607A" w14:textId="77777777" w:rsidR="007A5507" w:rsidRPr="001552C0" w:rsidRDefault="007A5507" w:rsidP="007A5507">
            <w:pPr>
              <w:rPr>
                <w:b/>
              </w:rPr>
            </w:pPr>
            <w:r w:rsidRPr="001552C0">
              <w:rPr>
                <w:b/>
              </w:rPr>
              <w:t>Specific objective (Investment for Jobs and Growth goal or EMFF)</w:t>
            </w:r>
          </w:p>
        </w:tc>
        <w:tc>
          <w:tcPr>
            <w:tcW w:w="284" w:type="pct"/>
            <w:tcBorders>
              <w:top w:val="single" w:sz="4" w:space="0" w:color="auto"/>
              <w:left w:val="single" w:sz="4" w:space="0" w:color="auto"/>
              <w:bottom w:val="single" w:sz="4" w:space="0" w:color="auto"/>
              <w:right w:val="single" w:sz="4" w:space="0" w:color="auto"/>
            </w:tcBorders>
            <w:hideMark/>
          </w:tcPr>
          <w:p w14:paraId="081C168B" w14:textId="77777777" w:rsidR="007A5507" w:rsidRPr="001552C0" w:rsidRDefault="007A5507" w:rsidP="007A5507">
            <w:pPr>
              <w:rPr>
                <w:b/>
              </w:rPr>
            </w:pPr>
            <w:r w:rsidRPr="001552C0">
              <w:rPr>
                <w:b/>
              </w:rPr>
              <w:t>Fund</w:t>
            </w:r>
          </w:p>
        </w:tc>
        <w:tc>
          <w:tcPr>
            <w:tcW w:w="422" w:type="pct"/>
            <w:tcBorders>
              <w:top w:val="single" w:sz="4" w:space="0" w:color="auto"/>
              <w:left w:val="single" w:sz="4" w:space="0" w:color="auto"/>
              <w:bottom w:val="single" w:sz="4" w:space="0" w:color="auto"/>
              <w:right w:val="single" w:sz="4" w:space="0" w:color="auto"/>
            </w:tcBorders>
            <w:hideMark/>
          </w:tcPr>
          <w:p w14:paraId="38998D77" w14:textId="77777777" w:rsidR="007A5507" w:rsidRPr="001552C0" w:rsidRDefault="007A5507" w:rsidP="007A5507">
            <w:pPr>
              <w:rPr>
                <w:b/>
              </w:rPr>
            </w:pPr>
            <w:r w:rsidRPr="001552C0">
              <w:rPr>
                <w:b/>
              </w:rPr>
              <w:t>Category of region</w:t>
            </w:r>
            <w:r w:rsidRPr="001552C0">
              <w:t xml:space="preserve"> </w:t>
            </w:r>
          </w:p>
        </w:tc>
        <w:tc>
          <w:tcPr>
            <w:tcW w:w="245" w:type="pct"/>
            <w:tcBorders>
              <w:top w:val="single" w:sz="4" w:space="0" w:color="auto"/>
              <w:left w:val="single" w:sz="4" w:space="0" w:color="auto"/>
              <w:bottom w:val="single" w:sz="4" w:space="0" w:color="auto"/>
              <w:right w:val="single" w:sz="4" w:space="0" w:color="auto"/>
            </w:tcBorders>
            <w:hideMark/>
          </w:tcPr>
          <w:p w14:paraId="75D4E631" w14:textId="77777777" w:rsidR="007A5507" w:rsidRPr="001552C0" w:rsidRDefault="007A5507" w:rsidP="007A5507">
            <w:pPr>
              <w:rPr>
                <w:b/>
              </w:rPr>
            </w:pPr>
            <w:r w:rsidRPr="001552C0">
              <w:rPr>
                <w:b/>
              </w:rPr>
              <w:t>ID [5]</w:t>
            </w:r>
          </w:p>
        </w:tc>
        <w:tc>
          <w:tcPr>
            <w:tcW w:w="648" w:type="pct"/>
            <w:tcBorders>
              <w:top w:val="single" w:sz="4" w:space="0" w:color="auto"/>
              <w:left w:val="single" w:sz="4" w:space="0" w:color="auto"/>
              <w:bottom w:val="single" w:sz="4" w:space="0" w:color="auto"/>
              <w:right w:val="single" w:sz="4" w:space="0" w:color="auto"/>
            </w:tcBorders>
            <w:hideMark/>
          </w:tcPr>
          <w:p w14:paraId="038FEF73" w14:textId="77777777" w:rsidR="007A5507" w:rsidRPr="001552C0" w:rsidRDefault="007A5507" w:rsidP="007A5507">
            <w:pPr>
              <w:rPr>
                <w:b/>
              </w:rPr>
            </w:pPr>
            <w:r w:rsidRPr="001552C0">
              <w:rPr>
                <w:b/>
              </w:rPr>
              <w:t>Indicator [255]</w:t>
            </w:r>
          </w:p>
        </w:tc>
        <w:tc>
          <w:tcPr>
            <w:tcW w:w="425" w:type="pct"/>
            <w:tcBorders>
              <w:top w:val="single" w:sz="4" w:space="0" w:color="auto"/>
              <w:left w:val="single" w:sz="4" w:space="0" w:color="auto"/>
              <w:bottom w:val="single" w:sz="4" w:space="0" w:color="auto"/>
              <w:right w:val="single" w:sz="4" w:space="0" w:color="auto"/>
            </w:tcBorders>
            <w:hideMark/>
          </w:tcPr>
          <w:p w14:paraId="43E1B5D1" w14:textId="77777777" w:rsidR="007A5507" w:rsidRPr="001552C0" w:rsidRDefault="007A5507" w:rsidP="007A5507">
            <w:pPr>
              <w:rPr>
                <w:b/>
              </w:rPr>
            </w:pPr>
            <w:r w:rsidRPr="001552C0">
              <w:rPr>
                <w:b/>
              </w:rPr>
              <w:t>Measurement unit</w:t>
            </w:r>
          </w:p>
        </w:tc>
        <w:tc>
          <w:tcPr>
            <w:tcW w:w="446" w:type="pct"/>
            <w:tcBorders>
              <w:top w:val="single" w:sz="4" w:space="0" w:color="auto"/>
              <w:left w:val="single" w:sz="4" w:space="0" w:color="auto"/>
              <w:bottom w:val="single" w:sz="4" w:space="0" w:color="auto"/>
              <w:right w:val="single" w:sz="4" w:space="0" w:color="auto"/>
            </w:tcBorders>
            <w:hideMark/>
          </w:tcPr>
          <w:p w14:paraId="4508DEC1" w14:textId="77777777" w:rsidR="007A5507" w:rsidRPr="001552C0" w:rsidRDefault="007A5507" w:rsidP="007A5507">
            <w:pPr>
              <w:rPr>
                <w:b/>
              </w:rPr>
            </w:pPr>
            <w:r w:rsidRPr="001552C0">
              <w:rPr>
                <w:b/>
              </w:rPr>
              <w:t>Baseline or reference value</w:t>
            </w:r>
          </w:p>
        </w:tc>
        <w:tc>
          <w:tcPr>
            <w:tcW w:w="463" w:type="pct"/>
            <w:tcBorders>
              <w:top w:val="single" w:sz="4" w:space="0" w:color="auto"/>
              <w:left w:val="single" w:sz="4" w:space="0" w:color="auto"/>
              <w:bottom w:val="single" w:sz="4" w:space="0" w:color="auto"/>
              <w:right w:val="single" w:sz="4" w:space="0" w:color="auto"/>
            </w:tcBorders>
            <w:hideMark/>
          </w:tcPr>
          <w:p w14:paraId="00566510" w14:textId="77777777" w:rsidR="007A5507" w:rsidRPr="001552C0" w:rsidRDefault="007A5507" w:rsidP="007A5507">
            <w:pPr>
              <w:rPr>
                <w:b/>
              </w:rPr>
            </w:pPr>
            <w:r w:rsidRPr="001552C0">
              <w:rPr>
                <w:b/>
              </w:rPr>
              <w:t>Reference year</w:t>
            </w:r>
          </w:p>
        </w:tc>
        <w:tc>
          <w:tcPr>
            <w:tcW w:w="334" w:type="pct"/>
            <w:tcBorders>
              <w:top w:val="single" w:sz="4" w:space="0" w:color="auto"/>
              <w:left w:val="single" w:sz="4" w:space="0" w:color="auto"/>
              <w:bottom w:val="single" w:sz="4" w:space="0" w:color="auto"/>
              <w:right w:val="single" w:sz="4" w:space="0" w:color="auto"/>
            </w:tcBorders>
          </w:tcPr>
          <w:p w14:paraId="0D6FCD37" w14:textId="77777777" w:rsidR="007A5507" w:rsidRPr="001552C0" w:rsidRDefault="007A5507" w:rsidP="007A5507">
            <w:pPr>
              <w:rPr>
                <w:b/>
              </w:rPr>
            </w:pPr>
            <w:r w:rsidRPr="001552C0">
              <w:rPr>
                <w:b/>
              </w:rPr>
              <w:t>Target (2029)</w:t>
            </w:r>
          </w:p>
          <w:p w14:paraId="15206584" w14:textId="77777777" w:rsidR="007A5507" w:rsidRPr="001552C0" w:rsidRDefault="007A5507" w:rsidP="007A5507">
            <w:pPr>
              <w:rPr>
                <w:b/>
              </w:rPr>
            </w:pPr>
          </w:p>
        </w:tc>
        <w:tc>
          <w:tcPr>
            <w:tcW w:w="347" w:type="pct"/>
            <w:tcBorders>
              <w:top w:val="single" w:sz="4" w:space="0" w:color="auto"/>
              <w:left w:val="single" w:sz="4" w:space="0" w:color="auto"/>
              <w:bottom w:val="single" w:sz="4" w:space="0" w:color="auto"/>
              <w:right w:val="single" w:sz="4" w:space="0" w:color="auto"/>
            </w:tcBorders>
            <w:hideMark/>
          </w:tcPr>
          <w:p w14:paraId="16E33315" w14:textId="77777777" w:rsidR="007A5507" w:rsidRPr="001552C0" w:rsidRDefault="007A5507" w:rsidP="007A5507">
            <w:pPr>
              <w:rPr>
                <w:b/>
              </w:rPr>
            </w:pPr>
            <w:r w:rsidRPr="001552C0">
              <w:rPr>
                <w:b/>
              </w:rPr>
              <w:t>Source of data [200]</w:t>
            </w:r>
          </w:p>
        </w:tc>
        <w:tc>
          <w:tcPr>
            <w:tcW w:w="484" w:type="pct"/>
            <w:tcBorders>
              <w:top w:val="single" w:sz="4" w:space="0" w:color="auto"/>
              <w:left w:val="single" w:sz="4" w:space="0" w:color="auto"/>
              <w:bottom w:val="single" w:sz="4" w:space="0" w:color="auto"/>
              <w:right w:val="single" w:sz="4" w:space="0" w:color="auto"/>
            </w:tcBorders>
            <w:hideMark/>
          </w:tcPr>
          <w:p w14:paraId="252B6628" w14:textId="77777777" w:rsidR="007A5507" w:rsidRPr="001552C0" w:rsidRDefault="007A5507" w:rsidP="007A5507">
            <w:pPr>
              <w:rPr>
                <w:b/>
              </w:rPr>
            </w:pPr>
            <w:r w:rsidRPr="001552C0">
              <w:rPr>
                <w:b/>
              </w:rPr>
              <w:t>Comments [200]</w:t>
            </w:r>
          </w:p>
        </w:tc>
      </w:tr>
      <w:tr w:rsidR="00B96B06" w:rsidRPr="001552C0" w14:paraId="25501AFC" w14:textId="77777777" w:rsidTr="004B06B5">
        <w:trPr>
          <w:trHeight w:val="434"/>
        </w:trPr>
        <w:tc>
          <w:tcPr>
            <w:tcW w:w="369" w:type="pct"/>
            <w:tcBorders>
              <w:top w:val="single" w:sz="4" w:space="0" w:color="auto"/>
              <w:left w:val="single" w:sz="4" w:space="0" w:color="auto"/>
              <w:bottom w:val="single" w:sz="4" w:space="0" w:color="auto"/>
              <w:right w:val="single" w:sz="4" w:space="0" w:color="auto"/>
            </w:tcBorders>
          </w:tcPr>
          <w:p w14:paraId="56D3067B" w14:textId="77777777" w:rsidR="003332C9" w:rsidRPr="001552C0" w:rsidRDefault="003332C9" w:rsidP="00A446DA">
            <w:r w:rsidRPr="001552C0">
              <w:t xml:space="preserve">Prioritatea 3. Protecţia mediului prin conservarea biodiversităţii, asigurarea calităţii aerului şi </w:t>
            </w:r>
            <w:r w:rsidRPr="001552C0">
              <w:lastRenderedPageBreak/>
              <w:t>remediere a siturilor contaminate</w:t>
            </w:r>
          </w:p>
          <w:p w14:paraId="0EB1D7C4" w14:textId="6D5E5DAF" w:rsidR="003332C9" w:rsidRPr="001552C0" w:rsidRDefault="003332C9" w:rsidP="007A5507">
            <w:pPr>
              <w:rPr>
                <w:i/>
              </w:rPr>
            </w:pPr>
            <w:r w:rsidRPr="001552C0">
              <w:t>3.1 Conservarea biodiversității</w:t>
            </w:r>
          </w:p>
        </w:tc>
        <w:tc>
          <w:tcPr>
            <w:tcW w:w="533" w:type="pct"/>
            <w:tcBorders>
              <w:top w:val="single" w:sz="4" w:space="0" w:color="auto"/>
              <w:left w:val="single" w:sz="4" w:space="0" w:color="auto"/>
              <w:bottom w:val="single" w:sz="4" w:space="0" w:color="auto"/>
              <w:right w:val="single" w:sz="4" w:space="0" w:color="auto"/>
            </w:tcBorders>
          </w:tcPr>
          <w:p w14:paraId="57AF3878" w14:textId="0AADAB78" w:rsidR="003332C9" w:rsidRPr="001552C0" w:rsidRDefault="003332C9" w:rsidP="007A5507">
            <w:pPr>
              <w:rPr>
                <w:i/>
              </w:rPr>
            </w:pPr>
            <w:r w:rsidRPr="001552C0">
              <w:lastRenderedPageBreak/>
              <w:t>Îmbunătățirea protecției naturii și a biodiversității, a infrastructurii verzi în special în mediul urban și reducerea poluării</w:t>
            </w:r>
          </w:p>
        </w:tc>
        <w:tc>
          <w:tcPr>
            <w:tcW w:w="284" w:type="pct"/>
            <w:tcBorders>
              <w:top w:val="single" w:sz="4" w:space="0" w:color="auto"/>
              <w:left w:val="single" w:sz="4" w:space="0" w:color="auto"/>
              <w:bottom w:val="single" w:sz="4" w:space="0" w:color="auto"/>
              <w:right w:val="single" w:sz="4" w:space="0" w:color="auto"/>
            </w:tcBorders>
          </w:tcPr>
          <w:p w14:paraId="78162B42" w14:textId="4397CA2C" w:rsidR="003332C9" w:rsidRPr="001552C0" w:rsidRDefault="003332C9" w:rsidP="007A5507">
            <w:pPr>
              <w:rPr>
                <w:i/>
              </w:rPr>
            </w:pPr>
            <w:r w:rsidRPr="001552C0">
              <w:t>FERD</w:t>
            </w:r>
          </w:p>
        </w:tc>
        <w:tc>
          <w:tcPr>
            <w:tcW w:w="422" w:type="pct"/>
            <w:tcBorders>
              <w:top w:val="single" w:sz="4" w:space="0" w:color="auto"/>
              <w:left w:val="single" w:sz="4" w:space="0" w:color="auto"/>
              <w:bottom w:val="single" w:sz="4" w:space="0" w:color="auto"/>
              <w:right w:val="single" w:sz="4" w:space="0" w:color="auto"/>
            </w:tcBorders>
          </w:tcPr>
          <w:p w14:paraId="3133E0F0" w14:textId="77777777" w:rsidR="003332C9" w:rsidRPr="001552C0" w:rsidRDefault="003332C9" w:rsidP="00A446DA">
            <w:r w:rsidRPr="001552C0">
              <w:t>Mai dezvoltată</w:t>
            </w:r>
          </w:p>
          <w:p w14:paraId="058670C0" w14:textId="2E4920B2" w:rsidR="003332C9" w:rsidRPr="001552C0" w:rsidRDefault="003332C9" w:rsidP="007A5507">
            <w:pPr>
              <w:rPr>
                <w:i/>
              </w:rPr>
            </w:pPr>
            <w:r w:rsidRPr="001552C0">
              <w:t>Mai puțin dezvoltată</w:t>
            </w:r>
          </w:p>
        </w:tc>
        <w:tc>
          <w:tcPr>
            <w:tcW w:w="245" w:type="pct"/>
            <w:tcBorders>
              <w:top w:val="single" w:sz="4" w:space="0" w:color="auto"/>
              <w:left w:val="single" w:sz="4" w:space="0" w:color="auto"/>
              <w:bottom w:val="single" w:sz="4" w:space="0" w:color="auto"/>
              <w:right w:val="single" w:sz="4" w:space="0" w:color="auto"/>
            </w:tcBorders>
          </w:tcPr>
          <w:p w14:paraId="11A02D46" w14:textId="31D6255A" w:rsidR="003332C9" w:rsidRPr="001552C0" w:rsidRDefault="003332C9" w:rsidP="007A5507">
            <w:pPr>
              <w:rPr>
                <w:i/>
              </w:rPr>
            </w:pPr>
            <w:r w:rsidRPr="001552C0">
              <w:rPr>
                <w:i/>
              </w:rPr>
              <w:t>2S6</w:t>
            </w:r>
          </w:p>
        </w:tc>
        <w:tc>
          <w:tcPr>
            <w:tcW w:w="648" w:type="pct"/>
            <w:tcBorders>
              <w:top w:val="single" w:sz="4" w:space="0" w:color="auto"/>
              <w:left w:val="single" w:sz="4" w:space="0" w:color="auto"/>
              <w:bottom w:val="single" w:sz="4" w:space="0" w:color="auto"/>
              <w:right w:val="single" w:sz="4" w:space="0" w:color="auto"/>
            </w:tcBorders>
          </w:tcPr>
          <w:p w14:paraId="48F5A0C2" w14:textId="14E13B64" w:rsidR="003332C9" w:rsidRPr="001552C0" w:rsidRDefault="003332C9" w:rsidP="008E4704">
            <w:r w:rsidRPr="001552C0">
              <w:t xml:space="preserve">Situri Natura 2000 şi alte arii protejate aflate în stare </w:t>
            </w:r>
            <w:r w:rsidR="004B06B5" w:rsidRPr="001552C0">
              <w:t>favorabilă</w:t>
            </w:r>
            <w:r w:rsidRPr="001552C0">
              <w:t xml:space="preserve"> de conservare la un an</w:t>
            </w:r>
            <w:r w:rsidR="004B06B5" w:rsidRPr="001552C0">
              <w:t xml:space="preserve"> de la finalizarea proiectului </w:t>
            </w:r>
          </w:p>
        </w:tc>
        <w:tc>
          <w:tcPr>
            <w:tcW w:w="425" w:type="pct"/>
            <w:tcBorders>
              <w:top w:val="single" w:sz="4" w:space="0" w:color="auto"/>
              <w:left w:val="single" w:sz="4" w:space="0" w:color="auto"/>
              <w:bottom w:val="single" w:sz="4" w:space="0" w:color="auto"/>
              <w:right w:val="single" w:sz="4" w:space="0" w:color="auto"/>
            </w:tcBorders>
          </w:tcPr>
          <w:p w14:paraId="12251383" w14:textId="7B55801F" w:rsidR="003332C9" w:rsidRPr="001552C0" w:rsidRDefault="008E4704" w:rsidP="008E4704">
            <w:r w:rsidRPr="001552C0">
              <w:t>hectare</w:t>
            </w:r>
          </w:p>
        </w:tc>
        <w:tc>
          <w:tcPr>
            <w:tcW w:w="446" w:type="pct"/>
            <w:tcBorders>
              <w:top w:val="single" w:sz="4" w:space="0" w:color="auto"/>
              <w:left w:val="single" w:sz="4" w:space="0" w:color="auto"/>
              <w:bottom w:val="single" w:sz="4" w:space="0" w:color="auto"/>
              <w:right w:val="single" w:sz="4" w:space="0" w:color="auto"/>
            </w:tcBorders>
          </w:tcPr>
          <w:p w14:paraId="336A44AF" w14:textId="4BC723CB" w:rsidR="003332C9" w:rsidRPr="001552C0" w:rsidRDefault="008E4704" w:rsidP="007A5507">
            <w:pPr>
              <w:rPr>
                <w:i/>
              </w:rPr>
            </w:pPr>
            <w:r w:rsidRPr="001552C0">
              <w:t>0</w:t>
            </w:r>
          </w:p>
        </w:tc>
        <w:tc>
          <w:tcPr>
            <w:tcW w:w="463" w:type="pct"/>
            <w:tcBorders>
              <w:top w:val="single" w:sz="4" w:space="0" w:color="auto"/>
              <w:left w:val="single" w:sz="4" w:space="0" w:color="auto"/>
              <w:bottom w:val="single" w:sz="4" w:space="0" w:color="auto"/>
              <w:right w:val="single" w:sz="4" w:space="0" w:color="auto"/>
            </w:tcBorders>
          </w:tcPr>
          <w:p w14:paraId="0ED9BAFA" w14:textId="3BE6719A" w:rsidR="003332C9" w:rsidRPr="001552C0" w:rsidRDefault="008E4704" w:rsidP="007A5507">
            <w:pPr>
              <w:rPr>
                <w:b/>
              </w:rPr>
            </w:pPr>
            <w:r w:rsidRPr="001552C0">
              <w:t>2020</w:t>
            </w:r>
          </w:p>
        </w:tc>
        <w:tc>
          <w:tcPr>
            <w:tcW w:w="334" w:type="pct"/>
            <w:tcBorders>
              <w:top w:val="single" w:sz="4" w:space="0" w:color="auto"/>
              <w:left w:val="single" w:sz="4" w:space="0" w:color="auto"/>
              <w:bottom w:val="single" w:sz="4" w:space="0" w:color="auto"/>
              <w:right w:val="single" w:sz="4" w:space="0" w:color="auto"/>
            </w:tcBorders>
          </w:tcPr>
          <w:p w14:paraId="51E6D4A6" w14:textId="77777777" w:rsidR="003332C9" w:rsidRPr="001552C0" w:rsidRDefault="003332C9" w:rsidP="007A5507">
            <w:pPr>
              <w:rPr>
                <w:b/>
              </w:rPr>
            </w:pPr>
          </w:p>
        </w:tc>
        <w:tc>
          <w:tcPr>
            <w:tcW w:w="347" w:type="pct"/>
            <w:tcBorders>
              <w:top w:val="single" w:sz="4" w:space="0" w:color="auto"/>
              <w:left w:val="single" w:sz="4" w:space="0" w:color="auto"/>
              <w:bottom w:val="single" w:sz="4" w:space="0" w:color="auto"/>
              <w:right w:val="single" w:sz="4" w:space="0" w:color="auto"/>
            </w:tcBorders>
          </w:tcPr>
          <w:p w14:paraId="1F78B741" w14:textId="77777777" w:rsidR="003332C9" w:rsidRPr="001552C0" w:rsidRDefault="003332C9" w:rsidP="007A5507">
            <w:pPr>
              <w:rPr>
                <w:i/>
              </w:rPr>
            </w:pPr>
          </w:p>
        </w:tc>
        <w:tc>
          <w:tcPr>
            <w:tcW w:w="484" w:type="pct"/>
            <w:tcBorders>
              <w:top w:val="single" w:sz="4" w:space="0" w:color="auto"/>
              <w:left w:val="single" w:sz="4" w:space="0" w:color="auto"/>
              <w:bottom w:val="single" w:sz="4" w:space="0" w:color="auto"/>
              <w:right w:val="single" w:sz="4" w:space="0" w:color="auto"/>
            </w:tcBorders>
          </w:tcPr>
          <w:p w14:paraId="751AEF02" w14:textId="77777777" w:rsidR="003332C9" w:rsidRPr="001552C0" w:rsidRDefault="003332C9" w:rsidP="007A5507">
            <w:pPr>
              <w:rPr>
                <w:i/>
              </w:rPr>
            </w:pPr>
          </w:p>
        </w:tc>
      </w:tr>
      <w:tr w:rsidR="00B96B06" w:rsidRPr="001552C0" w14:paraId="67984AB1" w14:textId="77777777" w:rsidTr="004B06B5">
        <w:trPr>
          <w:trHeight w:val="286"/>
        </w:trPr>
        <w:tc>
          <w:tcPr>
            <w:tcW w:w="369" w:type="pct"/>
            <w:tcBorders>
              <w:top w:val="single" w:sz="4" w:space="0" w:color="auto"/>
              <w:left w:val="single" w:sz="4" w:space="0" w:color="auto"/>
              <w:bottom w:val="single" w:sz="4" w:space="0" w:color="auto"/>
              <w:right w:val="single" w:sz="4" w:space="0" w:color="auto"/>
            </w:tcBorders>
          </w:tcPr>
          <w:p w14:paraId="69CC82E1" w14:textId="77777777" w:rsidR="003332C9" w:rsidRPr="001552C0" w:rsidRDefault="003332C9" w:rsidP="00A446DA">
            <w:r w:rsidRPr="001552C0">
              <w:lastRenderedPageBreak/>
              <w:t>Prioritatea 3. Protecţia mediului prin conservarea biodiversităţii, asigurarea calităţii aerului şi remediere a siturilor contaminate</w:t>
            </w:r>
          </w:p>
          <w:p w14:paraId="0D2807BF" w14:textId="36FC8556" w:rsidR="003332C9" w:rsidRPr="001552C0" w:rsidRDefault="003332C9">
            <w:pPr>
              <w:rPr>
                <w:i/>
              </w:rPr>
            </w:pPr>
            <w:r w:rsidRPr="001552C0">
              <w:lastRenderedPageBreak/>
              <w:t>3.1 Conservarea biodiversității</w:t>
            </w:r>
          </w:p>
        </w:tc>
        <w:tc>
          <w:tcPr>
            <w:tcW w:w="533" w:type="pct"/>
            <w:tcBorders>
              <w:top w:val="single" w:sz="4" w:space="0" w:color="auto"/>
              <w:left w:val="single" w:sz="4" w:space="0" w:color="auto"/>
              <w:bottom w:val="single" w:sz="4" w:space="0" w:color="auto"/>
              <w:right w:val="single" w:sz="4" w:space="0" w:color="auto"/>
            </w:tcBorders>
          </w:tcPr>
          <w:p w14:paraId="53BDE7D4" w14:textId="73391ABE" w:rsidR="003332C9" w:rsidRPr="001552C0" w:rsidRDefault="003332C9" w:rsidP="007A5507">
            <w:pPr>
              <w:rPr>
                <w:i/>
              </w:rPr>
            </w:pPr>
            <w:r w:rsidRPr="001552C0">
              <w:lastRenderedPageBreak/>
              <w:t>Îmbunătățirea protecției naturii și a biodiversității, a infrastructurii verzi în special în mediul urban și reducerea poluării</w:t>
            </w:r>
          </w:p>
        </w:tc>
        <w:tc>
          <w:tcPr>
            <w:tcW w:w="284" w:type="pct"/>
            <w:tcBorders>
              <w:top w:val="single" w:sz="4" w:space="0" w:color="auto"/>
              <w:left w:val="single" w:sz="4" w:space="0" w:color="auto"/>
              <w:bottom w:val="single" w:sz="4" w:space="0" w:color="auto"/>
              <w:right w:val="single" w:sz="4" w:space="0" w:color="auto"/>
            </w:tcBorders>
          </w:tcPr>
          <w:p w14:paraId="377387C2" w14:textId="70C3D1E6" w:rsidR="003332C9" w:rsidRPr="001552C0" w:rsidRDefault="003332C9" w:rsidP="007A5507">
            <w:pPr>
              <w:rPr>
                <w:i/>
              </w:rPr>
            </w:pPr>
            <w:r w:rsidRPr="001552C0">
              <w:t>FERD</w:t>
            </w:r>
          </w:p>
        </w:tc>
        <w:tc>
          <w:tcPr>
            <w:tcW w:w="422" w:type="pct"/>
            <w:tcBorders>
              <w:top w:val="single" w:sz="4" w:space="0" w:color="auto"/>
              <w:left w:val="single" w:sz="4" w:space="0" w:color="auto"/>
              <w:bottom w:val="single" w:sz="4" w:space="0" w:color="auto"/>
              <w:right w:val="single" w:sz="4" w:space="0" w:color="auto"/>
            </w:tcBorders>
          </w:tcPr>
          <w:p w14:paraId="23584D88" w14:textId="77777777" w:rsidR="003332C9" w:rsidRPr="001552C0" w:rsidRDefault="003332C9" w:rsidP="00A446DA">
            <w:r w:rsidRPr="001552C0">
              <w:t>Mai dezvoltată</w:t>
            </w:r>
          </w:p>
          <w:p w14:paraId="662BEBD9" w14:textId="0DA32051" w:rsidR="003332C9" w:rsidRPr="001552C0" w:rsidRDefault="003332C9" w:rsidP="007A5507">
            <w:pPr>
              <w:rPr>
                <w:i/>
              </w:rPr>
            </w:pPr>
            <w:r w:rsidRPr="001552C0">
              <w:t>Mai puțin dezvoltată</w:t>
            </w:r>
          </w:p>
        </w:tc>
        <w:tc>
          <w:tcPr>
            <w:tcW w:w="245" w:type="pct"/>
            <w:tcBorders>
              <w:top w:val="single" w:sz="4" w:space="0" w:color="auto"/>
              <w:left w:val="single" w:sz="4" w:space="0" w:color="auto"/>
              <w:bottom w:val="single" w:sz="4" w:space="0" w:color="auto"/>
              <w:right w:val="single" w:sz="4" w:space="0" w:color="auto"/>
            </w:tcBorders>
          </w:tcPr>
          <w:p w14:paraId="3E03E3E3" w14:textId="3303392F" w:rsidR="003332C9" w:rsidRPr="001552C0" w:rsidRDefault="003332C9" w:rsidP="007A5507">
            <w:pPr>
              <w:rPr>
                <w:i/>
              </w:rPr>
            </w:pPr>
            <w:r w:rsidRPr="001552C0">
              <w:rPr>
                <w:i/>
              </w:rPr>
              <w:t>2S7</w:t>
            </w:r>
          </w:p>
        </w:tc>
        <w:tc>
          <w:tcPr>
            <w:tcW w:w="648" w:type="pct"/>
            <w:tcBorders>
              <w:top w:val="single" w:sz="4" w:space="0" w:color="auto"/>
              <w:left w:val="single" w:sz="4" w:space="0" w:color="auto"/>
              <w:bottom w:val="single" w:sz="4" w:space="0" w:color="auto"/>
              <w:right w:val="single" w:sz="4" w:space="0" w:color="auto"/>
            </w:tcBorders>
          </w:tcPr>
          <w:p w14:paraId="364A3F33" w14:textId="3FF31107" w:rsidR="003332C9" w:rsidRPr="001552C0" w:rsidRDefault="008E4704" w:rsidP="00523F44">
            <w:pPr>
              <w:rPr>
                <w:i/>
              </w:rPr>
            </w:pPr>
            <w:r w:rsidRPr="001552C0">
              <w:t xml:space="preserve">Autorități </w:t>
            </w:r>
            <w:r w:rsidR="00523F44" w:rsidRPr="001552C0">
              <w:t>ș</w:t>
            </w:r>
            <w:r w:rsidRPr="001552C0">
              <w:t>i entități</w:t>
            </w:r>
            <w:r w:rsidR="003332C9" w:rsidRPr="001552C0">
              <w:t xml:space="preserve"> cu rol in managementul rețelei Natura 2000 si a altor arii naturale protejate</w:t>
            </w:r>
            <w:r w:rsidR="003332C9" w:rsidRPr="001552C0">
              <w:rPr>
                <w:i/>
              </w:rPr>
              <w:t xml:space="preserve"> care utilizează instrumente/rapoarte-studii/metodologii devoltate prin proiect </w:t>
            </w:r>
          </w:p>
        </w:tc>
        <w:tc>
          <w:tcPr>
            <w:tcW w:w="425" w:type="pct"/>
            <w:tcBorders>
              <w:top w:val="single" w:sz="4" w:space="0" w:color="auto"/>
              <w:left w:val="single" w:sz="4" w:space="0" w:color="auto"/>
              <w:bottom w:val="single" w:sz="4" w:space="0" w:color="auto"/>
              <w:right w:val="single" w:sz="4" w:space="0" w:color="auto"/>
            </w:tcBorders>
          </w:tcPr>
          <w:p w14:paraId="59676928" w14:textId="6D2F5BB2" w:rsidR="003332C9" w:rsidRPr="001552C0" w:rsidRDefault="008E4704" w:rsidP="007A5507">
            <w:pPr>
              <w:rPr>
                <w:i/>
              </w:rPr>
            </w:pPr>
            <w:r w:rsidRPr="001552C0">
              <w:t>Autorități si entități</w:t>
            </w:r>
          </w:p>
        </w:tc>
        <w:tc>
          <w:tcPr>
            <w:tcW w:w="446" w:type="pct"/>
            <w:tcBorders>
              <w:top w:val="single" w:sz="4" w:space="0" w:color="auto"/>
              <w:left w:val="single" w:sz="4" w:space="0" w:color="auto"/>
              <w:bottom w:val="single" w:sz="4" w:space="0" w:color="auto"/>
              <w:right w:val="single" w:sz="4" w:space="0" w:color="auto"/>
            </w:tcBorders>
          </w:tcPr>
          <w:p w14:paraId="6F3A175E" w14:textId="4538219F" w:rsidR="003332C9" w:rsidRPr="001552C0" w:rsidRDefault="008E4704" w:rsidP="007A5507">
            <w:pPr>
              <w:rPr>
                <w:i/>
              </w:rPr>
            </w:pPr>
            <w:r w:rsidRPr="001552C0">
              <w:t>0</w:t>
            </w:r>
          </w:p>
        </w:tc>
        <w:tc>
          <w:tcPr>
            <w:tcW w:w="463" w:type="pct"/>
            <w:tcBorders>
              <w:top w:val="single" w:sz="4" w:space="0" w:color="auto"/>
              <w:left w:val="single" w:sz="4" w:space="0" w:color="auto"/>
              <w:bottom w:val="single" w:sz="4" w:space="0" w:color="auto"/>
              <w:right w:val="single" w:sz="4" w:space="0" w:color="auto"/>
            </w:tcBorders>
          </w:tcPr>
          <w:p w14:paraId="229F6A4F" w14:textId="6C92E565" w:rsidR="003332C9" w:rsidRPr="001552C0" w:rsidRDefault="008E4704" w:rsidP="007A5507">
            <w:pPr>
              <w:rPr>
                <w:b/>
              </w:rPr>
            </w:pPr>
            <w:r w:rsidRPr="001552C0">
              <w:t>2020</w:t>
            </w:r>
          </w:p>
        </w:tc>
        <w:tc>
          <w:tcPr>
            <w:tcW w:w="334" w:type="pct"/>
            <w:tcBorders>
              <w:top w:val="single" w:sz="4" w:space="0" w:color="auto"/>
              <w:left w:val="single" w:sz="4" w:space="0" w:color="auto"/>
              <w:bottom w:val="single" w:sz="4" w:space="0" w:color="auto"/>
              <w:right w:val="single" w:sz="4" w:space="0" w:color="auto"/>
            </w:tcBorders>
          </w:tcPr>
          <w:p w14:paraId="58BE2799" w14:textId="77777777" w:rsidR="003332C9" w:rsidRPr="001552C0" w:rsidRDefault="003332C9" w:rsidP="007A5507">
            <w:pPr>
              <w:rPr>
                <w:b/>
              </w:rPr>
            </w:pPr>
          </w:p>
        </w:tc>
        <w:tc>
          <w:tcPr>
            <w:tcW w:w="347" w:type="pct"/>
            <w:tcBorders>
              <w:top w:val="single" w:sz="4" w:space="0" w:color="auto"/>
              <w:left w:val="single" w:sz="4" w:space="0" w:color="auto"/>
              <w:bottom w:val="single" w:sz="4" w:space="0" w:color="auto"/>
              <w:right w:val="single" w:sz="4" w:space="0" w:color="auto"/>
            </w:tcBorders>
          </w:tcPr>
          <w:p w14:paraId="1201FCB0" w14:textId="77777777" w:rsidR="003332C9" w:rsidRPr="001552C0" w:rsidRDefault="003332C9" w:rsidP="007A5507">
            <w:pPr>
              <w:rPr>
                <w:i/>
              </w:rPr>
            </w:pPr>
          </w:p>
        </w:tc>
        <w:tc>
          <w:tcPr>
            <w:tcW w:w="484" w:type="pct"/>
            <w:tcBorders>
              <w:top w:val="single" w:sz="4" w:space="0" w:color="auto"/>
              <w:left w:val="single" w:sz="4" w:space="0" w:color="auto"/>
              <w:bottom w:val="single" w:sz="4" w:space="0" w:color="auto"/>
              <w:right w:val="single" w:sz="4" w:space="0" w:color="auto"/>
            </w:tcBorders>
          </w:tcPr>
          <w:p w14:paraId="7147B930" w14:textId="77777777" w:rsidR="003332C9" w:rsidRPr="001552C0" w:rsidRDefault="003332C9" w:rsidP="007A5507">
            <w:pPr>
              <w:rPr>
                <w:i/>
              </w:rPr>
            </w:pPr>
          </w:p>
        </w:tc>
      </w:tr>
    </w:tbl>
    <w:p w14:paraId="587643A3" w14:textId="77777777" w:rsidR="007A5507" w:rsidRPr="001552C0" w:rsidRDefault="007A5507" w:rsidP="007A5507">
      <w:pPr>
        <w:rPr>
          <w:b/>
          <w:iCs/>
        </w:rPr>
      </w:pPr>
      <w:r w:rsidRPr="001552C0">
        <w:rPr>
          <w:i/>
        </w:rPr>
        <w:lastRenderedPageBreak/>
        <w:t>[Point 2.1.1.3 in the Commission proposal has been moved up following changes in Article 17(3)(c) CPR and it is now point 2.1.1.bis]</w:t>
      </w:r>
    </w:p>
    <w:p w14:paraId="4C0DAE2A" w14:textId="77777777" w:rsidR="007A5507" w:rsidRPr="001552C0" w:rsidRDefault="007A5507" w:rsidP="007A5507">
      <w:pPr>
        <w:spacing w:before="240" w:after="240"/>
        <w:rPr>
          <w:b/>
          <w:iCs/>
        </w:rPr>
      </w:pPr>
    </w:p>
    <w:p w14:paraId="4C10F35E" w14:textId="77777777" w:rsidR="007A5E59" w:rsidRPr="001552C0" w:rsidRDefault="007A5E59" w:rsidP="007A5E59">
      <w:pPr>
        <w:rPr>
          <w:b/>
        </w:rPr>
      </w:pPr>
      <w:r w:rsidRPr="001552C0">
        <w:rPr>
          <w:b/>
        </w:rPr>
        <w:t>2.A Priorities other than technical assistance</w:t>
      </w:r>
    </w:p>
    <w:p w14:paraId="415545D3" w14:textId="77777777" w:rsidR="007A5E59" w:rsidRPr="001552C0" w:rsidRDefault="007A5E59" w:rsidP="007A5E59">
      <w:r w:rsidRPr="001552C0">
        <w:rPr>
          <w:b/>
        </w:rPr>
        <w:t xml:space="preserve">2.A.1 Title of the priority [300] </w:t>
      </w:r>
      <w:r w:rsidRPr="001552C0">
        <w:t>(repeated for each priority)*</w:t>
      </w:r>
    </w:p>
    <w:p w14:paraId="3BAA7BEF" w14:textId="26ACD615" w:rsidR="00B05615" w:rsidRPr="001552C0" w:rsidRDefault="00B05615" w:rsidP="00B05615">
      <w:pPr>
        <w:spacing w:before="120" w:after="120" w:line="360" w:lineRule="auto"/>
        <w:jc w:val="both"/>
        <w:rPr>
          <w:rFonts w:ascii="Times New Roman" w:eastAsia="Times New Roman" w:hAnsi="Times New Roman" w:cs="Times New Roman"/>
          <w:b/>
          <w:i/>
          <w:noProof/>
        </w:rPr>
      </w:pPr>
      <w:r w:rsidRPr="001552C0">
        <w:rPr>
          <w:rFonts w:ascii="Times New Roman" w:eastAsia="Times New Roman" w:hAnsi="Times New Roman" w:cs="Times New Roman"/>
          <w:b/>
          <w:i/>
          <w:noProof/>
        </w:rPr>
        <w:t>Prioritatea 4 Promovarea adap</w:t>
      </w:r>
      <w:r w:rsidR="001E11D3" w:rsidRPr="001552C0">
        <w:rPr>
          <w:rFonts w:ascii="Times New Roman" w:eastAsia="Times New Roman" w:hAnsi="Times New Roman" w:cs="Times New Roman"/>
          <w:b/>
          <w:i/>
          <w:noProof/>
        </w:rPr>
        <w:t>tării la schimbările climatice</w:t>
      </w:r>
      <w:r w:rsidRPr="001552C0">
        <w:rPr>
          <w:rFonts w:ascii="Times New Roman" w:eastAsia="Times New Roman" w:hAnsi="Times New Roman" w:cs="Times New Roman"/>
          <w:b/>
          <w:i/>
          <w:noProof/>
        </w:rPr>
        <w:t xml:space="preserve"> şi </w:t>
      </w:r>
      <w:r w:rsidR="001E11D3" w:rsidRPr="001552C0">
        <w:rPr>
          <w:rFonts w:ascii="Times New Roman" w:eastAsia="Times New Roman" w:hAnsi="Times New Roman" w:cs="Times New Roman"/>
          <w:b/>
          <w:i/>
          <w:noProof/>
        </w:rPr>
        <w:t>managementul</w:t>
      </w:r>
      <w:r w:rsidRPr="001552C0">
        <w:rPr>
          <w:rFonts w:ascii="Times New Roman" w:eastAsia="Times New Roman" w:hAnsi="Times New Roman" w:cs="Times New Roman"/>
          <w:b/>
          <w:i/>
          <w:noProof/>
        </w:rPr>
        <w:t xml:space="preserve"> riscurilor</w:t>
      </w:r>
    </w:p>
    <w:p w14:paraId="6D0631D7" w14:textId="77777777" w:rsidR="007A5E59" w:rsidRPr="001552C0" w:rsidRDefault="007A5E59" w:rsidP="007A5E59">
      <w:pPr>
        <w:rPr>
          <w:b/>
          <w:iCs/>
        </w:rPr>
      </w:pPr>
      <w:r w:rsidRPr="001552C0">
        <w:rPr>
          <w:b/>
          <w:iCs/>
        </w:rPr>
        <w:t xml:space="preserve">2.A.2 Indicative breakdown of the programmed resources (EU) by type of intervention </w:t>
      </w:r>
      <w:r w:rsidRPr="001552C0">
        <w:rPr>
          <w:iCs/>
        </w:rPr>
        <w:t xml:space="preserve">(not applicable to the EMFF) </w:t>
      </w:r>
      <w:r w:rsidRPr="001552C0">
        <w:rPr>
          <w:i/>
        </w:rPr>
        <w:t>[This was point 2.1.1.3 in the Commission proposal and has been moved up following changes in Article 17(3)(c) CPR]</w:t>
      </w:r>
    </w:p>
    <w:p w14:paraId="21B2E384" w14:textId="77777777" w:rsidR="007A5E59" w:rsidRPr="001552C0" w:rsidRDefault="007A5E59" w:rsidP="007A5E59">
      <w:pPr>
        <w:rPr>
          <w:b/>
          <w:i/>
          <w:iCs/>
        </w:rPr>
      </w:pPr>
      <w:r w:rsidRPr="001552C0">
        <w:rPr>
          <w:i/>
        </w:rPr>
        <w:t>Reference: Article 17(3)(c) CPR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80"/>
        <w:gridCol w:w="1152"/>
        <w:gridCol w:w="4615"/>
        <w:gridCol w:w="1843"/>
      </w:tblGrid>
      <w:tr w:rsidR="00B96B06" w:rsidRPr="001552C0" w14:paraId="31337E37" w14:textId="77777777" w:rsidTr="005219C1">
        <w:tc>
          <w:tcPr>
            <w:tcW w:w="9889" w:type="dxa"/>
            <w:gridSpan w:val="5"/>
            <w:tcBorders>
              <w:top w:val="single" w:sz="4" w:space="0" w:color="auto"/>
              <w:left w:val="single" w:sz="4" w:space="0" w:color="auto"/>
              <w:bottom w:val="single" w:sz="4" w:space="0" w:color="auto"/>
              <w:right w:val="single" w:sz="4" w:space="0" w:color="auto"/>
            </w:tcBorders>
            <w:hideMark/>
          </w:tcPr>
          <w:p w14:paraId="66CF13B2" w14:textId="77777777" w:rsidR="007A5E59" w:rsidRPr="001552C0" w:rsidRDefault="007A5E59" w:rsidP="00031C04">
            <w:pPr>
              <w:rPr>
                <w:b/>
                <w:iCs/>
              </w:rPr>
            </w:pPr>
            <w:r w:rsidRPr="001552C0">
              <w:rPr>
                <w:b/>
                <w:iCs/>
              </w:rPr>
              <w:t>Table 4: Dimension 1 – intervention field</w:t>
            </w:r>
          </w:p>
        </w:tc>
      </w:tr>
      <w:tr w:rsidR="00B96B06" w:rsidRPr="001552C0" w14:paraId="29E9EC4A" w14:textId="77777777" w:rsidTr="005219C1">
        <w:tc>
          <w:tcPr>
            <w:tcW w:w="1599" w:type="dxa"/>
            <w:tcBorders>
              <w:top w:val="single" w:sz="4" w:space="0" w:color="auto"/>
              <w:left w:val="single" w:sz="4" w:space="0" w:color="auto"/>
              <w:bottom w:val="single" w:sz="4" w:space="0" w:color="auto"/>
              <w:right w:val="single" w:sz="4" w:space="0" w:color="auto"/>
            </w:tcBorders>
            <w:hideMark/>
          </w:tcPr>
          <w:p w14:paraId="1F7DC2B3" w14:textId="77777777" w:rsidR="007A5E59" w:rsidRPr="001552C0" w:rsidRDefault="007A5E59" w:rsidP="00031C04">
            <w:pPr>
              <w:rPr>
                <w:b/>
                <w:iCs/>
              </w:rPr>
            </w:pPr>
            <w:r w:rsidRPr="001552C0">
              <w:rPr>
                <w:b/>
                <w:iCs/>
              </w:rPr>
              <w:t>Priority No</w:t>
            </w:r>
          </w:p>
        </w:tc>
        <w:tc>
          <w:tcPr>
            <w:tcW w:w="680" w:type="dxa"/>
            <w:tcBorders>
              <w:top w:val="single" w:sz="4" w:space="0" w:color="auto"/>
              <w:left w:val="single" w:sz="4" w:space="0" w:color="auto"/>
              <w:bottom w:val="single" w:sz="4" w:space="0" w:color="auto"/>
              <w:right w:val="single" w:sz="4" w:space="0" w:color="auto"/>
            </w:tcBorders>
            <w:hideMark/>
          </w:tcPr>
          <w:p w14:paraId="36A301C7" w14:textId="77777777" w:rsidR="007A5E59" w:rsidRPr="001552C0" w:rsidRDefault="007A5E59" w:rsidP="00031C04">
            <w:pPr>
              <w:rPr>
                <w:b/>
                <w:iCs/>
              </w:rPr>
            </w:pPr>
            <w:r w:rsidRPr="001552C0">
              <w:rPr>
                <w:b/>
                <w:iCs/>
              </w:rPr>
              <w:t>Fund</w:t>
            </w:r>
          </w:p>
        </w:tc>
        <w:tc>
          <w:tcPr>
            <w:tcW w:w="1152" w:type="dxa"/>
            <w:tcBorders>
              <w:top w:val="single" w:sz="4" w:space="0" w:color="auto"/>
              <w:left w:val="single" w:sz="4" w:space="0" w:color="auto"/>
              <w:bottom w:val="single" w:sz="4" w:space="0" w:color="auto"/>
              <w:right w:val="single" w:sz="4" w:space="0" w:color="auto"/>
            </w:tcBorders>
            <w:hideMark/>
          </w:tcPr>
          <w:p w14:paraId="26880457" w14:textId="77777777" w:rsidR="007A5E59" w:rsidRPr="001552C0" w:rsidRDefault="007A5E59" w:rsidP="00031C04">
            <w:pPr>
              <w:rPr>
                <w:b/>
                <w:iCs/>
              </w:rPr>
            </w:pPr>
            <w:r w:rsidRPr="001552C0">
              <w:rPr>
                <w:b/>
                <w:iCs/>
              </w:rPr>
              <w:t>Category of region</w:t>
            </w:r>
            <w:r w:rsidRPr="001552C0">
              <w:rPr>
                <w:b/>
                <w:iCs/>
                <w:vertAlign w:val="superscript"/>
              </w:rPr>
              <w:footnoteReference w:id="16"/>
            </w:r>
          </w:p>
        </w:tc>
        <w:tc>
          <w:tcPr>
            <w:tcW w:w="4615" w:type="dxa"/>
            <w:tcBorders>
              <w:top w:val="single" w:sz="4" w:space="0" w:color="auto"/>
              <w:left w:val="single" w:sz="4" w:space="0" w:color="auto"/>
              <w:bottom w:val="single" w:sz="4" w:space="0" w:color="auto"/>
              <w:right w:val="single" w:sz="4" w:space="0" w:color="auto"/>
            </w:tcBorders>
            <w:hideMark/>
          </w:tcPr>
          <w:p w14:paraId="4B1B374D" w14:textId="77777777" w:rsidR="007A5E59" w:rsidRPr="001552C0" w:rsidRDefault="007A5E59" w:rsidP="00031C04">
            <w:pPr>
              <w:rPr>
                <w:b/>
                <w:iCs/>
              </w:rPr>
            </w:pPr>
            <w:r w:rsidRPr="001552C0">
              <w:rPr>
                <w:b/>
                <w:iCs/>
              </w:rPr>
              <w:t xml:space="preserve">Code </w:t>
            </w:r>
          </w:p>
        </w:tc>
        <w:tc>
          <w:tcPr>
            <w:tcW w:w="1843" w:type="dxa"/>
            <w:tcBorders>
              <w:top w:val="single" w:sz="4" w:space="0" w:color="auto"/>
              <w:left w:val="single" w:sz="4" w:space="0" w:color="auto"/>
              <w:bottom w:val="single" w:sz="4" w:space="0" w:color="auto"/>
              <w:right w:val="single" w:sz="4" w:space="0" w:color="auto"/>
            </w:tcBorders>
            <w:hideMark/>
          </w:tcPr>
          <w:p w14:paraId="6E255990" w14:textId="77777777" w:rsidR="007A5E59" w:rsidRPr="001552C0" w:rsidRDefault="007A5E59" w:rsidP="00031C04">
            <w:pPr>
              <w:rPr>
                <w:b/>
                <w:iCs/>
              </w:rPr>
            </w:pPr>
            <w:r w:rsidRPr="001552C0">
              <w:rPr>
                <w:b/>
                <w:iCs/>
              </w:rPr>
              <w:t>Amount (EUR)</w:t>
            </w:r>
          </w:p>
        </w:tc>
      </w:tr>
      <w:tr w:rsidR="00B96B06" w:rsidRPr="001552C0" w14:paraId="1CF9DBDB" w14:textId="77777777" w:rsidTr="007906D8">
        <w:trPr>
          <w:trHeight w:val="3797"/>
        </w:trPr>
        <w:tc>
          <w:tcPr>
            <w:tcW w:w="1599" w:type="dxa"/>
            <w:vMerge w:val="restart"/>
            <w:tcBorders>
              <w:top w:val="single" w:sz="4" w:space="0" w:color="auto"/>
              <w:left w:val="single" w:sz="4" w:space="0" w:color="auto"/>
              <w:right w:val="single" w:sz="4" w:space="0" w:color="auto"/>
            </w:tcBorders>
          </w:tcPr>
          <w:p w14:paraId="0E1A99D8" w14:textId="56435E0C" w:rsidR="00C16F86" w:rsidRPr="001552C0" w:rsidRDefault="00C16F86" w:rsidP="001E11D3">
            <w:pPr>
              <w:rPr>
                <w:iCs/>
              </w:rPr>
            </w:pPr>
            <w:r w:rsidRPr="001552C0">
              <w:rPr>
                <w:iCs/>
              </w:rPr>
              <w:t xml:space="preserve"> 4. Promovarea adap</w:t>
            </w:r>
            <w:r w:rsidR="001E11D3" w:rsidRPr="001552C0">
              <w:rPr>
                <w:iCs/>
              </w:rPr>
              <w:t>tării la schimbările climatice</w:t>
            </w:r>
            <w:r w:rsidRPr="001552C0">
              <w:rPr>
                <w:iCs/>
              </w:rPr>
              <w:t xml:space="preserve"> şi</w:t>
            </w:r>
            <w:r w:rsidR="001E11D3" w:rsidRPr="001552C0">
              <w:rPr>
                <w:iCs/>
              </w:rPr>
              <w:t xml:space="preserve"> managementul</w:t>
            </w:r>
            <w:r w:rsidRPr="001552C0">
              <w:rPr>
                <w:iCs/>
              </w:rPr>
              <w:t xml:space="preserve"> riscurilor</w:t>
            </w:r>
          </w:p>
        </w:tc>
        <w:tc>
          <w:tcPr>
            <w:tcW w:w="680" w:type="dxa"/>
            <w:vMerge w:val="restart"/>
            <w:tcBorders>
              <w:top w:val="single" w:sz="4" w:space="0" w:color="auto"/>
              <w:left w:val="single" w:sz="4" w:space="0" w:color="auto"/>
              <w:right w:val="single" w:sz="4" w:space="0" w:color="auto"/>
            </w:tcBorders>
          </w:tcPr>
          <w:p w14:paraId="2D8CA778" w14:textId="24510E65" w:rsidR="00C16F86" w:rsidRPr="001552C0" w:rsidRDefault="00C16F86" w:rsidP="00031C04">
            <w:pPr>
              <w:rPr>
                <w:iCs/>
              </w:rPr>
            </w:pPr>
            <w:r w:rsidRPr="001552C0">
              <w:rPr>
                <w:iCs/>
              </w:rPr>
              <w:t>FEDR</w:t>
            </w:r>
          </w:p>
        </w:tc>
        <w:tc>
          <w:tcPr>
            <w:tcW w:w="1152" w:type="dxa"/>
            <w:vMerge w:val="restart"/>
            <w:tcBorders>
              <w:top w:val="single" w:sz="4" w:space="0" w:color="auto"/>
              <w:left w:val="single" w:sz="4" w:space="0" w:color="auto"/>
              <w:right w:val="single" w:sz="4" w:space="0" w:color="auto"/>
            </w:tcBorders>
          </w:tcPr>
          <w:p w14:paraId="54A1F9E1" w14:textId="77777777" w:rsidR="00C16F86" w:rsidRPr="001552C0" w:rsidRDefault="00C16F86" w:rsidP="00031C04">
            <w:pPr>
              <w:rPr>
                <w:iCs/>
              </w:rPr>
            </w:pPr>
            <w:r w:rsidRPr="001552C0">
              <w:rPr>
                <w:iCs/>
              </w:rPr>
              <w:t>Mai dezvoltată</w:t>
            </w:r>
          </w:p>
          <w:p w14:paraId="080182AF" w14:textId="33BD6BA1" w:rsidR="00C16F86" w:rsidRPr="001552C0" w:rsidRDefault="00C16F86" w:rsidP="00031C04">
            <w:pPr>
              <w:rPr>
                <w:iCs/>
              </w:rPr>
            </w:pPr>
            <w:r w:rsidRPr="001552C0">
              <w:rPr>
                <w:iCs/>
              </w:rPr>
              <w:t>Mai puțin dezvoltată</w:t>
            </w:r>
          </w:p>
        </w:tc>
        <w:tc>
          <w:tcPr>
            <w:tcW w:w="4615" w:type="dxa"/>
            <w:tcBorders>
              <w:top w:val="single" w:sz="4" w:space="0" w:color="auto"/>
              <w:left w:val="single" w:sz="4" w:space="0" w:color="auto"/>
              <w:right w:val="single" w:sz="4" w:space="0" w:color="auto"/>
            </w:tcBorders>
          </w:tcPr>
          <w:p w14:paraId="486EFB6A" w14:textId="77777777" w:rsidR="00C16F86" w:rsidRPr="001552C0" w:rsidRDefault="00C16F86" w:rsidP="00DE3B87">
            <w:pPr>
              <w:jc w:val="both"/>
              <w:rPr>
                <w:iCs/>
              </w:rPr>
            </w:pPr>
            <w:r w:rsidRPr="001552C0">
              <w:rPr>
                <w:iCs/>
              </w:rPr>
              <w:t>035</w:t>
            </w:r>
            <w:r w:rsidRPr="001552C0">
              <w:rPr>
                <w:iCs/>
              </w:rPr>
              <w:tab/>
              <w:t>Măsuri de adaptare la schimbările climatice și prevenirea și managementul riscurilor legate de climă: inundații și alunecări de teren (inclusiv sensibilizare, protecție civilă și sisteme și infrastructuri de management al dezastrelor)</w:t>
            </w:r>
          </w:p>
          <w:p w14:paraId="5A9EE16D" w14:textId="77777777" w:rsidR="00C16F86" w:rsidRPr="001552C0" w:rsidRDefault="00C16F86" w:rsidP="00DE3B87">
            <w:pPr>
              <w:jc w:val="both"/>
              <w:rPr>
                <w:iCs/>
              </w:rPr>
            </w:pPr>
            <w:r w:rsidRPr="001552C0">
              <w:rPr>
                <w:iCs/>
              </w:rPr>
              <w:t>037 Măsuri de adaptare la schimbările climatice și prevenirea și managementul riscurilor legate de climă: altele, de exemplu, furtuni și secetă (inclusiv sensibilizare, protecție civilă și sisteme și infrastructuri de management al dezastrelor)</w:t>
            </w:r>
          </w:p>
          <w:p w14:paraId="3CFF301E" w14:textId="1362EC20" w:rsidR="00C16F86" w:rsidRPr="001552C0" w:rsidRDefault="00C16F86" w:rsidP="00DE3B87">
            <w:pPr>
              <w:jc w:val="both"/>
              <w:rPr>
                <w:iCs/>
              </w:rPr>
            </w:pPr>
            <w:r w:rsidRPr="001552C0">
              <w:rPr>
                <w:iCs/>
              </w:rPr>
              <w:t>040</w:t>
            </w:r>
            <w:r w:rsidRPr="001552C0">
              <w:rPr>
                <w:iCs/>
              </w:rPr>
              <w:tab/>
              <w:t xml:space="preserve">Gospodărirea apelor și conservarea resurselor de apă (inclusiv managementul bazinelor hidrografice, măsuri specifice de </w:t>
            </w:r>
            <w:r w:rsidRPr="001552C0">
              <w:rPr>
                <w:iCs/>
              </w:rPr>
              <w:lastRenderedPageBreak/>
              <w:t>adaptare la schimbările climatice, reutilizare, reducerea pierderilor)</w:t>
            </w:r>
          </w:p>
        </w:tc>
        <w:tc>
          <w:tcPr>
            <w:tcW w:w="1843" w:type="dxa"/>
            <w:tcBorders>
              <w:top w:val="single" w:sz="4" w:space="0" w:color="auto"/>
              <w:left w:val="single" w:sz="4" w:space="0" w:color="auto"/>
              <w:right w:val="single" w:sz="4" w:space="0" w:color="auto"/>
            </w:tcBorders>
          </w:tcPr>
          <w:p w14:paraId="060003A2" w14:textId="54AAA670" w:rsidR="00C16F86" w:rsidRPr="001552C0" w:rsidRDefault="00773AC8" w:rsidP="00031C04">
            <w:pPr>
              <w:rPr>
                <w:iCs/>
              </w:rPr>
            </w:pPr>
            <w:r>
              <w:rPr>
                <w:iCs/>
              </w:rPr>
              <w:lastRenderedPageBreak/>
              <w:t>24</w:t>
            </w:r>
            <w:r w:rsidR="00C16F86" w:rsidRPr="001552C0">
              <w:rPr>
                <w:iCs/>
              </w:rPr>
              <w:t>0.000.000</w:t>
            </w:r>
          </w:p>
          <w:p w14:paraId="24E5BFBF" w14:textId="719EFF76" w:rsidR="00C16F86" w:rsidRPr="001552C0" w:rsidRDefault="00C16F86" w:rsidP="00031C04">
            <w:pPr>
              <w:rPr>
                <w:iCs/>
              </w:rPr>
            </w:pPr>
          </w:p>
        </w:tc>
      </w:tr>
      <w:tr w:rsidR="00DE3B87" w:rsidRPr="001552C0" w14:paraId="28801D29" w14:textId="77777777" w:rsidTr="007906D8">
        <w:tc>
          <w:tcPr>
            <w:tcW w:w="1599" w:type="dxa"/>
            <w:vMerge/>
            <w:tcBorders>
              <w:left w:val="single" w:sz="4" w:space="0" w:color="auto"/>
              <w:bottom w:val="single" w:sz="4" w:space="0" w:color="auto"/>
              <w:right w:val="single" w:sz="4" w:space="0" w:color="auto"/>
            </w:tcBorders>
          </w:tcPr>
          <w:p w14:paraId="4DBB27F7" w14:textId="77777777" w:rsidR="00DE3B87" w:rsidRPr="001552C0" w:rsidRDefault="00DE3B87" w:rsidP="00031C04">
            <w:pPr>
              <w:rPr>
                <w:iCs/>
              </w:rPr>
            </w:pPr>
          </w:p>
        </w:tc>
        <w:tc>
          <w:tcPr>
            <w:tcW w:w="680" w:type="dxa"/>
            <w:vMerge/>
            <w:tcBorders>
              <w:left w:val="single" w:sz="4" w:space="0" w:color="auto"/>
              <w:bottom w:val="single" w:sz="4" w:space="0" w:color="auto"/>
              <w:right w:val="single" w:sz="4" w:space="0" w:color="auto"/>
            </w:tcBorders>
          </w:tcPr>
          <w:p w14:paraId="1FF91A7B" w14:textId="77777777" w:rsidR="00DE3B87" w:rsidRPr="001552C0" w:rsidRDefault="00DE3B87" w:rsidP="00031C04">
            <w:pPr>
              <w:rPr>
                <w:iCs/>
              </w:rPr>
            </w:pPr>
          </w:p>
        </w:tc>
        <w:tc>
          <w:tcPr>
            <w:tcW w:w="1152" w:type="dxa"/>
            <w:vMerge/>
            <w:tcBorders>
              <w:left w:val="single" w:sz="4" w:space="0" w:color="auto"/>
              <w:bottom w:val="single" w:sz="4" w:space="0" w:color="auto"/>
              <w:right w:val="single" w:sz="4" w:space="0" w:color="auto"/>
            </w:tcBorders>
          </w:tcPr>
          <w:p w14:paraId="32799BCE" w14:textId="77777777" w:rsidR="00DE3B87" w:rsidRPr="001552C0" w:rsidRDefault="00DE3B87" w:rsidP="00031C04">
            <w:pPr>
              <w:rPr>
                <w:iCs/>
              </w:rPr>
            </w:pPr>
          </w:p>
        </w:tc>
        <w:tc>
          <w:tcPr>
            <w:tcW w:w="4615" w:type="dxa"/>
            <w:tcBorders>
              <w:top w:val="single" w:sz="4" w:space="0" w:color="auto"/>
              <w:left w:val="single" w:sz="4" w:space="0" w:color="auto"/>
              <w:bottom w:val="single" w:sz="4" w:space="0" w:color="auto"/>
              <w:right w:val="single" w:sz="4" w:space="0" w:color="auto"/>
            </w:tcBorders>
          </w:tcPr>
          <w:p w14:paraId="7E5AED5F" w14:textId="3912AC5D" w:rsidR="00DE3B87" w:rsidRPr="001552C0" w:rsidRDefault="00DE3B87" w:rsidP="005219C1">
            <w:pPr>
              <w:jc w:val="both"/>
              <w:rPr>
                <w:iCs/>
              </w:rPr>
            </w:pPr>
            <w:r w:rsidRPr="001552C0">
              <w:rPr>
                <w:iCs/>
              </w:rPr>
              <w:t>038</w:t>
            </w:r>
            <w:r w:rsidRPr="001552C0">
              <w:rPr>
                <w:iCs/>
              </w:rPr>
              <w:tab/>
              <w:t xml:space="preserve"> Prevenire și management al riscurilor naturale care nu au legătură cu clima (de ex. cutremurele), precum și al riscurilor legate de activitățile umane (de ex. accidentele tehnologice), inclusiv sensibilizare, protecție civilă și sisteme și infrastructuri de management al dezastrelor</w:t>
            </w:r>
          </w:p>
        </w:tc>
        <w:tc>
          <w:tcPr>
            <w:tcW w:w="1843" w:type="dxa"/>
            <w:tcBorders>
              <w:top w:val="single" w:sz="4" w:space="0" w:color="auto"/>
              <w:left w:val="single" w:sz="4" w:space="0" w:color="auto"/>
              <w:bottom w:val="single" w:sz="4" w:space="0" w:color="auto"/>
              <w:right w:val="single" w:sz="4" w:space="0" w:color="auto"/>
            </w:tcBorders>
          </w:tcPr>
          <w:p w14:paraId="015156EB" w14:textId="70C282BA" w:rsidR="00DE3B87" w:rsidRPr="001552C0" w:rsidRDefault="00773AC8" w:rsidP="00031C04">
            <w:pPr>
              <w:rPr>
                <w:iCs/>
              </w:rPr>
            </w:pPr>
            <w:r>
              <w:rPr>
                <w:iCs/>
              </w:rPr>
              <w:t>150</w:t>
            </w:r>
            <w:r w:rsidR="00F44CC2" w:rsidRPr="001552C0">
              <w:rPr>
                <w:iCs/>
              </w:rPr>
              <w:t>.000.000</w:t>
            </w:r>
          </w:p>
        </w:tc>
      </w:tr>
    </w:tbl>
    <w:p w14:paraId="38740F64" w14:textId="64FC07A0" w:rsidR="007A5E59" w:rsidRPr="001552C0" w:rsidRDefault="007A5E59" w:rsidP="007A5E5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3221"/>
        <w:gridCol w:w="1842"/>
        <w:gridCol w:w="1843"/>
      </w:tblGrid>
      <w:tr w:rsidR="00B96B06" w:rsidRPr="001552C0" w14:paraId="466C47B8" w14:textId="77777777" w:rsidTr="005219C1">
        <w:tc>
          <w:tcPr>
            <w:tcW w:w="9889" w:type="dxa"/>
            <w:gridSpan w:val="5"/>
            <w:tcBorders>
              <w:top w:val="single" w:sz="4" w:space="0" w:color="auto"/>
              <w:left w:val="single" w:sz="4" w:space="0" w:color="auto"/>
              <w:bottom w:val="single" w:sz="4" w:space="0" w:color="auto"/>
              <w:right w:val="single" w:sz="4" w:space="0" w:color="auto"/>
            </w:tcBorders>
            <w:hideMark/>
          </w:tcPr>
          <w:p w14:paraId="577F36F5" w14:textId="77777777" w:rsidR="007A5E59" w:rsidRPr="001552C0" w:rsidRDefault="007A5E59" w:rsidP="00031C04">
            <w:pPr>
              <w:rPr>
                <w:b/>
                <w:iCs/>
              </w:rPr>
            </w:pPr>
            <w:r w:rsidRPr="001552C0">
              <w:rPr>
                <w:b/>
                <w:iCs/>
              </w:rPr>
              <w:t>Table 5: Dimension 2 – form of support</w:t>
            </w:r>
          </w:p>
        </w:tc>
      </w:tr>
      <w:tr w:rsidR="00B96B06" w:rsidRPr="001552C0" w14:paraId="07944E9F" w14:textId="77777777" w:rsidTr="005219C1">
        <w:tc>
          <w:tcPr>
            <w:tcW w:w="1599" w:type="dxa"/>
            <w:tcBorders>
              <w:top w:val="single" w:sz="4" w:space="0" w:color="auto"/>
              <w:left w:val="single" w:sz="4" w:space="0" w:color="auto"/>
              <w:bottom w:val="single" w:sz="4" w:space="0" w:color="auto"/>
              <w:right w:val="single" w:sz="4" w:space="0" w:color="auto"/>
            </w:tcBorders>
            <w:hideMark/>
          </w:tcPr>
          <w:p w14:paraId="43083B34" w14:textId="77777777" w:rsidR="007A5E59" w:rsidRPr="001552C0" w:rsidRDefault="007A5E59" w:rsidP="00031C04">
            <w:pPr>
              <w:rPr>
                <w:b/>
                <w:iCs/>
              </w:rPr>
            </w:pPr>
            <w:r w:rsidRPr="001552C0">
              <w:rPr>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2DD4202B" w14:textId="77777777" w:rsidR="007A5E59" w:rsidRPr="001552C0" w:rsidRDefault="007A5E59" w:rsidP="00031C04">
            <w:pPr>
              <w:rPr>
                <w:b/>
                <w:iCs/>
              </w:rPr>
            </w:pPr>
            <w:r w:rsidRPr="001552C0">
              <w:rPr>
                <w:b/>
                <w:iCs/>
              </w:rPr>
              <w:t>Fund</w:t>
            </w:r>
          </w:p>
        </w:tc>
        <w:tc>
          <w:tcPr>
            <w:tcW w:w="3221" w:type="dxa"/>
            <w:tcBorders>
              <w:top w:val="single" w:sz="4" w:space="0" w:color="auto"/>
              <w:left w:val="single" w:sz="4" w:space="0" w:color="auto"/>
              <w:bottom w:val="single" w:sz="4" w:space="0" w:color="auto"/>
              <w:right w:val="single" w:sz="4" w:space="0" w:color="auto"/>
            </w:tcBorders>
            <w:hideMark/>
          </w:tcPr>
          <w:p w14:paraId="3DE2E923" w14:textId="77777777" w:rsidR="007A5E59" w:rsidRPr="001552C0" w:rsidRDefault="007A5E59" w:rsidP="00031C04">
            <w:pPr>
              <w:rPr>
                <w:b/>
                <w:iCs/>
              </w:rPr>
            </w:pPr>
            <w:r w:rsidRPr="001552C0">
              <w:rPr>
                <w:b/>
                <w:iCs/>
              </w:rPr>
              <w:t>Category of region</w:t>
            </w:r>
            <w:r w:rsidRPr="001552C0">
              <w:rPr>
                <w:b/>
                <w:iCs/>
                <w:vertAlign w:val="superscript"/>
              </w:rPr>
              <w:footnoteReference w:id="17"/>
            </w:r>
          </w:p>
        </w:tc>
        <w:tc>
          <w:tcPr>
            <w:tcW w:w="1842" w:type="dxa"/>
            <w:tcBorders>
              <w:top w:val="single" w:sz="4" w:space="0" w:color="auto"/>
              <w:left w:val="single" w:sz="4" w:space="0" w:color="auto"/>
              <w:bottom w:val="single" w:sz="4" w:space="0" w:color="auto"/>
              <w:right w:val="single" w:sz="4" w:space="0" w:color="auto"/>
            </w:tcBorders>
            <w:hideMark/>
          </w:tcPr>
          <w:p w14:paraId="4516C38C" w14:textId="77777777" w:rsidR="007A5E59" w:rsidRPr="001552C0" w:rsidRDefault="007A5E59" w:rsidP="00031C04">
            <w:pPr>
              <w:rPr>
                <w:b/>
                <w:iCs/>
              </w:rPr>
            </w:pPr>
            <w:r w:rsidRPr="001552C0">
              <w:rPr>
                <w:b/>
                <w:iCs/>
              </w:rPr>
              <w:t xml:space="preserve">Code </w:t>
            </w:r>
          </w:p>
        </w:tc>
        <w:tc>
          <w:tcPr>
            <w:tcW w:w="1843" w:type="dxa"/>
            <w:tcBorders>
              <w:top w:val="single" w:sz="4" w:space="0" w:color="auto"/>
              <w:left w:val="single" w:sz="4" w:space="0" w:color="auto"/>
              <w:bottom w:val="single" w:sz="4" w:space="0" w:color="auto"/>
              <w:right w:val="single" w:sz="4" w:space="0" w:color="auto"/>
            </w:tcBorders>
            <w:hideMark/>
          </w:tcPr>
          <w:p w14:paraId="1558B7EA" w14:textId="77777777" w:rsidR="007A5E59" w:rsidRPr="001552C0" w:rsidRDefault="007A5E59" w:rsidP="00031C04">
            <w:pPr>
              <w:rPr>
                <w:b/>
                <w:iCs/>
              </w:rPr>
            </w:pPr>
            <w:r w:rsidRPr="001552C0">
              <w:rPr>
                <w:b/>
                <w:iCs/>
              </w:rPr>
              <w:t>Amount (EUR)</w:t>
            </w:r>
          </w:p>
        </w:tc>
      </w:tr>
      <w:tr w:rsidR="005219C1" w:rsidRPr="001552C0" w14:paraId="46AD9A8E" w14:textId="77777777" w:rsidTr="005219C1">
        <w:tc>
          <w:tcPr>
            <w:tcW w:w="1599" w:type="dxa"/>
            <w:tcBorders>
              <w:top w:val="single" w:sz="4" w:space="0" w:color="auto"/>
              <w:left w:val="single" w:sz="4" w:space="0" w:color="auto"/>
              <w:bottom w:val="single" w:sz="4" w:space="0" w:color="auto"/>
              <w:right w:val="single" w:sz="4" w:space="0" w:color="auto"/>
            </w:tcBorders>
          </w:tcPr>
          <w:p w14:paraId="5F98EF98" w14:textId="274D0F8A" w:rsidR="005219C1" w:rsidRPr="001552C0" w:rsidRDefault="005219C1" w:rsidP="001E11D3">
            <w:pPr>
              <w:rPr>
                <w:b/>
                <w:iCs/>
              </w:rPr>
            </w:pPr>
            <w:r w:rsidRPr="001552C0">
              <w:rPr>
                <w:iCs/>
              </w:rPr>
              <w:t xml:space="preserve"> 4. Promovarea adap</w:t>
            </w:r>
            <w:r w:rsidR="001E11D3" w:rsidRPr="001552C0">
              <w:rPr>
                <w:iCs/>
              </w:rPr>
              <w:t>tării la schimbările climatice</w:t>
            </w:r>
            <w:r w:rsidRPr="001552C0">
              <w:rPr>
                <w:iCs/>
              </w:rPr>
              <w:t xml:space="preserve"> şi</w:t>
            </w:r>
            <w:r w:rsidR="001E11D3" w:rsidRPr="001552C0">
              <w:rPr>
                <w:iCs/>
              </w:rPr>
              <w:t xml:space="preserve"> managementul</w:t>
            </w:r>
            <w:r w:rsidRPr="001552C0">
              <w:rPr>
                <w:iCs/>
              </w:rPr>
              <w:t xml:space="preserve"> riscurilor</w:t>
            </w:r>
          </w:p>
        </w:tc>
        <w:tc>
          <w:tcPr>
            <w:tcW w:w="1384" w:type="dxa"/>
            <w:tcBorders>
              <w:top w:val="single" w:sz="4" w:space="0" w:color="auto"/>
              <w:left w:val="single" w:sz="4" w:space="0" w:color="auto"/>
              <w:bottom w:val="single" w:sz="4" w:space="0" w:color="auto"/>
              <w:right w:val="single" w:sz="4" w:space="0" w:color="auto"/>
            </w:tcBorders>
          </w:tcPr>
          <w:p w14:paraId="092C7F27" w14:textId="5A9DB8F7" w:rsidR="005219C1" w:rsidRPr="001552C0" w:rsidRDefault="005219C1" w:rsidP="00031C04">
            <w:pPr>
              <w:rPr>
                <w:b/>
                <w:iCs/>
              </w:rPr>
            </w:pPr>
            <w:r w:rsidRPr="001552C0">
              <w:rPr>
                <w:iCs/>
              </w:rPr>
              <w:t>FEDR</w:t>
            </w:r>
          </w:p>
        </w:tc>
        <w:tc>
          <w:tcPr>
            <w:tcW w:w="3221" w:type="dxa"/>
            <w:tcBorders>
              <w:top w:val="single" w:sz="4" w:space="0" w:color="auto"/>
              <w:left w:val="single" w:sz="4" w:space="0" w:color="auto"/>
              <w:bottom w:val="single" w:sz="4" w:space="0" w:color="auto"/>
              <w:right w:val="single" w:sz="4" w:space="0" w:color="auto"/>
            </w:tcBorders>
          </w:tcPr>
          <w:p w14:paraId="6FCDCE12" w14:textId="77777777" w:rsidR="005219C1" w:rsidRPr="001552C0" w:rsidRDefault="005219C1" w:rsidP="001913E5">
            <w:pPr>
              <w:rPr>
                <w:iCs/>
              </w:rPr>
            </w:pPr>
            <w:r w:rsidRPr="001552C0">
              <w:rPr>
                <w:iCs/>
              </w:rPr>
              <w:t>Mai dezvoltată</w:t>
            </w:r>
          </w:p>
          <w:p w14:paraId="0B16A1FC" w14:textId="4567696C" w:rsidR="005219C1" w:rsidRPr="001552C0" w:rsidRDefault="005219C1" w:rsidP="00031C04">
            <w:pPr>
              <w:rPr>
                <w:iCs/>
              </w:rPr>
            </w:pPr>
            <w:r w:rsidRPr="001552C0">
              <w:rPr>
                <w:iCs/>
              </w:rPr>
              <w:t>Mai puțin dezvoltată</w:t>
            </w:r>
          </w:p>
        </w:tc>
        <w:tc>
          <w:tcPr>
            <w:tcW w:w="1842" w:type="dxa"/>
            <w:tcBorders>
              <w:top w:val="single" w:sz="4" w:space="0" w:color="auto"/>
              <w:left w:val="single" w:sz="4" w:space="0" w:color="auto"/>
              <w:bottom w:val="single" w:sz="4" w:space="0" w:color="auto"/>
              <w:right w:val="single" w:sz="4" w:space="0" w:color="auto"/>
            </w:tcBorders>
          </w:tcPr>
          <w:p w14:paraId="7E50F777" w14:textId="2B4428D4" w:rsidR="005219C1" w:rsidRPr="001552C0" w:rsidRDefault="005219C1" w:rsidP="00031C04">
            <w:pPr>
              <w:rPr>
                <w:iCs/>
              </w:rPr>
            </w:pPr>
            <w:r w:rsidRPr="001552C0">
              <w:rPr>
                <w:iCs/>
              </w:rPr>
              <w:t>01 Granturi</w:t>
            </w:r>
          </w:p>
        </w:tc>
        <w:tc>
          <w:tcPr>
            <w:tcW w:w="1843" w:type="dxa"/>
            <w:tcBorders>
              <w:top w:val="single" w:sz="4" w:space="0" w:color="auto"/>
              <w:left w:val="single" w:sz="4" w:space="0" w:color="auto"/>
              <w:bottom w:val="single" w:sz="4" w:space="0" w:color="auto"/>
              <w:right w:val="single" w:sz="4" w:space="0" w:color="auto"/>
            </w:tcBorders>
          </w:tcPr>
          <w:p w14:paraId="033295E8" w14:textId="37E618FE" w:rsidR="005219C1" w:rsidRPr="001552C0" w:rsidRDefault="005219C1" w:rsidP="00E36001">
            <w:pPr>
              <w:rPr>
                <w:b/>
                <w:iCs/>
              </w:rPr>
            </w:pPr>
            <w:r w:rsidRPr="001552C0">
              <w:rPr>
                <w:b/>
                <w:iCs/>
              </w:rPr>
              <w:t>3</w:t>
            </w:r>
            <w:r w:rsidR="00E36001" w:rsidRPr="001552C0">
              <w:rPr>
                <w:b/>
                <w:iCs/>
              </w:rPr>
              <w:t>9</w:t>
            </w:r>
            <w:r w:rsidRPr="001552C0">
              <w:rPr>
                <w:b/>
                <w:iCs/>
              </w:rPr>
              <w:t>0.000.000</w:t>
            </w:r>
          </w:p>
        </w:tc>
      </w:tr>
    </w:tbl>
    <w:p w14:paraId="0D0F190D" w14:textId="77777777" w:rsidR="007A5E59" w:rsidRPr="001552C0" w:rsidRDefault="007A5E59" w:rsidP="007A5E59">
      <w:pPr>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384"/>
        <w:gridCol w:w="1433"/>
        <w:gridCol w:w="1053"/>
        <w:gridCol w:w="591"/>
        <w:gridCol w:w="1053"/>
        <w:gridCol w:w="531"/>
      </w:tblGrid>
      <w:tr w:rsidR="00B96B06" w:rsidRPr="001552C0" w14:paraId="2968C48E" w14:textId="77777777" w:rsidTr="00031C04">
        <w:tc>
          <w:tcPr>
            <w:tcW w:w="7644" w:type="dxa"/>
            <w:gridSpan w:val="7"/>
            <w:tcBorders>
              <w:top w:val="single" w:sz="4" w:space="0" w:color="auto"/>
              <w:left w:val="single" w:sz="4" w:space="0" w:color="auto"/>
              <w:bottom w:val="single" w:sz="4" w:space="0" w:color="auto"/>
              <w:right w:val="single" w:sz="4" w:space="0" w:color="auto"/>
            </w:tcBorders>
            <w:hideMark/>
          </w:tcPr>
          <w:p w14:paraId="1740BB93" w14:textId="77777777" w:rsidR="007A5E59" w:rsidRPr="001552C0" w:rsidRDefault="007A5E59" w:rsidP="00031C04">
            <w:pPr>
              <w:rPr>
                <w:b/>
                <w:iCs/>
              </w:rPr>
            </w:pPr>
            <w:r w:rsidRPr="001552C0">
              <w:rPr>
                <w:b/>
                <w:iCs/>
              </w:rPr>
              <w:t>Table 6: Dimension 3 – territorial delivery mechanism and territorial focus</w:t>
            </w:r>
          </w:p>
        </w:tc>
      </w:tr>
      <w:tr w:rsidR="00B96B06" w:rsidRPr="001552C0" w14:paraId="77D2A634" w14:textId="77777777" w:rsidTr="00031C04">
        <w:tc>
          <w:tcPr>
            <w:tcW w:w="1599" w:type="dxa"/>
            <w:tcBorders>
              <w:top w:val="single" w:sz="4" w:space="0" w:color="auto"/>
              <w:left w:val="single" w:sz="4" w:space="0" w:color="auto"/>
              <w:bottom w:val="single" w:sz="4" w:space="0" w:color="auto"/>
              <w:right w:val="single" w:sz="4" w:space="0" w:color="auto"/>
            </w:tcBorders>
            <w:hideMark/>
          </w:tcPr>
          <w:p w14:paraId="3349405F" w14:textId="77777777" w:rsidR="007A5E59" w:rsidRPr="001552C0" w:rsidRDefault="007A5E59" w:rsidP="00031C04">
            <w:pPr>
              <w:rPr>
                <w:b/>
                <w:iCs/>
              </w:rPr>
            </w:pPr>
            <w:r w:rsidRPr="001552C0">
              <w:rPr>
                <w:b/>
                <w:iCs/>
              </w:rPr>
              <w:t>Priority No</w:t>
            </w:r>
          </w:p>
        </w:tc>
        <w:tc>
          <w:tcPr>
            <w:tcW w:w="1384" w:type="dxa"/>
            <w:tcBorders>
              <w:top w:val="single" w:sz="4" w:space="0" w:color="auto"/>
              <w:left w:val="single" w:sz="4" w:space="0" w:color="auto"/>
              <w:bottom w:val="single" w:sz="4" w:space="0" w:color="auto"/>
              <w:right w:val="single" w:sz="4" w:space="0" w:color="auto"/>
            </w:tcBorders>
            <w:hideMark/>
          </w:tcPr>
          <w:p w14:paraId="1C374C9D" w14:textId="77777777" w:rsidR="007A5E59" w:rsidRPr="001552C0" w:rsidRDefault="007A5E59" w:rsidP="00031C04">
            <w:pPr>
              <w:rPr>
                <w:b/>
                <w:iCs/>
              </w:rPr>
            </w:pPr>
            <w:r w:rsidRPr="001552C0">
              <w:rPr>
                <w:b/>
                <w:iCs/>
              </w:rPr>
              <w:t>Fund</w:t>
            </w:r>
          </w:p>
        </w:tc>
        <w:tc>
          <w:tcPr>
            <w:tcW w:w="1433" w:type="dxa"/>
            <w:tcBorders>
              <w:top w:val="single" w:sz="4" w:space="0" w:color="auto"/>
              <w:left w:val="single" w:sz="4" w:space="0" w:color="auto"/>
              <w:bottom w:val="single" w:sz="4" w:space="0" w:color="auto"/>
              <w:right w:val="single" w:sz="4" w:space="0" w:color="auto"/>
            </w:tcBorders>
            <w:hideMark/>
          </w:tcPr>
          <w:p w14:paraId="1082DD2F" w14:textId="77777777" w:rsidR="007A5E59" w:rsidRPr="001552C0" w:rsidRDefault="007A5E59" w:rsidP="00031C04">
            <w:pPr>
              <w:rPr>
                <w:b/>
                <w:iCs/>
              </w:rPr>
            </w:pPr>
            <w:r w:rsidRPr="001552C0">
              <w:rPr>
                <w:b/>
                <w:iCs/>
              </w:rPr>
              <w:t>Category of region</w:t>
            </w:r>
            <w:r w:rsidRPr="001552C0">
              <w:rPr>
                <w:b/>
                <w:iCs/>
                <w:vertAlign w:val="superscript"/>
              </w:rPr>
              <w:footnoteReference w:id="18"/>
            </w:r>
          </w:p>
        </w:tc>
        <w:tc>
          <w:tcPr>
            <w:tcW w:w="1053" w:type="dxa"/>
            <w:tcBorders>
              <w:top w:val="single" w:sz="4" w:space="0" w:color="auto"/>
              <w:left w:val="single" w:sz="4" w:space="0" w:color="auto"/>
              <w:bottom w:val="single" w:sz="4" w:space="0" w:color="auto"/>
              <w:right w:val="single" w:sz="4" w:space="0" w:color="auto"/>
            </w:tcBorders>
            <w:hideMark/>
          </w:tcPr>
          <w:p w14:paraId="076C05C1" w14:textId="77777777" w:rsidR="007A5E59" w:rsidRPr="001552C0" w:rsidRDefault="007A5E59" w:rsidP="00031C04">
            <w:pPr>
              <w:rPr>
                <w:b/>
                <w:iCs/>
              </w:rPr>
            </w:pPr>
            <w:r w:rsidRPr="001552C0">
              <w:rPr>
                <w:b/>
                <w:iCs/>
              </w:rPr>
              <w:t xml:space="preserve">Code </w:t>
            </w:r>
          </w:p>
        </w:tc>
        <w:tc>
          <w:tcPr>
            <w:tcW w:w="2175" w:type="dxa"/>
            <w:gridSpan w:val="3"/>
            <w:tcBorders>
              <w:top w:val="single" w:sz="4" w:space="0" w:color="auto"/>
              <w:left w:val="single" w:sz="4" w:space="0" w:color="auto"/>
              <w:bottom w:val="single" w:sz="4" w:space="0" w:color="auto"/>
              <w:right w:val="single" w:sz="4" w:space="0" w:color="auto"/>
            </w:tcBorders>
            <w:hideMark/>
          </w:tcPr>
          <w:p w14:paraId="562580FF" w14:textId="77777777" w:rsidR="007A5E59" w:rsidRPr="001552C0" w:rsidRDefault="007A5E59" w:rsidP="00031C04">
            <w:pPr>
              <w:rPr>
                <w:b/>
                <w:iCs/>
              </w:rPr>
            </w:pPr>
            <w:r w:rsidRPr="001552C0">
              <w:rPr>
                <w:b/>
                <w:iCs/>
              </w:rPr>
              <w:t>Amount (EUR)</w:t>
            </w:r>
          </w:p>
        </w:tc>
      </w:tr>
      <w:tr w:rsidR="00B96B06" w:rsidRPr="001552C0" w14:paraId="7E263184" w14:textId="77777777" w:rsidTr="00031C04">
        <w:tc>
          <w:tcPr>
            <w:tcW w:w="1599" w:type="dxa"/>
            <w:tcBorders>
              <w:top w:val="single" w:sz="4" w:space="0" w:color="auto"/>
              <w:left w:val="single" w:sz="4" w:space="0" w:color="auto"/>
              <w:bottom w:val="single" w:sz="4" w:space="0" w:color="auto"/>
              <w:right w:val="single" w:sz="4" w:space="0" w:color="auto"/>
            </w:tcBorders>
          </w:tcPr>
          <w:p w14:paraId="673F047C" w14:textId="77777777" w:rsidR="007A5E59" w:rsidRPr="001552C0" w:rsidRDefault="007A5E59" w:rsidP="00031C04">
            <w:pPr>
              <w:rPr>
                <w:b/>
                <w:iCs/>
              </w:rPr>
            </w:pPr>
          </w:p>
        </w:tc>
        <w:tc>
          <w:tcPr>
            <w:tcW w:w="1384" w:type="dxa"/>
            <w:tcBorders>
              <w:top w:val="single" w:sz="4" w:space="0" w:color="auto"/>
              <w:left w:val="single" w:sz="4" w:space="0" w:color="auto"/>
              <w:bottom w:val="single" w:sz="4" w:space="0" w:color="auto"/>
              <w:right w:val="single" w:sz="4" w:space="0" w:color="auto"/>
            </w:tcBorders>
          </w:tcPr>
          <w:p w14:paraId="779C02F4" w14:textId="77777777" w:rsidR="007A5E59" w:rsidRPr="001552C0" w:rsidRDefault="007A5E59" w:rsidP="00031C04">
            <w:pPr>
              <w:rPr>
                <w:b/>
                <w:iCs/>
              </w:rPr>
            </w:pPr>
          </w:p>
        </w:tc>
        <w:tc>
          <w:tcPr>
            <w:tcW w:w="1433" w:type="dxa"/>
            <w:tcBorders>
              <w:top w:val="single" w:sz="4" w:space="0" w:color="auto"/>
              <w:left w:val="single" w:sz="4" w:space="0" w:color="auto"/>
              <w:bottom w:val="single" w:sz="4" w:space="0" w:color="auto"/>
              <w:right w:val="single" w:sz="4" w:space="0" w:color="auto"/>
            </w:tcBorders>
          </w:tcPr>
          <w:p w14:paraId="372A38C9" w14:textId="77777777" w:rsidR="007A5E59" w:rsidRPr="001552C0" w:rsidRDefault="007A5E59" w:rsidP="00031C04">
            <w:pPr>
              <w:rPr>
                <w:b/>
                <w:iCs/>
              </w:rPr>
            </w:pPr>
          </w:p>
        </w:tc>
        <w:tc>
          <w:tcPr>
            <w:tcW w:w="1644" w:type="dxa"/>
            <w:gridSpan w:val="2"/>
            <w:tcBorders>
              <w:top w:val="single" w:sz="4" w:space="0" w:color="auto"/>
              <w:left w:val="single" w:sz="4" w:space="0" w:color="auto"/>
              <w:bottom w:val="single" w:sz="4" w:space="0" w:color="auto"/>
              <w:right w:val="single" w:sz="4" w:space="0" w:color="auto"/>
            </w:tcBorders>
          </w:tcPr>
          <w:p w14:paraId="69D15175" w14:textId="77777777" w:rsidR="007A5E59" w:rsidRPr="001552C0" w:rsidRDefault="007A5E59" w:rsidP="00031C04">
            <w:pPr>
              <w:rPr>
                <w:b/>
                <w:iCs/>
              </w:rPr>
            </w:pPr>
          </w:p>
        </w:tc>
        <w:tc>
          <w:tcPr>
            <w:tcW w:w="1053" w:type="dxa"/>
            <w:tcBorders>
              <w:top w:val="single" w:sz="4" w:space="0" w:color="auto"/>
              <w:left w:val="single" w:sz="4" w:space="0" w:color="auto"/>
              <w:bottom w:val="single" w:sz="4" w:space="0" w:color="auto"/>
              <w:right w:val="single" w:sz="4" w:space="0" w:color="auto"/>
            </w:tcBorders>
          </w:tcPr>
          <w:p w14:paraId="1E2ED890" w14:textId="77777777" w:rsidR="007A5E59" w:rsidRPr="001552C0" w:rsidRDefault="007A5E59" w:rsidP="00031C04">
            <w:pPr>
              <w:rPr>
                <w:b/>
                <w:iCs/>
              </w:rPr>
            </w:pPr>
          </w:p>
        </w:tc>
        <w:tc>
          <w:tcPr>
            <w:tcW w:w="531" w:type="dxa"/>
            <w:tcBorders>
              <w:top w:val="single" w:sz="4" w:space="0" w:color="auto"/>
              <w:left w:val="single" w:sz="4" w:space="0" w:color="auto"/>
              <w:bottom w:val="single" w:sz="4" w:space="0" w:color="auto"/>
              <w:right w:val="single" w:sz="4" w:space="0" w:color="auto"/>
            </w:tcBorders>
          </w:tcPr>
          <w:p w14:paraId="0636C4BD" w14:textId="77777777" w:rsidR="007A5E59" w:rsidRPr="001552C0" w:rsidRDefault="007A5E59" w:rsidP="00031C04">
            <w:pPr>
              <w:rPr>
                <w:b/>
                <w:iCs/>
              </w:rPr>
            </w:pPr>
          </w:p>
        </w:tc>
      </w:tr>
    </w:tbl>
    <w:p w14:paraId="429D5E75" w14:textId="38ED86DA" w:rsidR="007A5E59" w:rsidRPr="001552C0" w:rsidRDefault="007A5E59" w:rsidP="007A5E59">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2.A.2 Specific objective</w:t>
      </w:r>
      <w:r w:rsidRPr="001552C0">
        <w:rPr>
          <w:rFonts w:ascii="Times New Roman" w:eastAsia="Times New Roman" w:hAnsi="Times New Roman" w:cs="Times New Roman"/>
          <w:b/>
          <w:bCs/>
          <w:iCs/>
          <w:noProof/>
          <w:sz w:val="24"/>
          <w:szCs w:val="24"/>
          <w:vertAlign w:val="superscript"/>
        </w:rPr>
        <w:footnoteReference w:id="19"/>
      </w:r>
      <w:r w:rsidRPr="001552C0">
        <w:rPr>
          <w:rFonts w:ascii="Times New Roman" w:eastAsia="Times New Roman" w:hAnsi="Times New Roman" w:cs="Times New Roman"/>
          <w:b/>
          <w:iCs/>
          <w:noProof/>
          <w:sz w:val="24"/>
          <w:szCs w:val="24"/>
        </w:rPr>
        <w:t xml:space="preserve">   </w:t>
      </w:r>
      <w:r w:rsidR="004B1402" w:rsidRPr="001552C0">
        <w:rPr>
          <w:rFonts w:ascii="Times New Roman" w:eastAsia="Times New Roman" w:hAnsi="Times New Roman" w:cs="Times New Roman"/>
          <w:b/>
          <w:iCs/>
          <w:noProof/>
          <w:sz w:val="24"/>
          <w:szCs w:val="24"/>
        </w:rPr>
        <w:t xml:space="preserve">  </w:t>
      </w:r>
      <w:r w:rsidRPr="001552C0">
        <w:rPr>
          <w:rFonts w:ascii="Times New Roman" w:eastAsia="Times New Roman" w:hAnsi="Times New Roman" w:cs="Times New Roman"/>
          <w:b/>
          <w:iCs/>
          <w:noProof/>
          <w:sz w:val="24"/>
          <w:szCs w:val="24"/>
        </w:rPr>
        <w:t>repeated for each selected specific objective for priorities other than technical assistance</w:t>
      </w:r>
    </w:p>
    <w:p w14:paraId="1EBA9A2E" w14:textId="77777777" w:rsidR="00A7273C" w:rsidRPr="001552C0" w:rsidRDefault="00A7273C" w:rsidP="00A7273C">
      <w:pPr>
        <w:spacing w:before="120" w:after="120" w:line="360" w:lineRule="auto"/>
        <w:jc w:val="both"/>
        <w:rPr>
          <w:rFonts w:ascii="Times New Roman" w:eastAsia="Times New Roman" w:hAnsi="Times New Roman" w:cs="Times New Roman"/>
          <w:b/>
          <w:i/>
          <w:noProof/>
        </w:rPr>
      </w:pPr>
      <w:r w:rsidRPr="001552C0">
        <w:rPr>
          <w:rFonts w:ascii="Times New Roman" w:eastAsia="Times New Roman" w:hAnsi="Times New Roman" w:cs="Times New Roman"/>
          <w:b/>
          <w:i/>
          <w:noProof/>
        </w:rPr>
        <w:lastRenderedPageBreak/>
        <w:t>Obiectiv specific FEDR/FC (iv) Promovarea adaptării la schimbările climatice, a preveni</w:t>
      </w:r>
    </w:p>
    <w:p w14:paraId="77B98CBB" w14:textId="77777777" w:rsidR="00A7273C" w:rsidRPr="001552C0" w:rsidRDefault="00A7273C" w:rsidP="00A7273C">
      <w:pPr>
        <w:spacing w:before="120" w:after="120" w:line="360" w:lineRule="auto"/>
        <w:jc w:val="both"/>
        <w:rPr>
          <w:rFonts w:ascii="Times New Roman" w:eastAsia="Times New Roman" w:hAnsi="Times New Roman" w:cs="Times New Roman"/>
          <w:b/>
          <w:i/>
          <w:noProof/>
        </w:rPr>
      </w:pPr>
      <w:r w:rsidRPr="001552C0">
        <w:rPr>
          <w:rFonts w:ascii="Times New Roman" w:eastAsia="Times New Roman" w:hAnsi="Times New Roman" w:cs="Times New Roman"/>
          <w:b/>
          <w:i/>
          <w:noProof/>
        </w:rPr>
        <w:t>ii riscurilor și a rezilienței în urma dezastrelor</w:t>
      </w:r>
    </w:p>
    <w:p w14:paraId="69CAEA5B" w14:textId="77777777" w:rsidR="00990057" w:rsidRPr="001552C0" w:rsidRDefault="00990057" w:rsidP="00990057">
      <w:pPr>
        <w:spacing w:before="240" w:after="240" w:line="36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t>2.A.3.1 Interventions of the Funds</w:t>
      </w:r>
    </w:p>
    <w:p w14:paraId="288D9D78" w14:textId="77777777" w:rsidR="00990057" w:rsidRPr="001552C0" w:rsidRDefault="00990057" w:rsidP="00990057">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Reference: Article 17(3)(d)(i),(iii),(iv),(v),(vi);</w:t>
      </w:r>
    </w:p>
    <w:p w14:paraId="5BDEDA76" w14:textId="77777777" w:rsidR="00990057" w:rsidRPr="001552C0" w:rsidRDefault="00990057" w:rsidP="00990057">
      <w:pPr>
        <w:bidi/>
        <w:spacing w:before="120" w:after="120" w:line="360" w:lineRule="auto"/>
        <w:jc w:val="right"/>
        <w:rPr>
          <w:rFonts w:ascii="Times New Roman" w:eastAsia="Times New Roman" w:hAnsi="Times New Roman" w:cs="Times New Roman"/>
          <w:b/>
          <w:bCs/>
          <w:i/>
          <w:iCs/>
          <w:noProof/>
          <w:sz w:val="24"/>
          <w:szCs w:val="24"/>
        </w:rPr>
      </w:pPr>
      <w:r w:rsidRPr="001552C0">
        <w:rPr>
          <w:rFonts w:ascii="Times New Roman" w:eastAsia="Times New Roman" w:hAnsi="Times New Roman" w:cs="Times New Roman"/>
          <w:i/>
          <w:noProof/>
          <w:sz w:val="24"/>
          <w:szCs w:val="24"/>
        </w:rPr>
        <w:t>The related types of actions – Article 17(3)(d)(i) CPR; Article 6(2) ESF+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96B06" w:rsidRPr="001552C0" w14:paraId="147ADDAE" w14:textId="77777777" w:rsidTr="001D27CD">
        <w:tc>
          <w:tcPr>
            <w:tcW w:w="9288" w:type="dxa"/>
            <w:tcBorders>
              <w:top w:val="single" w:sz="4" w:space="0" w:color="auto"/>
              <w:left w:val="single" w:sz="4" w:space="0" w:color="auto"/>
              <w:bottom w:val="single" w:sz="4" w:space="0" w:color="auto"/>
              <w:right w:val="single" w:sz="4" w:space="0" w:color="auto"/>
            </w:tcBorders>
            <w:hideMark/>
          </w:tcPr>
          <w:p w14:paraId="0F6FC0DB" w14:textId="34D9EDB0" w:rsidR="00990057" w:rsidRPr="001552C0" w:rsidRDefault="00990057" w:rsidP="00990057">
            <w:pPr>
              <w:spacing w:before="120" w:after="120" w:line="360" w:lineRule="auto"/>
              <w:rPr>
                <w:rFonts w:ascii="Times New Roman" w:eastAsia="Times New Roman" w:hAnsi="Times New Roman" w:cs="Times New Roman"/>
                <w:i/>
                <w:iCs/>
                <w:noProof/>
                <w:szCs w:val="24"/>
              </w:rPr>
            </w:pPr>
            <w:r w:rsidRPr="001552C0">
              <w:rPr>
                <w:rFonts w:ascii="Times New Roman" w:eastAsia="Times New Roman" w:hAnsi="Times New Roman" w:cs="Times New Roman"/>
                <w:i/>
                <w:iCs/>
                <w:noProof/>
                <w:szCs w:val="24"/>
              </w:rPr>
              <w:t>Text field [8 000]</w:t>
            </w:r>
          </w:p>
          <w:p w14:paraId="5FBD2CD7" w14:textId="2BB58855" w:rsidR="000907D5" w:rsidRPr="001552C0" w:rsidRDefault="000907D5"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Conform Raportului de ţară realizat de </w:t>
            </w:r>
            <w:r w:rsidR="004F69CA" w:rsidRPr="001552C0">
              <w:rPr>
                <w:rFonts w:eastAsia="Times New Roman" w:cstheme="minorHAnsi"/>
                <w:noProof/>
                <w:sz w:val="24"/>
                <w:szCs w:val="24"/>
              </w:rPr>
              <w:t>Comisia E</w:t>
            </w:r>
            <w:r w:rsidRPr="001552C0">
              <w:rPr>
                <w:rFonts w:eastAsia="Times New Roman" w:cstheme="minorHAnsi"/>
                <w:noProof/>
                <w:sz w:val="24"/>
                <w:szCs w:val="24"/>
              </w:rPr>
              <w:t>urope</w:t>
            </w:r>
            <w:r w:rsidR="004F69CA" w:rsidRPr="001552C0">
              <w:rPr>
                <w:rFonts w:eastAsia="Times New Roman" w:cstheme="minorHAnsi"/>
                <w:noProof/>
                <w:sz w:val="24"/>
                <w:szCs w:val="24"/>
              </w:rPr>
              <w:t>a</w:t>
            </w:r>
            <w:r w:rsidRPr="001552C0">
              <w:rPr>
                <w:rFonts w:eastAsia="Times New Roman" w:cstheme="minorHAnsi"/>
                <w:noProof/>
                <w:sz w:val="24"/>
                <w:szCs w:val="24"/>
              </w:rPr>
              <w:t>n</w:t>
            </w:r>
            <w:r w:rsidR="004F69CA" w:rsidRPr="001552C0">
              <w:rPr>
                <w:rFonts w:eastAsia="Times New Roman" w:cstheme="minorHAnsi"/>
                <w:noProof/>
                <w:sz w:val="24"/>
                <w:szCs w:val="24"/>
              </w:rPr>
              <w:t>a</w:t>
            </w:r>
            <w:r w:rsidRPr="001552C0">
              <w:rPr>
                <w:rFonts w:eastAsia="Times New Roman" w:cstheme="minorHAnsi"/>
                <w:noProof/>
                <w:sz w:val="24"/>
                <w:szCs w:val="24"/>
              </w:rPr>
              <w:t xml:space="preserve"> “Evaluarea din 2019 a punerii în aplicare a politicilor de mediu ale UE -</w:t>
            </w:r>
            <w:r w:rsidR="004F69CA" w:rsidRPr="001552C0">
              <w:rPr>
                <w:rFonts w:eastAsia="Times New Roman" w:cstheme="minorHAnsi"/>
                <w:noProof/>
                <w:sz w:val="24"/>
                <w:szCs w:val="24"/>
              </w:rPr>
              <w:t xml:space="preserve"> Raport de țară - România”,</w:t>
            </w:r>
            <w:r w:rsidRPr="001552C0">
              <w:rPr>
                <w:rFonts w:eastAsia="Times New Roman" w:cstheme="minorHAnsi"/>
                <w:noProof/>
                <w:sz w:val="24"/>
                <w:szCs w:val="24"/>
              </w:rPr>
              <w:t xml:space="preserve"> România înregistrează întârzieri în ceea ce privește măsurile de adaptare la schimbările climatice, prevenirea inundațiilor și a altor pericole naturale. </w:t>
            </w:r>
            <w:r w:rsidR="008A6366">
              <w:rPr>
                <w:rFonts w:eastAsia="Times New Roman" w:cstheme="minorHAnsi"/>
                <w:noProof/>
                <w:sz w:val="24"/>
                <w:szCs w:val="24"/>
              </w:rPr>
              <w:t>Î</w:t>
            </w:r>
            <w:r w:rsidR="004F69CA" w:rsidRPr="001552C0">
              <w:rPr>
                <w:rFonts w:eastAsia="Times New Roman" w:cstheme="minorHAnsi"/>
                <w:noProof/>
                <w:sz w:val="24"/>
                <w:szCs w:val="24"/>
              </w:rPr>
              <w:t xml:space="preserve">n </w:t>
            </w:r>
            <w:r w:rsidR="008A6366">
              <w:rPr>
                <w:rFonts w:eastAsia="Times New Roman" w:cstheme="minorHAnsi"/>
                <w:noProof/>
                <w:sz w:val="24"/>
                <w:szCs w:val="24"/>
              </w:rPr>
              <w:t>R</w:t>
            </w:r>
            <w:r w:rsidR="004F69CA" w:rsidRPr="001552C0">
              <w:rPr>
                <w:rFonts w:eastAsia="Times New Roman" w:cstheme="minorHAnsi"/>
                <w:noProof/>
                <w:sz w:val="24"/>
                <w:szCs w:val="24"/>
              </w:rPr>
              <w:t>aport s</w:t>
            </w:r>
            <w:r w:rsidRPr="001552C0">
              <w:rPr>
                <w:rFonts w:eastAsia="Times New Roman" w:cstheme="minorHAnsi"/>
                <w:noProof/>
                <w:sz w:val="24"/>
                <w:szCs w:val="24"/>
              </w:rPr>
              <w:t xml:space="preserve">-au identificat </w:t>
            </w:r>
            <w:r w:rsidR="004F69CA" w:rsidRPr="001552C0">
              <w:rPr>
                <w:rFonts w:eastAsia="Times New Roman" w:cstheme="minorHAnsi"/>
                <w:noProof/>
                <w:sz w:val="24"/>
                <w:szCs w:val="24"/>
              </w:rPr>
              <w:t>ca fiind prioritare i</w:t>
            </w:r>
            <w:r w:rsidRPr="001552C0">
              <w:rPr>
                <w:rFonts w:eastAsia="Times New Roman" w:cstheme="minorHAnsi"/>
                <w:noProof/>
                <w:sz w:val="24"/>
                <w:szCs w:val="24"/>
              </w:rPr>
              <w:t>nvestiții</w:t>
            </w:r>
            <w:r w:rsidR="004F69CA" w:rsidRPr="001552C0">
              <w:rPr>
                <w:rFonts w:eastAsia="Times New Roman" w:cstheme="minorHAnsi"/>
                <w:noProof/>
                <w:sz w:val="24"/>
                <w:szCs w:val="24"/>
              </w:rPr>
              <w:t>le</w:t>
            </w:r>
            <w:r w:rsidRPr="001552C0">
              <w:rPr>
                <w:rFonts w:eastAsia="Times New Roman" w:cstheme="minorHAnsi"/>
                <w:noProof/>
                <w:sz w:val="24"/>
                <w:szCs w:val="24"/>
              </w:rPr>
              <w:t xml:space="preserve"> pentru a promova adaptarea la schimbările climatice, prevenirea riscurilor și reziliența în fața dezastrelor și, în special, pentru a pune în aplicare strategii de prevenire a riscurilor și a aborda riscurile legate de schimbările climatice și riscurile naturale (inundații, secetă, incendii forestiere, alunecări de teren, cutremure), conform priorităților stabilite la nivel național și în cadrul coordonării și cooperării transfrontaliere și transnaționale.</w:t>
            </w:r>
          </w:p>
          <w:p w14:paraId="19073397" w14:textId="2780931B" w:rsidR="0000488D" w:rsidRPr="001552C0" w:rsidRDefault="0000488D"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Intregul proces de </w:t>
            </w:r>
            <w:r w:rsidRPr="001552C0">
              <w:rPr>
                <w:rFonts w:eastAsia="Times New Roman" w:cstheme="minorHAnsi"/>
                <w:b/>
                <w:noProof/>
                <w:sz w:val="24"/>
                <w:szCs w:val="24"/>
              </w:rPr>
              <w:t>evaluare a riscurilor la nivel na</w:t>
            </w:r>
            <w:r w:rsidR="00457765" w:rsidRPr="001552C0">
              <w:rPr>
                <w:rFonts w:eastAsia="Times New Roman" w:cstheme="minorHAnsi"/>
                <w:b/>
                <w:noProof/>
                <w:sz w:val="24"/>
                <w:szCs w:val="24"/>
              </w:rPr>
              <w:t>ț</w:t>
            </w:r>
            <w:r w:rsidRPr="001552C0">
              <w:rPr>
                <w:rFonts w:eastAsia="Times New Roman" w:cstheme="minorHAnsi"/>
                <w:b/>
                <w:noProof/>
                <w:sz w:val="24"/>
                <w:szCs w:val="24"/>
              </w:rPr>
              <w:t>ional</w:t>
            </w:r>
            <w:r w:rsidRPr="001552C0">
              <w:rPr>
                <w:rFonts w:eastAsia="Times New Roman" w:cstheme="minorHAnsi"/>
                <w:noProof/>
                <w:sz w:val="24"/>
                <w:szCs w:val="24"/>
              </w:rPr>
              <w:t xml:space="preserve"> a fost derulat ținând cont de dispozițiile Deciziei nr 1313/2013/UE a Parlamentului European și a Consiliului, din 17 decembrie 2013, privind Mecanismul de Protecție Civilă al Uniunii Europene. De asemenea,  evaluările s-au bazat pe date istorice cu privire la impactul fiecărui risc, precum și pe diferite evaluări elaborate la nivelul instituțiilor relevante. </w:t>
            </w:r>
          </w:p>
          <w:p w14:paraId="4452F51B" w14:textId="77777777" w:rsidR="0000488D" w:rsidRPr="001552C0" w:rsidRDefault="0000488D"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Totodată, evaluările pe fiecare tip de risc s-au efectuat pe baza unei metodologii de evaluare a riscurilor la nivel național. Astfel, a fost dezvoltată o analiză aprofundată a fiecărui risc, cu ajutorul unor scenarii relevante și valorile indicatorilor de impact specifici, cum ar fi cei ce se referă la impactul fizic (impactul uman inclus), impactul economic și socio-psihologic, precum și, amploarea probabilă și criteriile de selecție pentru scenarii.</w:t>
            </w:r>
          </w:p>
          <w:p w14:paraId="3B924A94" w14:textId="2302641E" w:rsidR="004F69CA" w:rsidRPr="001552C0" w:rsidRDefault="00E85845"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Conform e</w:t>
            </w:r>
            <w:r w:rsidR="000907D5" w:rsidRPr="001552C0">
              <w:rPr>
                <w:rFonts w:eastAsia="Times New Roman" w:cstheme="minorHAnsi"/>
                <w:noProof/>
                <w:sz w:val="24"/>
                <w:szCs w:val="24"/>
              </w:rPr>
              <w:t>valuării riscului de dezastre la nivel național, inundaţiile</w:t>
            </w:r>
            <w:r w:rsidR="005617A2" w:rsidRPr="001552C0">
              <w:rPr>
                <w:rFonts w:eastAsia="Times New Roman" w:cstheme="minorHAnsi"/>
                <w:noProof/>
                <w:sz w:val="24"/>
                <w:szCs w:val="24"/>
              </w:rPr>
              <w:t xml:space="preserve"> și</w:t>
            </w:r>
            <w:r w:rsidR="000907D5" w:rsidRPr="001552C0">
              <w:rPr>
                <w:rFonts w:eastAsia="Times New Roman" w:cstheme="minorHAnsi"/>
                <w:noProof/>
                <w:sz w:val="24"/>
                <w:szCs w:val="24"/>
              </w:rPr>
              <w:t xml:space="preserve"> seceta </w:t>
            </w:r>
            <w:r w:rsidR="005617A2" w:rsidRPr="001552C0">
              <w:rPr>
                <w:rFonts w:eastAsia="Times New Roman" w:cstheme="minorHAnsi"/>
                <w:noProof/>
                <w:sz w:val="24"/>
                <w:szCs w:val="24"/>
              </w:rPr>
              <w:t xml:space="preserve">reprezintă unele dintre cele mai importante riscuri </w:t>
            </w:r>
            <w:r w:rsidR="000907D5" w:rsidRPr="001552C0">
              <w:rPr>
                <w:rFonts w:eastAsia="Times New Roman" w:cstheme="minorHAnsi"/>
                <w:noProof/>
                <w:sz w:val="24"/>
                <w:szCs w:val="24"/>
              </w:rPr>
              <w:t>din cele 10 tipuri de hazarduri selectate pe baze științifice pentru a fi supuse evaluării naționale, din lista riscurilor recunoscute de legislația românească, pe baze istorice, ca fiind probabile să aibă loc pe teritoriul României.</w:t>
            </w:r>
            <w:r w:rsidR="0000488D" w:rsidRPr="001552C0">
              <w:rPr>
                <w:rFonts w:eastAsia="Times New Roman" w:cstheme="minorHAnsi"/>
                <w:noProof/>
                <w:sz w:val="24"/>
                <w:szCs w:val="24"/>
              </w:rPr>
              <w:t xml:space="preserve"> </w:t>
            </w:r>
          </w:p>
          <w:p w14:paraId="39BF3ADA" w14:textId="1C6B5D6C" w:rsidR="00381A59" w:rsidRPr="001552C0" w:rsidRDefault="005C1BBE" w:rsidP="00106952">
            <w:pPr>
              <w:spacing w:before="120" w:after="120"/>
              <w:jc w:val="both"/>
              <w:rPr>
                <w:rFonts w:eastAsia="Times New Roman" w:cstheme="minorHAnsi"/>
                <w:b/>
                <w:noProof/>
                <w:sz w:val="24"/>
                <w:szCs w:val="24"/>
              </w:rPr>
            </w:pPr>
            <w:r>
              <w:rPr>
                <w:rFonts w:eastAsia="Times New Roman" w:cstheme="minorHAnsi"/>
                <w:b/>
                <w:noProof/>
                <w:sz w:val="24"/>
                <w:szCs w:val="24"/>
              </w:rPr>
              <w:t xml:space="preserve">Acțiunea </w:t>
            </w:r>
            <w:r w:rsidR="00381A59" w:rsidRPr="001552C0">
              <w:rPr>
                <w:rFonts w:eastAsia="Times New Roman" w:cstheme="minorHAnsi"/>
                <w:b/>
                <w:noProof/>
                <w:sz w:val="24"/>
                <w:szCs w:val="24"/>
              </w:rPr>
              <w:t xml:space="preserve">4.1 </w:t>
            </w:r>
            <w:r w:rsidR="006056C1" w:rsidRPr="001552C0">
              <w:rPr>
                <w:rFonts w:eastAsia="Times New Roman" w:cstheme="minorHAnsi"/>
                <w:b/>
                <w:noProof/>
                <w:sz w:val="24"/>
                <w:szCs w:val="24"/>
              </w:rPr>
              <w:t>Managementul i</w:t>
            </w:r>
            <w:r w:rsidR="00136B42" w:rsidRPr="001552C0">
              <w:rPr>
                <w:rFonts w:eastAsia="Times New Roman" w:cstheme="minorHAnsi"/>
                <w:b/>
                <w:noProof/>
                <w:sz w:val="24"/>
                <w:szCs w:val="24"/>
              </w:rPr>
              <w:t>undaț</w:t>
            </w:r>
            <w:r w:rsidR="00381A59" w:rsidRPr="001552C0">
              <w:rPr>
                <w:rFonts w:eastAsia="Times New Roman" w:cstheme="minorHAnsi"/>
                <w:b/>
                <w:noProof/>
                <w:sz w:val="24"/>
                <w:szCs w:val="24"/>
              </w:rPr>
              <w:t>ii</w:t>
            </w:r>
            <w:r w:rsidR="006056C1" w:rsidRPr="001552C0">
              <w:rPr>
                <w:rFonts w:eastAsia="Times New Roman" w:cstheme="minorHAnsi"/>
                <w:b/>
                <w:noProof/>
                <w:sz w:val="24"/>
                <w:szCs w:val="24"/>
              </w:rPr>
              <w:t>lor</w:t>
            </w:r>
            <w:r w:rsidR="009064EB" w:rsidRPr="001552C0">
              <w:rPr>
                <w:rFonts w:eastAsia="Times New Roman" w:cstheme="minorHAnsi"/>
                <w:b/>
                <w:noProof/>
                <w:sz w:val="24"/>
                <w:szCs w:val="24"/>
              </w:rPr>
              <w:t xml:space="preserve"> și al secetei</w:t>
            </w:r>
          </w:p>
          <w:p w14:paraId="23F3B2B0" w14:textId="2510217D" w:rsidR="008536AE" w:rsidRPr="001552C0" w:rsidRDefault="004F69CA"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Implementarea Directivei 2007/60/CE privind evaluarea și </w:t>
            </w:r>
            <w:r w:rsidRPr="001552C0">
              <w:rPr>
                <w:rFonts w:eastAsia="Times New Roman" w:cstheme="minorHAnsi"/>
                <w:b/>
                <w:noProof/>
                <w:sz w:val="24"/>
                <w:szCs w:val="24"/>
              </w:rPr>
              <w:t xml:space="preserve">managementul riscului la inundații </w:t>
            </w:r>
            <w:r w:rsidRPr="001552C0">
              <w:rPr>
                <w:rFonts w:eastAsia="Times New Roman" w:cstheme="minorHAnsi"/>
                <w:noProof/>
                <w:sz w:val="24"/>
                <w:szCs w:val="24"/>
              </w:rPr>
              <w:t xml:space="preserve">este un proces ciclic cu repretabilitate la 6 ani. </w:t>
            </w:r>
            <w:r w:rsidR="00E75BBB" w:rsidRPr="001552C0">
              <w:rPr>
                <w:rFonts w:eastAsia="Times New Roman" w:cstheme="minorHAnsi"/>
                <w:noProof/>
                <w:sz w:val="24"/>
                <w:szCs w:val="24"/>
              </w:rPr>
              <w:t xml:space="preserve"> Principalele rezultate obținute în ciclul I de implementare al Directivei Inundații 2007/60/CE sunt: inventarul inundaților istorice semnificative și lista zonelor cu risc potențial semnificativ la inundații, hărțile de </w:t>
            </w:r>
            <w:r w:rsidR="00E75BBB" w:rsidRPr="001552C0">
              <w:rPr>
                <w:rFonts w:eastAsia="Times New Roman" w:cstheme="minorHAnsi"/>
                <w:noProof/>
                <w:sz w:val="24"/>
                <w:szCs w:val="24"/>
              </w:rPr>
              <w:lastRenderedPageBreak/>
              <w:t>hazard și de risc la inundații și planurile de management al riscului la inundații, aprobate prin H.G. 972/2016.</w:t>
            </w:r>
          </w:p>
          <w:p w14:paraId="03628D39" w14:textId="784E23A8" w:rsidR="00A2779C" w:rsidRPr="001552C0" w:rsidRDefault="00E75BBB"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In ciclul II de raportare al Directivei Inundatii s-a reluat procesul de evaluare preliminară a riscului la inundatii, fiind colectate informații cu privire la inundațiile produse în România în perioada 2010 – 2016 (în ciclul I al Directivei fiind analizată perioada 1960-2010), în vederea stabilirii inundațiilor istorice semnificative. Tot în cadrul acestei etape vor fi reanalizate zonele cu risc potențial semnificativ raportate în cadrul primului ciclu și propusă eliminarea sau completarea cu anumite zone a listei raportate în anul 2012.</w:t>
            </w:r>
          </w:p>
          <w:p w14:paraId="08FC5724" w14:textId="33EE3989" w:rsidR="00C9122B" w:rsidRPr="001552C0" w:rsidRDefault="004F69CA"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Pe baza pericolelor de inundații și a hărților de risc de inundații elaborate conform Directivei privind Inundațiile, Administrația Națională "Apele Române", sub coordonarea științifică a Institutului Național de Hidrologie și Gospodărire a Apelor, a elaborat Planuri de Management a Riscului de Inundații (PMRI) pentru toate cele 11 </w:t>
            </w:r>
            <w:r w:rsidR="002C2F4C" w:rsidRPr="001552C0">
              <w:rPr>
                <w:rFonts w:eastAsia="Times New Roman" w:cstheme="minorHAnsi"/>
                <w:noProof/>
                <w:sz w:val="24"/>
                <w:szCs w:val="24"/>
              </w:rPr>
              <w:t>Administrații Bazinale de Apă (ABA</w:t>
            </w:r>
            <w:r w:rsidRPr="001552C0">
              <w:rPr>
                <w:rFonts w:eastAsia="Times New Roman" w:cstheme="minorHAnsi"/>
                <w:noProof/>
                <w:sz w:val="24"/>
                <w:szCs w:val="24"/>
              </w:rPr>
              <w:t>) și fluviul Dună</w:t>
            </w:r>
            <w:r w:rsidR="00381A59" w:rsidRPr="001552C0">
              <w:rPr>
                <w:rFonts w:eastAsia="Times New Roman" w:cstheme="minorHAnsi"/>
                <w:noProof/>
                <w:sz w:val="24"/>
                <w:szCs w:val="24"/>
              </w:rPr>
              <w:t>rea. Principalul capitol al MPRI</w:t>
            </w:r>
            <w:r w:rsidR="008C6176" w:rsidRPr="001552C0">
              <w:rPr>
                <w:rFonts w:eastAsia="Times New Roman" w:cstheme="minorHAnsi"/>
                <w:noProof/>
                <w:sz w:val="24"/>
                <w:szCs w:val="24"/>
              </w:rPr>
              <w:t xml:space="preserve"> vizeaza</w:t>
            </w:r>
            <w:r w:rsidRPr="001552C0">
              <w:rPr>
                <w:rFonts w:eastAsia="Times New Roman" w:cstheme="minorHAnsi"/>
                <w:noProof/>
                <w:sz w:val="24"/>
                <w:szCs w:val="24"/>
              </w:rPr>
              <w:t xml:space="preserve"> măsurile propuse de Administrația Bazinelor Hidrografice, care au ca scop reducerea riscului de inundații. </w:t>
            </w:r>
            <w:r w:rsidR="003D4DA8" w:rsidRPr="001552C0">
              <w:rPr>
                <w:rFonts w:eastAsia="Times New Roman" w:cstheme="minorHAnsi"/>
                <w:noProof/>
                <w:sz w:val="24"/>
                <w:szCs w:val="24"/>
              </w:rPr>
              <w:t>Conform acestor documente strategice, măsurile privind gestionarea inunda</w:t>
            </w:r>
            <w:r w:rsidR="007C7B6A" w:rsidRPr="001552C0">
              <w:rPr>
                <w:rFonts w:eastAsia="Times New Roman" w:cstheme="minorHAnsi"/>
                <w:noProof/>
                <w:sz w:val="24"/>
                <w:szCs w:val="24"/>
              </w:rPr>
              <w:t>ț</w:t>
            </w:r>
            <w:r w:rsidR="003D4DA8" w:rsidRPr="001552C0">
              <w:rPr>
                <w:rFonts w:eastAsia="Times New Roman" w:cstheme="minorHAnsi"/>
                <w:noProof/>
                <w:sz w:val="24"/>
                <w:szCs w:val="24"/>
              </w:rPr>
              <w:t xml:space="preserve">iilor vor urmări 5 domenii de acţiune, respectiv: prevenire, protecţie, pregătire, conştientizarea riscului la inundaţii, refacere/reconstrucţie. </w:t>
            </w:r>
            <w:r w:rsidR="00C9122B" w:rsidRPr="001552C0">
              <w:rPr>
                <w:rFonts w:eastAsia="Times New Roman" w:cstheme="minorHAnsi"/>
                <w:noProof/>
                <w:sz w:val="24"/>
                <w:szCs w:val="24"/>
              </w:rPr>
              <w:t>De asemenea, prin PMRI au fost evaluate costurile generate de riscul la inunda</w:t>
            </w:r>
            <w:r w:rsidR="007355F5" w:rsidRPr="001552C0">
              <w:rPr>
                <w:rFonts w:eastAsia="Times New Roman" w:cstheme="minorHAnsi"/>
                <w:noProof/>
                <w:sz w:val="24"/>
                <w:szCs w:val="24"/>
              </w:rPr>
              <w:t>ț</w:t>
            </w:r>
            <w:r w:rsidR="00C9122B" w:rsidRPr="001552C0">
              <w:rPr>
                <w:rFonts w:eastAsia="Times New Roman" w:cstheme="minorHAnsi"/>
                <w:noProof/>
                <w:sz w:val="24"/>
                <w:szCs w:val="24"/>
              </w:rPr>
              <w:t>ii, acestea ridic</w:t>
            </w:r>
            <w:r w:rsidR="007355F5" w:rsidRPr="001552C0">
              <w:rPr>
                <w:rFonts w:eastAsia="Times New Roman" w:cstheme="minorHAnsi"/>
                <w:noProof/>
                <w:sz w:val="24"/>
                <w:szCs w:val="24"/>
              </w:rPr>
              <w:t>â</w:t>
            </w:r>
            <w:r w:rsidR="00C9122B" w:rsidRPr="001552C0">
              <w:rPr>
                <w:rFonts w:eastAsia="Times New Roman" w:cstheme="minorHAnsi"/>
                <w:noProof/>
                <w:sz w:val="24"/>
                <w:szCs w:val="24"/>
              </w:rPr>
              <w:t>ndu-se la aproximativ 3,7 miliarde de euro</w:t>
            </w:r>
            <w:r w:rsidR="007355F5" w:rsidRPr="001552C0">
              <w:rPr>
                <w:rFonts w:eastAsia="Times New Roman" w:cstheme="minorHAnsi"/>
                <w:noProof/>
                <w:sz w:val="24"/>
                <w:szCs w:val="24"/>
              </w:rPr>
              <w:t>.</w:t>
            </w:r>
            <w:r w:rsidR="008C6176" w:rsidRPr="001552C0">
              <w:rPr>
                <w:rFonts w:cstheme="minorHAnsi"/>
                <w:sz w:val="24"/>
                <w:szCs w:val="24"/>
              </w:rPr>
              <w:t xml:space="preserve"> </w:t>
            </w:r>
            <w:r w:rsidR="008C6176" w:rsidRPr="001552C0">
              <w:rPr>
                <w:rFonts w:eastAsia="Times New Roman" w:cstheme="minorHAnsi"/>
                <w:noProof/>
                <w:sz w:val="24"/>
                <w:szCs w:val="24"/>
              </w:rPr>
              <w:t>PMRI</w:t>
            </w:r>
            <w:r w:rsidR="00A11C96" w:rsidRPr="001552C0">
              <w:rPr>
                <w:rFonts w:eastAsia="Times New Roman" w:cstheme="minorHAnsi"/>
                <w:noProof/>
                <w:sz w:val="24"/>
                <w:szCs w:val="24"/>
              </w:rPr>
              <w:t xml:space="preserve"> elaborate în primul ciclu de implemntare a directivei inundații</w:t>
            </w:r>
            <w:r w:rsidR="008C6176" w:rsidRPr="001552C0">
              <w:rPr>
                <w:rFonts w:eastAsia="Times New Roman" w:cstheme="minorHAnsi"/>
                <w:noProof/>
                <w:sz w:val="24"/>
                <w:szCs w:val="24"/>
              </w:rPr>
              <w:t xml:space="preserve"> sunt valabile până la sfârșitul anului </w:t>
            </w:r>
            <w:r w:rsidR="00034C37" w:rsidRPr="001552C0">
              <w:rPr>
                <w:rFonts w:eastAsia="Times New Roman" w:cstheme="minorHAnsi"/>
                <w:noProof/>
                <w:sz w:val="24"/>
                <w:szCs w:val="24"/>
              </w:rPr>
              <w:t xml:space="preserve">2020, </w:t>
            </w:r>
            <w:r w:rsidR="00A11C96" w:rsidRPr="001552C0">
              <w:rPr>
                <w:rFonts w:eastAsia="Times New Roman" w:cstheme="minorHAnsi"/>
                <w:noProof/>
                <w:sz w:val="24"/>
                <w:szCs w:val="24"/>
              </w:rPr>
              <w:t xml:space="preserve">ele urmând a fi reactualizate, </w:t>
            </w:r>
            <w:r w:rsidR="008C6176" w:rsidRPr="001552C0">
              <w:rPr>
                <w:rFonts w:eastAsia="Times New Roman" w:cstheme="minorHAnsi"/>
                <w:noProof/>
                <w:sz w:val="24"/>
                <w:szCs w:val="24"/>
              </w:rPr>
              <w:t xml:space="preserve">un prim draft </w:t>
            </w:r>
            <w:r w:rsidR="00A11C96" w:rsidRPr="001552C0">
              <w:rPr>
                <w:rFonts w:eastAsia="Times New Roman" w:cstheme="minorHAnsi"/>
                <w:noProof/>
                <w:sz w:val="24"/>
                <w:szCs w:val="24"/>
              </w:rPr>
              <w:t xml:space="preserve">urmând </w:t>
            </w:r>
            <w:r w:rsidR="008C6176" w:rsidRPr="001552C0">
              <w:rPr>
                <w:rFonts w:eastAsia="Times New Roman" w:cstheme="minorHAnsi"/>
                <w:noProof/>
                <w:sz w:val="24"/>
                <w:szCs w:val="24"/>
              </w:rPr>
              <w:t xml:space="preserve">a fi finalizat in 2021. </w:t>
            </w:r>
          </w:p>
          <w:p w14:paraId="7970B4EA" w14:textId="6C84DFDE" w:rsidR="00E47098" w:rsidRPr="001552C0" w:rsidRDefault="00034C37" w:rsidP="00034C37">
            <w:pPr>
              <w:spacing w:before="120" w:after="120"/>
              <w:jc w:val="both"/>
              <w:rPr>
                <w:rFonts w:eastAsia="Times New Roman" w:cstheme="minorHAnsi"/>
                <w:noProof/>
                <w:sz w:val="24"/>
                <w:szCs w:val="24"/>
              </w:rPr>
            </w:pPr>
            <w:r w:rsidRPr="001552C0">
              <w:rPr>
                <w:rFonts w:eastAsia="Times New Roman" w:cstheme="minorHAnsi"/>
                <w:noProof/>
                <w:sz w:val="24"/>
                <w:szCs w:val="24"/>
              </w:rPr>
              <w:t>În plus față de  investițiile identificate în PMRI, avaria, accidentele, distrugerea unor baraje pot avea consecințe grave asupra populaţiei, obiectivelor socio-economice și mediului din zonele expuse</w:t>
            </w:r>
            <w:r w:rsidR="00E47098" w:rsidRPr="001552C0">
              <w:rPr>
                <w:rFonts w:eastAsia="Times New Roman" w:cstheme="minorHAnsi"/>
                <w:noProof/>
                <w:sz w:val="24"/>
                <w:szCs w:val="24"/>
              </w:rPr>
              <w:t>,</w:t>
            </w:r>
            <w:r w:rsidRPr="001552C0">
              <w:rPr>
                <w:rFonts w:eastAsia="Times New Roman" w:cstheme="minorHAnsi"/>
                <w:noProof/>
                <w:sz w:val="24"/>
                <w:szCs w:val="24"/>
              </w:rPr>
              <w:t xml:space="preserve"> dar şi asupra rezervei de apă.</w:t>
            </w:r>
            <w:r w:rsidR="00E47098" w:rsidRPr="001552C0">
              <w:rPr>
                <w:rFonts w:eastAsia="Times New Roman" w:cstheme="minorHAnsi"/>
                <w:noProof/>
                <w:sz w:val="24"/>
                <w:szCs w:val="24"/>
              </w:rPr>
              <w:t xml:space="preserve"> Astfel, este nevoie de intervenţii asupra barajelor existente pentru prevenirea riscurilor, cu includerea de măsuri pentru restabilirea conectivităţii longitudinale a corpurilor de apă, prin soluţii adecvate ce permit deplasarea ihtiofaunei aval – amonte şi amonte – aval de baraj, luând în considerare inclusiv efecte potenţial a fi generate în timp de schimbările climatice.</w:t>
            </w:r>
          </w:p>
          <w:p w14:paraId="5D4ECD18" w14:textId="2332617E" w:rsidR="00034C37" w:rsidRPr="001552C0" w:rsidRDefault="00700C37" w:rsidP="00034C37">
            <w:pPr>
              <w:spacing w:before="120" w:after="120"/>
              <w:jc w:val="both"/>
              <w:rPr>
                <w:rFonts w:eastAsia="Times New Roman" w:cstheme="minorHAnsi"/>
                <w:noProof/>
                <w:sz w:val="24"/>
                <w:szCs w:val="24"/>
              </w:rPr>
            </w:pPr>
            <w:r w:rsidRPr="001552C0">
              <w:rPr>
                <w:rFonts w:eastAsia="Times New Roman" w:cstheme="minorHAnsi"/>
                <w:noProof/>
                <w:sz w:val="24"/>
                <w:szCs w:val="24"/>
              </w:rPr>
              <w:t>I</w:t>
            </w:r>
            <w:r w:rsidR="009064EB" w:rsidRPr="001552C0">
              <w:rPr>
                <w:rFonts w:eastAsia="Times New Roman" w:cstheme="minorHAnsi"/>
                <w:noProof/>
                <w:sz w:val="24"/>
                <w:szCs w:val="24"/>
              </w:rPr>
              <w:t>nvestițiile vor</w:t>
            </w:r>
            <w:r w:rsidR="00034C37" w:rsidRPr="001552C0">
              <w:rPr>
                <w:rFonts w:eastAsia="Times New Roman" w:cstheme="minorHAnsi"/>
                <w:noProof/>
                <w:sz w:val="24"/>
                <w:szCs w:val="24"/>
              </w:rPr>
              <w:t xml:space="preserve"> avea în vedere o abordare integrată a managementului resursei de apă prin conservarea, asigurarea și protejarea acesteia prin punerea în siguranță a infrastructurii de stocare, creșterea capacității de atenuare (modificarea regulamentelor de exploatare a acumularilor in vederea cresterii volumului pentru atenuarea undei de viitura sau introducerea in regulamentul de exploatare a folosintei de preluare unda de viitura), decolmatare, prevenirea fenomenelor de eutrofizare, precum și reducerea impactului manifestării secetei</w:t>
            </w:r>
            <w:r w:rsidR="00A2779C" w:rsidRPr="001552C0">
              <w:rPr>
                <w:rFonts w:eastAsia="Times New Roman" w:cstheme="minorHAnsi"/>
                <w:noProof/>
                <w:sz w:val="24"/>
                <w:szCs w:val="24"/>
              </w:rPr>
              <w:t>. Totodată, a</w:t>
            </w:r>
            <w:r w:rsidR="00034C37" w:rsidRPr="001552C0">
              <w:rPr>
                <w:rFonts w:eastAsia="Times New Roman" w:cstheme="minorHAnsi"/>
                <w:noProof/>
                <w:sz w:val="24"/>
                <w:szCs w:val="24"/>
              </w:rPr>
              <w:t xml:space="preserve">ceste măsuri </w:t>
            </w:r>
            <w:r w:rsidR="00A2779C" w:rsidRPr="001552C0">
              <w:rPr>
                <w:rFonts w:eastAsia="Times New Roman" w:cstheme="minorHAnsi"/>
                <w:noProof/>
                <w:sz w:val="24"/>
                <w:szCs w:val="24"/>
              </w:rPr>
              <w:t>vor</w:t>
            </w:r>
            <w:r w:rsidR="00034C37" w:rsidRPr="001552C0">
              <w:rPr>
                <w:rFonts w:eastAsia="Times New Roman" w:cstheme="minorHAnsi"/>
                <w:noProof/>
                <w:sz w:val="24"/>
                <w:szCs w:val="24"/>
              </w:rPr>
              <w:t xml:space="preserve"> contribui și la conservarea biodiversităţii.</w:t>
            </w:r>
          </w:p>
          <w:p w14:paraId="7CEAE7DE" w14:textId="4E486392" w:rsidR="00034C37" w:rsidRPr="001552C0" w:rsidRDefault="00700C37"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P</w:t>
            </w:r>
            <w:r w:rsidR="00034C37" w:rsidRPr="001552C0">
              <w:rPr>
                <w:rFonts w:eastAsia="Times New Roman" w:cstheme="minorHAnsi"/>
                <w:noProof/>
                <w:sz w:val="24"/>
                <w:szCs w:val="24"/>
              </w:rPr>
              <w:t xml:space="preserve">roiectele finanțate prin PODD vor viza gestionarea inundaţiilor și vor fi identificate pe baza planurilor de management a bazinelor hidrografice (PMBH) și planurilor de management a riscului la inundații (PMRI). În același timp, investițiile propuse pentru măsurile de prevenire a riscului la inundații vor contribui la limitarea efectelor altor fenomene specifice </w:t>
            </w:r>
            <w:r w:rsidR="00034C37" w:rsidRPr="001552C0">
              <w:rPr>
                <w:rFonts w:eastAsia="Times New Roman" w:cstheme="minorHAnsi"/>
                <w:noProof/>
                <w:sz w:val="24"/>
                <w:szCs w:val="24"/>
              </w:rPr>
              <w:lastRenderedPageBreak/>
              <w:t>schimbărilor climatice, de exemplu, seceta hidrologică și pedologică sau alunecările de teren.</w:t>
            </w:r>
          </w:p>
          <w:p w14:paraId="07AF40FD" w14:textId="5085D89B" w:rsidR="009064EB" w:rsidRPr="001552C0" w:rsidRDefault="009064EB" w:rsidP="009064EB">
            <w:pPr>
              <w:spacing w:before="120" w:after="120"/>
              <w:jc w:val="both"/>
              <w:rPr>
                <w:rFonts w:eastAsia="Times New Roman" w:cstheme="minorHAnsi"/>
                <w:noProof/>
                <w:sz w:val="24"/>
                <w:szCs w:val="24"/>
              </w:rPr>
            </w:pPr>
            <w:r w:rsidRPr="001552C0">
              <w:rPr>
                <w:rFonts w:eastAsia="Times New Roman" w:cstheme="minorHAnsi"/>
                <w:b/>
                <w:noProof/>
                <w:sz w:val="24"/>
                <w:szCs w:val="24"/>
              </w:rPr>
              <w:t>Seceta</w:t>
            </w:r>
            <w:r w:rsidRPr="001552C0">
              <w:rPr>
                <w:rFonts w:eastAsia="Times New Roman" w:cstheme="minorHAnsi"/>
                <w:noProof/>
                <w:sz w:val="24"/>
                <w:szCs w:val="24"/>
              </w:rPr>
              <w:t xml:space="preserve"> este un alt risc natural major determinat de un complex de condiții climatice, pedologice, fiziologice, caracterizat prin existenta apei sub valorile optime.</w:t>
            </w:r>
          </w:p>
          <w:p w14:paraId="695CE421" w14:textId="77777777" w:rsidR="009064EB" w:rsidRPr="001552C0" w:rsidRDefault="009064EB" w:rsidP="009064EB">
            <w:pPr>
              <w:spacing w:before="120" w:after="120"/>
              <w:jc w:val="both"/>
              <w:rPr>
                <w:rFonts w:eastAsia="Times New Roman" w:cstheme="minorHAnsi"/>
                <w:noProof/>
                <w:sz w:val="24"/>
                <w:szCs w:val="24"/>
              </w:rPr>
            </w:pPr>
            <w:r w:rsidRPr="001552C0">
              <w:rPr>
                <w:rFonts w:eastAsia="Times New Roman" w:cstheme="minorHAnsi"/>
                <w:noProof/>
                <w:sz w:val="24"/>
                <w:szCs w:val="24"/>
              </w:rPr>
              <w:t>Datele climatice înregistrate în ultimele decenii au arătat o încălzire progresivă a atmosferei, precum și o frecvență mai mare a evenimentelor extreme, alternanțele rapide ale valurilor de căldură severă, perioade secetoase și precipitații abundente. Astfel, în România, temperatura medie anuală a aerului a crescut cu 0,6 ° C în ultimii 100 de ani.</w:t>
            </w:r>
          </w:p>
          <w:p w14:paraId="7FCEB0C3" w14:textId="04279763" w:rsidR="009064EB" w:rsidRPr="001552C0" w:rsidRDefault="009064EB" w:rsidP="009064EB">
            <w:pPr>
              <w:spacing w:before="120" w:after="120"/>
              <w:jc w:val="both"/>
              <w:rPr>
                <w:rFonts w:eastAsia="Times New Roman" w:cstheme="minorHAnsi"/>
                <w:noProof/>
                <w:sz w:val="24"/>
                <w:szCs w:val="24"/>
              </w:rPr>
            </w:pPr>
            <w:r w:rsidRPr="001552C0">
              <w:rPr>
                <w:rFonts w:eastAsia="Times New Roman" w:cstheme="minorHAnsi"/>
                <w:noProof/>
                <w:sz w:val="24"/>
                <w:szCs w:val="24"/>
              </w:rPr>
              <w:t>Proiecțiile viitoare privind gradul de severitate a secetei, sugerează faptul că, în România secetele vor fi din ce în ce mai intense, în condițiile semnalului încălzirii globale, mai ales pentru bazine hidrologice din sudul</w:t>
            </w:r>
            <w:r w:rsidR="00085083" w:rsidRPr="001552C0">
              <w:rPr>
                <w:rFonts w:eastAsia="Times New Roman" w:cstheme="minorHAnsi"/>
                <w:noProof/>
                <w:sz w:val="24"/>
                <w:szCs w:val="24"/>
              </w:rPr>
              <w:t>, sud-estul</w:t>
            </w:r>
            <w:r w:rsidRPr="001552C0">
              <w:rPr>
                <w:rFonts w:eastAsia="Times New Roman" w:cstheme="minorHAnsi"/>
                <w:noProof/>
                <w:sz w:val="24"/>
                <w:szCs w:val="24"/>
              </w:rPr>
              <w:t xml:space="preserve"> și estul României</w:t>
            </w:r>
            <w:r w:rsidR="00085083" w:rsidRPr="001552C0">
              <w:rPr>
                <w:rFonts w:eastAsia="Times New Roman" w:cstheme="minorHAnsi"/>
                <w:noProof/>
                <w:sz w:val="24"/>
                <w:szCs w:val="24"/>
              </w:rPr>
              <w:t xml:space="preserve"> (&lt;600 m3 de apă / ha – seceta pedologică extremă și severă)</w:t>
            </w:r>
            <w:r w:rsidRPr="001552C0">
              <w:rPr>
                <w:rFonts w:eastAsia="Times New Roman" w:cstheme="minorHAnsi"/>
                <w:noProof/>
                <w:sz w:val="24"/>
                <w:szCs w:val="24"/>
              </w:rPr>
              <w:t>. Pentru viitorul apropiat (2021-2050), la nivelul României, rezultatele experimentelor numerice cu modele climatice indică, față de intervalul de referință (1961-1990) o creștere medie a temperaturii lunare în cea mai caldă luna a anului cu peste 4°C și o reducere medie a cantității lunare de precipitații de până la 15%, în timpul verii, în cel mai pesimist scenariu.</w:t>
            </w:r>
          </w:p>
          <w:p w14:paraId="1754B79C" w14:textId="51C11337" w:rsidR="005D3EE8" w:rsidRPr="001552C0" w:rsidRDefault="00451927" w:rsidP="00451927">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Astfel, există risc de deșertificare în sudul și estul României, unde studiile recente au generat avertismente serioase conform cărora 13 județe (Timiş, Mehedinţi, Dolj, Olt, Teleorman, Giurgiu, Călăraşi, Constanţa, Ialomiţa, Brăila, Tulcea, Galaţi și Vaslui) se confruntă cu acest risc ce determină, în principal, fenomenul de eroziune a solului, </w:t>
            </w:r>
            <w:r w:rsidR="00050EE8" w:rsidRPr="001552C0">
              <w:rPr>
                <w:rFonts w:eastAsia="Times New Roman" w:cstheme="minorHAnsi"/>
                <w:noProof/>
                <w:sz w:val="24"/>
                <w:szCs w:val="24"/>
              </w:rPr>
              <w:t xml:space="preserve">ceea ce determină </w:t>
            </w:r>
            <w:r w:rsidRPr="001552C0">
              <w:rPr>
                <w:rFonts w:eastAsia="Times New Roman" w:cstheme="minorHAnsi"/>
                <w:noProof/>
                <w:sz w:val="24"/>
                <w:szCs w:val="24"/>
              </w:rPr>
              <w:t>nevoi</w:t>
            </w:r>
            <w:r w:rsidR="00050EE8" w:rsidRPr="001552C0">
              <w:rPr>
                <w:rFonts w:eastAsia="Times New Roman" w:cstheme="minorHAnsi"/>
                <w:noProof/>
                <w:sz w:val="24"/>
                <w:szCs w:val="24"/>
              </w:rPr>
              <w:t>a</w:t>
            </w:r>
            <w:r w:rsidRPr="001552C0">
              <w:rPr>
                <w:rFonts w:eastAsia="Times New Roman" w:cstheme="minorHAnsi"/>
                <w:noProof/>
                <w:sz w:val="24"/>
                <w:szCs w:val="24"/>
              </w:rPr>
              <w:t xml:space="preserve"> de investiții care să vizeze conservarea acestuia.</w:t>
            </w:r>
          </w:p>
          <w:p w14:paraId="7CA398BA" w14:textId="77777777" w:rsidR="009064EB" w:rsidRPr="001552C0" w:rsidRDefault="009064EB" w:rsidP="009064EB">
            <w:pPr>
              <w:spacing w:before="120" w:after="120"/>
              <w:jc w:val="both"/>
              <w:rPr>
                <w:rFonts w:eastAsia="Times New Roman" w:cstheme="minorHAnsi"/>
                <w:noProof/>
                <w:sz w:val="24"/>
                <w:szCs w:val="24"/>
              </w:rPr>
            </w:pPr>
            <w:r w:rsidRPr="001552C0">
              <w:rPr>
                <w:rFonts w:eastAsia="Times New Roman" w:cstheme="minorHAnsi"/>
                <w:noProof/>
                <w:sz w:val="24"/>
                <w:szCs w:val="24"/>
              </w:rPr>
              <w:t>La nivel naţional se află în curs de elaborare Planurile de Management ale Secetei bazate pe soluţiile de evaluare a riscului şi în contextul Directivei Cadru UE a Apei - ca parte a Planurilor de Management ale Bazinelor Hidrografice (decembrie 2021, primele versiuni aferente celui de al treilea ciclu de planificare, conform Directivei Cadru UE a Apei 2000/60CE).</w:t>
            </w:r>
          </w:p>
          <w:p w14:paraId="177FA4D1" w14:textId="073B63E3" w:rsidR="009064EB" w:rsidRPr="001552C0" w:rsidRDefault="0012715D" w:rsidP="009064EB">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În ceea ce privește monitorizarea secetei, </w:t>
            </w:r>
            <w:r w:rsidR="009064EB" w:rsidRPr="001552C0">
              <w:rPr>
                <w:rFonts w:eastAsia="Times New Roman" w:cstheme="minorHAnsi"/>
                <w:noProof/>
                <w:sz w:val="24"/>
                <w:szCs w:val="24"/>
              </w:rPr>
              <w:t xml:space="preserve">Administratia Națională de Meteorologie derulează un program special de agrometeorologie la 66 stații la nivel național, din totalul de 164 statii din rețeaua  natională de stații meteorologice de suprafață. </w:t>
            </w:r>
            <w:r w:rsidR="00BD1FC1" w:rsidRPr="001552C0">
              <w:rPr>
                <w:rFonts w:eastAsia="Times New Roman" w:cstheme="minorHAnsi"/>
                <w:noProof/>
                <w:sz w:val="24"/>
                <w:szCs w:val="24"/>
              </w:rPr>
              <w:t xml:space="preserve">Pentru a se asigura o monitorizare eficienta a fenomenului de seceta si un grad de acuratete crescut al alertelor privind dinamica, extinderea si intensitatea secetei in Romania, </w:t>
            </w:r>
            <w:r w:rsidR="009064EB" w:rsidRPr="001552C0">
              <w:rPr>
                <w:rFonts w:eastAsia="Times New Roman" w:cstheme="minorHAnsi"/>
                <w:noProof/>
                <w:sz w:val="24"/>
                <w:szCs w:val="24"/>
              </w:rPr>
              <w:t>se impune creșterea numărului de observații și măsurători agrometeorologice la nivel national/regional cu cel putin 98 de statii noi de măsurare a umidității solului</w:t>
            </w:r>
            <w:r w:rsidRPr="001552C0">
              <w:rPr>
                <w:rFonts w:eastAsia="Times New Roman" w:cstheme="minorHAnsi"/>
                <w:noProof/>
                <w:sz w:val="24"/>
                <w:szCs w:val="24"/>
              </w:rPr>
              <w:t xml:space="preserve">, precum și </w:t>
            </w:r>
            <w:r w:rsidR="009064EB" w:rsidRPr="001552C0">
              <w:rPr>
                <w:rFonts w:eastAsia="Times New Roman" w:cstheme="minorHAnsi"/>
                <w:noProof/>
                <w:sz w:val="24"/>
                <w:szCs w:val="24"/>
              </w:rPr>
              <w:t xml:space="preserve"> </w:t>
            </w:r>
            <w:r w:rsidRPr="001552C0">
              <w:rPr>
                <w:rFonts w:eastAsia="Times New Roman" w:cstheme="minorHAnsi"/>
                <w:noProof/>
                <w:sz w:val="24"/>
                <w:szCs w:val="24"/>
              </w:rPr>
              <w:t>elaborarea de produse tematice si aplicatii software privind intensitatea si dinamica fenomenului de seceta la nivel national/regional</w:t>
            </w:r>
            <w:r w:rsidR="00BD1FC1" w:rsidRPr="001552C0">
              <w:rPr>
                <w:rFonts w:eastAsia="Times New Roman" w:cstheme="minorHAnsi"/>
                <w:noProof/>
                <w:sz w:val="24"/>
                <w:szCs w:val="24"/>
              </w:rPr>
              <w:t>.</w:t>
            </w:r>
          </w:p>
          <w:p w14:paraId="25710CA1" w14:textId="2B99CFC8" w:rsidR="0087655B" w:rsidRPr="001552C0" w:rsidRDefault="0087655B" w:rsidP="0087655B">
            <w:pPr>
              <w:spacing w:before="120" w:after="120"/>
              <w:jc w:val="both"/>
              <w:rPr>
                <w:rFonts w:eastAsia="Times New Roman" w:cstheme="minorHAnsi"/>
                <w:noProof/>
                <w:sz w:val="24"/>
                <w:szCs w:val="24"/>
              </w:rPr>
            </w:pPr>
            <w:r w:rsidRPr="001552C0">
              <w:rPr>
                <w:rFonts w:eastAsia="Times New Roman" w:cstheme="minorHAnsi"/>
                <w:noProof/>
                <w:sz w:val="24"/>
                <w:szCs w:val="24"/>
              </w:rPr>
              <w:t>Totodată, implementarea Directivei Inundații – ciclul III de raportare impune adaptarea structurilor, optimizarea proceselor și pregătirea resurselor umane necesare îndeplinirii obligațiilor asumate în scopul consolidării capacității autorităților și instituțiilor publice din domeniul gopodăririi apelor și al managementului riscului la inundații.</w:t>
            </w:r>
          </w:p>
          <w:p w14:paraId="202D8FF5" w14:textId="6E3BEE88" w:rsidR="002B5F74" w:rsidRPr="001552C0" w:rsidRDefault="002B5F74" w:rsidP="00977DF9">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Avand </w:t>
            </w:r>
            <w:r w:rsidR="007C6002" w:rsidRPr="001552C0">
              <w:rPr>
                <w:rFonts w:eastAsia="Times New Roman" w:cstheme="minorHAnsi"/>
                <w:noProof/>
                <w:sz w:val="24"/>
                <w:szCs w:val="24"/>
              </w:rPr>
              <w:t>î</w:t>
            </w:r>
            <w:r w:rsidRPr="001552C0">
              <w:rPr>
                <w:rFonts w:eastAsia="Times New Roman" w:cstheme="minorHAnsi"/>
                <w:noProof/>
                <w:sz w:val="24"/>
                <w:szCs w:val="24"/>
              </w:rPr>
              <w:t>n vedere cele men</w:t>
            </w:r>
            <w:r w:rsidR="007C6002" w:rsidRPr="001552C0">
              <w:rPr>
                <w:rFonts w:eastAsia="Times New Roman" w:cstheme="minorHAnsi"/>
                <w:noProof/>
                <w:sz w:val="24"/>
                <w:szCs w:val="24"/>
              </w:rPr>
              <w:t>ț</w:t>
            </w:r>
            <w:r w:rsidRPr="001552C0">
              <w:rPr>
                <w:rFonts w:eastAsia="Times New Roman" w:cstheme="minorHAnsi"/>
                <w:noProof/>
                <w:sz w:val="24"/>
                <w:szCs w:val="24"/>
              </w:rPr>
              <w:t>ionate, investi</w:t>
            </w:r>
            <w:r w:rsidR="007C6002" w:rsidRPr="001552C0">
              <w:rPr>
                <w:rFonts w:eastAsia="Times New Roman" w:cstheme="minorHAnsi"/>
                <w:noProof/>
                <w:sz w:val="24"/>
                <w:szCs w:val="24"/>
              </w:rPr>
              <w:t>ț</w:t>
            </w:r>
            <w:r w:rsidRPr="001552C0">
              <w:rPr>
                <w:rFonts w:eastAsia="Times New Roman" w:cstheme="minorHAnsi"/>
                <w:noProof/>
                <w:sz w:val="24"/>
                <w:szCs w:val="24"/>
              </w:rPr>
              <w:t>iile d</w:t>
            </w:r>
            <w:r w:rsidR="00977DF9" w:rsidRPr="001552C0">
              <w:rPr>
                <w:rFonts w:eastAsia="Times New Roman" w:cstheme="minorHAnsi"/>
                <w:noProof/>
                <w:sz w:val="24"/>
                <w:szCs w:val="24"/>
              </w:rPr>
              <w:t>in PODD vor viza m</w:t>
            </w:r>
            <w:r w:rsidRPr="001552C0">
              <w:rPr>
                <w:rFonts w:eastAsia="Times New Roman" w:cstheme="minorHAnsi"/>
                <w:noProof/>
                <w:sz w:val="24"/>
                <w:szCs w:val="24"/>
              </w:rPr>
              <w:t>anagementul</w:t>
            </w:r>
            <w:r w:rsidR="00BD1FC1" w:rsidRPr="001552C0">
              <w:rPr>
                <w:rFonts w:eastAsia="Times New Roman" w:cstheme="minorHAnsi"/>
                <w:noProof/>
                <w:sz w:val="24"/>
                <w:szCs w:val="24"/>
              </w:rPr>
              <w:t xml:space="preserve"> riscurilor </w:t>
            </w:r>
            <w:r w:rsidR="00BD1FC1" w:rsidRPr="001552C0">
              <w:rPr>
                <w:rFonts w:eastAsia="Times New Roman" w:cstheme="minorHAnsi"/>
                <w:noProof/>
                <w:sz w:val="24"/>
                <w:szCs w:val="24"/>
              </w:rPr>
              <w:lastRenderedPageBreak/>
              <w:t>generate de</w:t>
            </w:r>
            <w:r w:rsidRPr="001552C0">
              <w:rPr>
                <w:rFonts w:eastAsia="Times New Roman" w:cstheme="minorHAnsi"/>
                <w:noProof/>
                <w:sz w:val="24"/>
                <w:szCs w:val="24"/>
              </w:rPr>
              <w:t xml:space="preserve"> inundații</w:t>
            </w:r>
            <w:r w:rsidR="00BD1FC1" w:rsidRPr="001552C0">
              <w:rPr>
                <w:rFonts w:eastAsia="Times New Roman" w:cstheme="minorHAnsi"/>
                <w:noProof/>
                <w:sz w:val="24"/>
                <w:szCs w:val="24"/>
              </w:rPr>
              <w:t xml:space="preserve"> și secetă</w:t>
            </w:r>
            <w:r w:rsidRPr="001552C0">
              <w:rPr>
                <w:rFonts w:eastAsia="Times New Roman" w:cstheme="minorHAnsi"/>
                <w:noProof/>
                <w:sz w:val="24"/>
                <w:szCs w:val="24"/>
              </w:rPr>
              <w:t xml:space="preserve"> si reducerea impactului acestora  asupra populaţiei, proprietății și mediului</w:t>
            </w:r>
            <w:r w:rsidR="00CE7A9A" w:rsidRPr="001552C0">
              <w:rPr>
                <w:rFonts w:eastAsia="Times New Roman" w:cstheme="minorHAnsi"/>
                <w:noProof/>
                <w:sz w:val="24"/>
                <w:szCs w:val="24"/>
              </w:rPr>
              <w:t>, prin</w:t>
            </w:r>
            <w:r w:rsidR="00603627" w:rsidRPr="001552C0">
              <w:rPr>
                <w:rFonts w:eastAsia="Times New Roman" w:cstheme="minorHAnsi"/>
                <w:noProof/>
                <w:sz w:val="24"/>
                <w:szCs w:val="24"/>
              </w:rPr>
              <w:t xml:space="preserve"> următoarele </w:t>
            </w:r>
            <w:r w:rsidR="00603627" w:rsidRPr="001552C0">
              <w:rPr>
                <w:rFonts w:eastAsia="Times New Roman" w:cstheme="minorHAnsi"/>
                <w:b/>
                <w:noProof/>
                <w:sz w:val="24"/>
                <w:szCs w:val="24"/>
              </w:rPr>
              <w:t xml:space="preserve">tipuri majore de </w:t>
            </w:r>
            <w:r w:rsidR="005C1BBE">
              <w:rPr>
                <w:rFonts w:eastAsia="Times New Roman" w:cstheme="minorHAnsi"/>
                <w:b/>
                <w:noProof/>
                <w:sz w:val="24"/>
                <w:szCs w:val="24"/>
              </w:rPr>
              <w:t>intervenții</w:t>
            </w:r>
            <w:r w:rsidR="005C1BBE" w:rsidRPr="005C1BBE">
              <w:rPr>
                <w:rFonts w:eastAsia="Times New Roman" w:cstheme="minorHAnsi"/>
                <w:b/>
                <w:noProof/>
                <w:sz w:val="24"/>
                <w:szCs w:val="24"/>
              </w:rPr>
              <w:t>/măsuri</w:t>
            </w:r>
            <w:r w:rsidR="00CE7A9A" w:rsidRPr="001552C0">
              <w:rPr>
                <w:rFonts w:eastAsia="Times New Roman" w:cstheme="minorHAnsi"/>
                <w:noProof/>
                <w:sz w:val="24"/>
                <w:szCs w:val="24"/>
              </w:rPr>
              <w:t>:</w:t>
            </w:r>
          </w:p>
          <w:p w14:paraId="3CEA6741" w14:textId="78D0C18B" w:rsidR="00EA3035" w:rsidRPr="001552C0" w:rsidRDefault="000D17DE" w:rsidP="00106952">
            <w:pPr>
              <w:numPr>
                <w:ilvl w:val="0"/>
                <w:numId w:val="58"/>
              </w:numPr>
              <w:spacing w:before="120" w:after="120"/>
              <w:jc w:val="both"/>
              <w:rPr>
                <w:rFonts w:eastAsia="Times New Roman" w:cstheme="minorHAnsi"/>
                <w:noProof/>
                <w:sz w:val="24"/>
                <w:szCs w:val="24"/>
              </w:rPr>
            </w:pPr>
            <w:r w:rsidRPr="001552C0">
              <w:rPr>
                <w:rFonts w:cstheme="minorHAnsi"/>
                <w:sz w:val="24"/>
                <w:szCs w:val="24"/>
              </w:rPr>
              <w:t>amenajarea complexă a bazinelor hidrografice prin utilizarea infrastructurii verzi sau prin adaptarea</w:t>
            </w:r>
            <w:r w:rsidR="004658CD" w:rsidRPr="001552C0">
              <w:rPr>
                <w:rFonts w:cstheme="minorHAnsi"/>
                <w:sz w:val="24"/>
                <w:szCs w:val="24"/>
              </w:rPr>
              <w:t>,</w:t>
            </w:r>
            <w:r w:rsidR="004658CD" w:rsidRPr="001552C0">
              <w:t xml:space="preserve"> </w:t>
            </w:r>
            <w:r w:rsidR="004658CD" w:rsidRPr="001552C0">
              <w:rPr>
                <w:rFonts w:cstheme="minorHAnsi"/>
                <w:sz w:val="24"/>
                <w:szCs w:val="24"/>
              </w:rPr>
              <w:t>construirea ori reabilitarea</w:t>
            </w:r>
            <w:r w:rsidRPr="001552C0">
              <w:rPr>
                <w:rFonts w:cstheme="minorHAnsi"/>
                <w:sz w:val="24"/>
                <w:szCs w:val="24"/>
              </w:rPr>
              <w:t xml:space="preserve"> infrastructurii existente de </w:t>
            </w:r>
            <w:r w:rsidR="00BD1FC1" w:rsidRPr="001552C0">
              <w:rPr>
                <w:rFonts w:cstheme="minorHAnsi"/>
                <w:sz w:val="24"/>
                <w:szCs w:val="24"/>
              </w:rPr>
              <w:t xml:space="preserve">gospodărire a apelor și îmbunătățiri funciare adaptate </w:t>
            </w:r>
            <w:r w:rsidRPr="001552C0">
              <w:rPr>
                <w:rFonts w:cstheme="minorHAnsi"/>
                <w:sz w:val="24"/>
                <w:szCs w:val="24"/>
              </w:rPr>
              <w:t>la noile practici UE</w:t>
            </w:r>
            <w:r w:rsidR="00BD1FC1" w:rsidRPr="001552C0">
              <w:rPr>
                <w:rFonts w:cstheme="minorHAnsi"/>
                <w:sz w:val="24"/>
                <w:szCs w:val="24"/>
              </w:rPr>
              <w:t>, inclusiv cele privind</w:t>
            </w:r>
            <w:r w:rsidRPr="001552C0">
              <w:rPr>
                <w:rFonts w:cstheme="minorHAnsi"/>
                <w:sz w:val="24"/>
                <w:szCs w:val="24"/>
              </w:rPr>
              <w:t xml:space="preserve"> asigurarea conectivităţii laterale şi/sau transversale a râului</w:t>
            </w:r>
            <w:r w:rsidRPr="001552C0">
              <w:rPr>
                <w:rFonts w:eastAsia="Times New Roman" w:cstheme="minorHAnsi"/>
                <w:noProof/>
                <w:sz w:val="24"/>
                <w:szCs w:val="24"/>
              </w:rPr>
              <w:t>;</w:t>
            </w:r>
          </w:p>
          <w:p w14:paraId="0EF870BD" w14:textId="783F1378" w:rsidR="002B5F74" w:rsidRPr="001552C0" w:rsidRDefault="0087655B" w:rsidP="00106952">
            <w:pPr>
              <w:numPr>
                <w:ilvl w:val="0"/>
                <w:numId w:val="58"/>
              </w:numPr>
              <w:spacing w:before="120" w:after="120"/>
              <w:jc w:val="both"/>
              <w:rPr>
                <w:rFonts w:eastAsia="Times New Roman" w:cstheme="minorHAnsi"/>
                <w:noProof/>
                <w:sz w:val="24"/>
                <w:szCs w:val="24"/>
              </w:rPr>
            </w:pPr>
            <w:r w:rsidRPr="001552C0">
              <w:rPr>
                <w:rFonts w:eastAsia="Times New Roman" w:cstheme="minorHAnsi"/>
                <w:noProof/>
                <w:sz w:val="24"/>
                <w:szCs w:val="24"/>
              </w:rPr>
              <w:t>d</w:t>
            </w:r>
            <w:r w:rsidR="002B5F74" w:rsidRPr="001552C0">
              <w:rPr>
                <w:rFonts w:eastAsia="Times New Roman" w:cstheme="minorHAnsi"/>
                <w:noProof/>
                <w:sz w:val="24"/>
                <w:szCs w:val="24"/>
              </w:rPr>
              <w:t>ezvoltarea infrastructurii de monitorizare</w:t>
            </w:r>
            <w:r w:rsidR="00BD1FC1" w:rsidRPr="001552C0">
              <w:rPr>
                <w:rFonts w:eastAsia="Times New Roman" w:cstheme="minorHAnsi"/>
                <w:noProof/>
                <w:sz w:val="24"/>
                <w:szCs w:val="24"/>
              </w:rPr>
              <w:t>,</w:t>
            </w:r>
            <w:r w:rsidR="002B5F74" w:rsidRPr="001552C0">
              <w:rPr>
                <w:rFonts w:eastAsia="Times New Roman" w:cstheme="minorHAnsi"/>
                <w:noProof/>
                <w:sz w:val="24"/>
                <w:szCs w:val="24"/>
              </w:rPr>
              <w:t xml:space="preserve"> avertizare </w:t>
            </w:r>
            <w:r w:rsidR="00BD1FC1" w:rsidRPr="001552C0">
              <w:rPr>
                <w:rFonts w:eastAsia="Times New Roman" w:cstheme="minorHAnsi"/>
                <w:noProof/>
                <w:sz w:val="24"/>
                <w:szCs w:val="24"/>
              </w:rPr>
              <w:t xml:space="preserve">şi alarmare </w:t>
            </w:r>
            <w:r w:rsidR="002B5F74" w:rsidRPr="001552C0">
              <w:rPr>
                <w:rFonts w:eastAsia="Times New Roman" w:cstheme="minorHAnsi"/>
                <w:noProof/>
                <w:sz w:val="24"/>
                <w:szCs w:val="24"/>
              </w:rPr>
              <w:t>a fenomenelor hidro-meteorologice severe</w:t>
            </w:r>
            <w:r w:rsidRPr="001552C0">
              <w:rPr>
                <w:rFonts w:eastAsia="Times New Roman" w:cstheme="minorHAnsi"/>
                <w:noProof/>
                <w:sz w:val="24"/>
                <w:szCs w:val="24"/>
              </w:rPr>
              <w:t xml:space="preserve"> (inundații și secetă) pentru evaluarea și gestionarea durabilă a resurselor naturale, </w:t>
            </w:r>
            <w:r w:rsidR="00071DC1" w:rsidRPr="001552C0">
              <w:rPr>
                <w:rFonts w:eastAsia="Times New Roman" w:cstheme="minorHAnsi"/>
                <w:noProof/>
                <w:sz w:val="24"/>
                <w:szCs w:val="24"/>
              </w:rPr>
              <w:t>inclusiv activităţi în scopul conştientizării publice</w:t>
            </w:r>
            <w:r w:rsidRPr="001552C0">
              <w:rPr>
                <w:rFonts w:eastAsia="Times New Roman" w:cstheme="minorHAnsi"/>
                <w:noProof/>
                <w:sz w:val="24"/>
                <w:szCs w:val="24"/>
              </w:rPr>
              <w:t>;</w:t>
            </w:r>
          </w:p>
          <w:p w14:paraId="26DAD995" w14:textId="7347D2DB" w:rsidR="0087655B" w:rsidRPr="001552C0" w:rsidRDefault="0087655B" w:rsidP="00106952">
            <w:pPr>
              <w:numPr>
                <w:ilvl w:val="0"/>
                <w:numId w:val="58"/>
              </w:numPr>
              <w:spacing w:before="120" w:after="120"/>
              <w:jc w:val="both"/>
              <w:rPr>
                <w:rFonts w:eastAsia="Times New Roman" w:cstheme="minorHAnsi"/>
                <w:noProof/>
                <w:sz w:val="24"/>
                <w:szCs w:val="24"/>
              </w:rPr>
            </w:pPr>
            <w:r w:rsidRPr="001552C0">
              <w:rPr>
                <w:rFonts w:eastAsia="Times New Roman" w:cstheme="minorHAnsi"/>
                <w:noProof/>
                <w:sz w:val="24"/>
                <w:szCs w:val="24"/>
              </w:rPr>
              <w:t>consolidarea capacității adminsitrative pentru asigurarea implementării directivelor europene în domeniu.</w:t>
            </w:r>
          </w:p>
          <w:p w14:paraId="2CCD80FA" w14:textId="2FD79452" w:rsidR="00CE7A9A" w:rsidRPr="001552C0" w:rsidRDefault="00832F46" w:rsidP="00106952">
            <w:pPr>
              <w:jc w:val="both"/>
              <w:rPr>
                <w:rFonts w:cstheme="minorHAnsi"/>
                <w:sz w:val="24"/>
                <w:szCs w:val="24"/>
              </w:rPr>
            </w:pPr>
            <w:r w:rsidRPr="001552C0">
              <w:rPr>
                <w:rFonts w:cstheme="minorHAnsi"/>
                <w:sz w:val="24"/>
                <w:szCs w:val="24"/>
              </w:rPr>
              <w:t xml:space="preserve">În implementarea măsurilor </w:t>
            </w:r>
            <w:r w:rsidR="008536AE" w:rsidRPr="001552C0">
              <w:rPr>
                <w:rFonts w:cstheme="minorHAnsi"/>
                <w:sz w:val="24"/>
                <w:szCs w:val="24"/>
              </w:rPr>
              <w:t>menționate</w:t>
            </w:r>
            <w:r w:rsidRPr="001552C0">
              <w:rPr>
                <w:rFonts w:cstheme="minorHAnsi"/>
                <w:sz w:val="24"/>
                <w:szCs w:val="24"/>
              </w:rPr>
              <w:t>, s</w:t>
            </w:r>
            <w:r w:rsidR="00CE7A9A" w:rsidRPr="001552C0">
              <w:rPr>
                <w:rFonts w:cstheme="minorHAnsi"/>
                <w:sz w:val="24"/>
                <w:szCs w:val="24"/>
              </w:rPr>
              <w:t xml:space="preserve">e va acorda prioritate utilizării infrastructurii verzi pentru prevenirea inundaţiilor </w:t>
            </w:r>
            <w:r w:rsidR="008536AE" w:rsidRPr="001552C0">
              <w:rPr>
                <w:rFonts w:cstheme="minorHAnsi"/>
                <w:sz w:val="24"/>
                <w:szCs w:val="24"/>
              </w:rPr>
              <w:t xml:space="preserve">şi reducerii </w:t>
            </w:r>
            <w:r w:rsidR="00985EC5" w:rsidRPr="001552C0">
              <w:rPr>
                <w:rFonts w:cstheme="minorHAnsi"/>
                <w:sz w:val="24"/>
                <w:szCs w:val="24"/>
              </w:rPr>
              <w:t>impactului manifestării secetei</w:t>
            </w:r>
            <w:r w:rsidR="0087655B" w:rsidRPr="001552C0">
              <w:rPr>
                <w:rFonts w:cstheme="minorHAnsi"/>
                <w:sz w:val="24"/>
                <w:szCs w:val="24"/>
              </w:rPr>
              <w:t xml:space="preserve">. </w:t>
            </w:r>
            <w:r w:rsidR="00985EC5" w:rsidRPr="001552C0">
              <w:rPr>
                <w:rFonts w:cstheme="minorHAnsi"/>
                <w:sz w:val="24"/>
                <w:szCs w:val="24"/>
              </w:rPr>
              <w:t>Totodată, v</w:t>
            </w:r>
            <w:r w:rsidR="00CE7A9A" w:rsidRPr="001552C0">
              <w:rPr>
                <w:rFonts w:cstheme="minorHAnsi"/>
                <w:sz w:val="24"/>
                <w:szCs w:val="24"/>
              </w:rPr>
              <w:t>a fi continuată pregătirea și implementarea proiectelor de prevenire a riscului la inundații demarate în perioada 2014-2020</w:t>
            </w:r>
            <w:r w:rsidRPr="001552C0">
              <w:rPr>
                <w:rFonts w:cstheme="minorHAnsi"/>
                <w:sz w:val="24"/>
                <w:szCs w:val="24"/>
              </w:rPr>
              <w:t>. Justificarea investițiilor se va baza pe cerințele din Ghidul pentru elaborarea studiului de fezabilitate pentru proiectele de management a riscului de inundații, utilizat în perioada 2014-2020 (elaborat cu sprijin JASPERS).</w:t>
            </w:r>
          </w:p>
          <w:p w14:paraId="4E4F0F59" w14:textId="6B970A29" w:rsidR="002B5F74" w:rsidRPr="001552C0" w:rsidRDefault="002B5F74"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Poten</w:t>
            </w:r>
            <w:r w:rsidR="007C6002" w:rsidRPr="001552C0">
              <w:rPr>
                <w:rFonts w:eastAsia="Times New Roman" w:cstheme="minorHAnsi"/>
                <w:noProof/>
                <w:sz w:val="24"/>
                <w:szCs w:val="24"/>
              </w:rPr>
              <w:t>ț</w:t>
            </w:r>
            <w:r w:rsidRPr="001552C0">
              <w:rPr>
                <w:rFonts w:eastAsia="Times New Roman" w:cstheme="minorHAnsi"/>
                <w:noProof/>
                <w:sz w:val="24"/>
                <w:szCs w:val="24"/>
              </w:rPr>
              <w:t xml:space="preserve">iali </w:t>
            </w:r>
            <w:r w:rsidRPr="001552C0">
              <w:rPr>
                <w:rFonts w:eastAsia="Times New Roman" w:cstheme="minorHAnsi"/>
                <w:b/>
                <w:noProof/>
                <w:sz w:val="24"/>
                <w:szCs w:val="24"/>
              </w:rPr>
              <w:t xml:space="preserve">beneficiari  </w:t>
            </w:r>
            <w:r w:rsidRPr="001552C0">
              <w:rPr>
                <w:rFonts w:eastAsia="Times New Roman" w:cstheme="minorHAnsi"/>
                <w:noProof/>
                <w:sz w:val="24"/>
                <w:szCs w:val="24"/>
              </w:rPr>
              <w:t xml:space="preserve">sunt: Ministerul Mediului, Apelor si Pădurilor, Administrația Națională Apele Române (ANAR), </w:t>
            </w:r>
            <w:r w:rsidR="001A124C" w:rsidRPr="001552C0">
              <w:rPr>
                <w:rFonts w:eastAsia="Times New Roman" w:cstheme="minorHAnsi"/>
                <w:noProof/>
                <w:sz w:val="24"/>
                <w:szCs w:val="24"/>
              </w:rPr>
              <w:t xml:space="preserve">Administrația Națională de Meterologie, </w:t>
            </w:r>
            <w:r w:rsidRPr="001552C0">
              <w:rPr>
                <w:rFonts w:eastAsia="Times New Roman" w:cstheme="minorHAnsi"/>
                <w:noProof/>
                <w:sz w:val="24"/>
                <w:szCs w:val="24"/>
              </w:rPr>
              <w:t>ROMSILVA, Agenţia Naţională de Îmbunătăţiri Funciare, parteneriate între instituțiile publice centrale cu rol în gestionarea inundațiilor, precum și cu ONG-urile și alte structuri cu o anumită specializare în domeniul ecologic, care pot să asigure expertiza necesară pentru implementarea măsurilor de tip non-structural, APL</w:t>
            </w:r>
            <w:r w:rsidR="007C6002" w:rsidRPr="001552C0">
              <w:rPr>
                <w:rFonts w:eastAsia="Times New Roman" w:cstheme="minorHAnsi"/>
                <w:noProof/>
                <w:sz w:val="24"/>
                <w:szCs w:val="24"/>
              </w:rPr>
              <w:t>.</w:t>
            </w:r>
          </w:p>
          <w:p w14:paraId="6F8EF7CC" w14:textId="03CFA299" w:rsidR="00381A59" w:rsidRPr="001552C0" w:rsidRDefault="005C1BBE" w:rsidP="00106952">
            <w:pPr>
              <w:spacing w:before="120" w:after="120"/>
              <w:jc w:val="both"/>
              <w:rPr>
                <w:rFonts w:eastAsia="Times New Roman" w:cstheme="minorHAnsi"/>
                <w:b/>
                <w:noProof/>
                <w:sz w:val="24"/>
                <w:szCs w:val="24"/>
              </w:rPr>
            </w:pPr>
            <w:r>
              <w:rPr>
                <w:rFonts w:eastAsia="Times New Roman" w:cstheme="minorHAnsi"/>
                <w:b/>
                <w:noProof/>
                <w:sz w:val="24"/>
                <w:szCs w:val="24"/>
              </w:rPr>
              <w:t xml:space="preserve">Acțiunea </w:t>
            </w:r>
            <w:r w:rsidR="009064EB" w:rsidRPr="001552C0">
              <w:rPr>
                <w:rFonts w:eastAsia="Times New Roman" w:cstheme="minorHAnsi"/>
                <w:b/>
                <w:noProof/>
                <w:sz w:val="24"/>
                <w:szCs w:val="24"/>
              </w:rPr>
              <w:t>4.2</w:t>
            </w:r>
            <w:r w:rsidR="00381A59" w:rsidRPr="001552C0">
              <w:rPr>
                <w:rFonts w:eastAsia="Times New Roman" w:cstheme="minorHAnsi"/>
                <w:b/>
                <w:noProof/>
                <w:sz w:val="24"/>
                <w:szCs w:val="24"/>
              </w:rPr>
              <w:t xml:space="preserve"> </w:t>
            </w:r>
            <w:r w:rsidR="006056C1" w:rsidRPr="001552C0">
              <w:rPr>
                <w:rFonts w:eastAsia="Times New Roman" w:cstheme="minorHAnsi"/>
                <w:b/>
                <w:noProof/>
                <w:sz w:val="24"/>
                <w:szCs w:val="24"/>
              </w:rPr>
              <w:t>Combaterea e</w:t>
            </w:r>
            <w:r w:rsidR="00381A59" w:rsidRPr="001552C0">
              <w:rPr>
                <w:rFonts w:eastAsia="Times New Roman" w:cstheme="minorHAnsi"/>
                <w:b/>
                <w:noProof/>
                <w:sz w:val="24"/>
                <w:szCs w:val="24"/>
              </w:rPr>
              <w:t>roziun</w:t>
            </w:r>
            <w:r w:rsidR="006056C1" w:rsidRPr="001552C0">
              <w:rPr>
                <w:rFonts w:eastAsia="Times New Roman" w:cstheme="minorHAnsi"/>
                <w:b/>
                <w:noProof/>
                <w:sz w:val="24"/>
                <w:szCs w:val="24"/>
              </w:rPr>
              <w:t>ii</w:t>
            </w:r>
            <w:r w:rsidR="00381A59" w:rsidRPr="001552C0">
              <w:rPr>
                <w:rFonts w:eastAsia="Times New Roman" w:cstheme="minorHAnsi"/>
                <w:b/>
                <w:noProof/>
                <w:sz w:val="24"/>
                <w:szCs w:val="24"/>
              </w:rPr>
              <w:t xml:space="preserve"> costier</w:t>
            </w:r>
            <w:r w:rsidR="006056C1" w:rsidRPr="001552C0">
              <w:rPr>
                <w:rFonts w:eastAsia="Times New Roman" w:cstheme="minorHAnsi"/>
                <w:b/>
                <w:noProof/>
                <w:sz w:val="24"/>
                <w:szCs w:val="24"/>
              </w:rPr>
              <w:t>e</w:t>
            </w:r>
          </w:p>
          <w:p w14:paraId="0C2DB6AD" w14:textId="6519B943" w:rsidR="004F69CA" w:rsidRPr="001552C0" w:rsidRDefault="004F69CA"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Un alt tip de risc punctual </w:t>
            </w:r>
            <w:r w:rsidR="00D42921" w:rsidRPr="001552C0">
              <w:rPr>
                <w:rFonts w:eastAsia="Times New Roman" w:cstheme="minorHAnsi"/>
                <w:noProof/>
                <w:sz w:val="24"/>
                <w:szCs w:val="24"/>
              </w:rPr>
              <w:t>menționat</w:t>
            </w:r>
            <w:r w:rsidRPr="001552C0">
              <w:rPr>
                <w:rFonts w:eastAsia="Times New Roman" w:cstheme="minorHAnsi"/>
                <w:noProof/>
                <w:sz w:val="24"/>
                <w:szCs w:val="24"/>
              </w:rPr>
              <w:t xml:space="preserve"> în evaluarea națională a riscurilor este </w:t>
            </w:r>
            <w:r w:rsidRPr="001552C0">
              <w:rPr>
                <w:rFonts w:eastAsia="Times New Roman" w:cstheme="minorHAnsi"/>
                <w:b/>
                <w:noProof/>
                <w:sz w:val="24"/>
                <w:szCs w:val="24"/>
              </w:rPr>
              <w:t>eroziunea costieră</w:t>
            </w:r>
            <w:r w:rsidRPr="001552C0">
              <w:rPr>
                <w:rFonts w:eastAsia="Times New Roman" w:cstheme="minorHAnsi"/>
                <w:noProof/>
                <w:sz w:val="24"/>
                <w:szCs w:val="24"/>
              </w:rPr>
              <w:t>. Aceasta determină pierderea unor terenuri deosebit de valoroase, pierdere care afectează ecosistemele costiere şi aduce pagube economice şi sociale zonei. Luând în considerare aceste aspecte, în anul 2012, a fost aprobat la nivelul ANAR, un Master Plan pentru ”Protecţia şi refacerea zonei costiere” care este orientat pe termen lung – 30-50 de ani, conform Directivei 2008/56/CE a Parlamentului European și a Consiliului din 17 iunie 2008 de instituire a unui cadru de acțiune comunitară în domeniul politicii privind mediul marin.</w:t>
            </w:r>
          </w:p>
          <w:p w14:paraId="6D806FB5" w14:textId="259D4966" w:rsidR="004F69CA" w:rsidRPr="001552C0" w:rsidRDefault="004F69CA"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Principalele lucrări de investiții propuse în Master Plan au fost structurate în pachete de proiecte necesar a fi implementate pe terme scurt, mediu și lung. Astfel, în perioada 2013-2015 a fost implementată faza I (termen scurt) prin proiecte implementate prin POS Mediu, fiind protejată o lungime de coastă de 7,3 km și mărită suprafața plajelor cu 60,66 ha.</w:t>
            </w:r>
            <w:r w:rsidR="00207B14" w:rsidRPr="001552C0">
              <w:rPr>
                <w:rFonts w:eastAsia="Times New Roman" w:cstheme="minorHAnsi"/>
                <w:noProof/>
                <w:sz w:val="24"/>
                <w:szCs w:val="24"/>
              </w:rPr>
              <w:t xml:space="preserve"> </w:t>
            </w:r>
            <w:r w:rsidRPr="001552C0">
              <w:rPr>
                <w:rFonts w:eastAsia="Times New Roman" w:cstheme="minorHAnsi"/>
                <w:noProof/>
                <w:sz w:val="24"/>
                <w:szCs w:val="24"/>
              </w:rPr>
              <w:t xml:space="preserve">Faza a II- a Master Planului este implementată prin POIM, fiind semnat contractul de finanțare pentru implementarea proiectului major ”Reducerea eroziunii costiere FAZA II”. Proiectul se </w:t>
            </w:r>
            <w:r w:rsidRPr="001552C0">
              <w:rPr>
                <w:rFonts w:eastAsia="Times New Roman" w:cstheme="minorHAnsi"/>
                <w:noProof/>
                <w:sz w:val="24"/>
                <w:szCs w:val="24"/>
              </w:rPr>
              <w:lastRenderedPageBreak/>
              <w:t>află în implementare, având ca te</w:t>
            </w:r>
            <w:r w:rsidR="00207B14" w:rsidRPr="001552C0">
              <w:rPr>
                <w:rFonts w:eastAsia="Times New Roman" w:cstheme="minorHAnsi"/>
                <w:noProof/>
                <w:sz w:val="24"/>
                <w:szCs w:val="24"/>
              </w:rPr>
              <w:t xml:space="preserve">rmen final 2023, </w:t>
            </w:r>
            <w:r w:rsidR="000B27F3">
              <w:rPr>
                <w:rFonts w:eastAsia="Times New Roman" w:cstheme="minorHAnsi"/>
                <w:noProof/>
                <w:sz w:val="24"/>
                <w:szCs w:val="24"/>
              </w:rPr>
              <w:t>î</w:t>
            </w:r>
            <w:r w:rsidR="00207B14" w:rsidRPr="001552C0">
              <w:rPr>
                <w:rFonts w:eastAsia="Times New Roman" w:cstheme="minorHAnsi"/>
                <w:noProof/>
                <w:sz w:val="24"/>
                <w:szCs w:val="24"/>
              </w:rPr>
              <w:t>ns</w:t>
            </w:r>
            <w:r w:rsidR="000B27F3">
              <w:rPr>
                <w:rFonts w:eastAsia="Times New Roman" w:cstheme="minorHAnsi"/>
                <w:noProof/>
                <w:sz w:val="24"/>
                <w:szCs w:val="24"/>
              </w:rPr>
              <w:t>ă</w:t>
            </w:r>
            <w:r w:rsidR="00207B14" w:rsidRPr="001552C0">
              <w:rPr>
                <w:rFonts w:eastAsia="Times New Roman" w:cstheme="minorHAnsi"/>
                <w:noProof/>
                <w:sz w:val="24"/>
                <w:szCs w:val="24"/>
              </w:rPr>
              <w:t xml:space="preserve"> este posibil sa fie nevoie de o implementare pe durata a 2 perioade de programare financiar</w:t>
            </w:r>
            <w:r w:rsidR="000B27F3">
              <w:rPr>
                <w:rFonts w:eastAsia="Times New Roman" w:cstheme="minorHAnsi"/>
                <w:noProof/>
                <w:sz w:val="24"/>
                <w:szCs w:val="24"/>
              </w:rPr>
              <w:t>ă</w:t>
            </w:r>
            <w:r w:rsidR="00207B14" w:rsidRPr="001552C0">
              <w:rPr>
                <w:rFonts w:eastAsia="Times New Roman" w:cstheme="minorHAnsi"/>
                <w:noProof/>
                <w:sz w:val="24"/>
                <w:szCs w:val="24"/>
              </w:rPr>
              <w:t>.</w:t>
            </w:r>
          </w:p>
          <w:p w14:paraId="76B53CC5" w14:textId="1E159337" w:rsidR="00B03ABF" w:rsidRPr="001552C0" w:rsidRDefault="00B03ABF"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Astfel, prin PODD se au </w:t>
            </w:r>
            <w:r w:rsidR="000B27F3">
              <w:rPr>
                <w:rFonts w:eastAsia="Times New Roman" w:cstheme="minorHAnsi"/>
                <w:noProof/>
                <w:sz w:val="24"/>
                <w:szCs w:val="24"/>
              </w:rPr>
              <w:t>î</w:t>
            </w:r>
            <w:r w:rsidRPr="001552C0">
              <w:rPr>
                <w:rFonts w:eastAsia="Times New Roman" w:cstheme="minorHAnsi"/>
                <w:noProof/>
                <w:sz w:val="24"/>
                <w:szCs w:val="24"/>
              </w:rPr>
              <w:t xml:space="preserve">n vedere continuarea </w:t>
            </w:r>
            <w:r w:rsidR="005C1BBE">
              <w:rPr>
                <w:rFonts w:eastAsia="Times New Roman" w:cstheme="minorHAnsi"/>
                <w:noProof/>
                <w:sz w:val="24"/>
                <w:szCs w:val="24"/>
              </w:rPr>
              <w:t>intervențiilor/</w:t>
            </w:r>
            <w:r w:rsidRPr="001552C0">
              <w:rPr>
                <w:rFonts w:eastAsia="Times New Roman" w:cstheme="minorHAnsi"/>
                <w:noProof/>
                <w:sz w:val="24"/>
                <w:szCs w:val="24"/>
              </w:rPr>
              <w:t>măsurilor de limitare a efectelor negative ale eroziunii costiere, beneficiar fiind ANAR (</w:t>
            </w:r>
            <w:r w:rsidR="00EC2A1F" w:rsidRPr="001552C0">
              <w:rPr>
                <w:rFonts w:eastAsia="Times New Roman" w:cstheme="minorHAnsi"/>
                <w:noProof/>
                <w:sz w:val="24"/>
                <w:szCs w:val="24"/>
              </w:rPr>
              <w:t xml:space="preserve">prin </w:t>
            </w:r>
            <w:r w:rsidRPr="001552C0">
              <w:rPr>
                <w:rFonts w:eastAsia="Times New Roman" w:cstheme="minorHAnsi"/>
                <w:noProof/>
                <w:sz w:val="24"/>
                <w:szCs w:val="24"/>
              </w:rPr>
              <w:t>Administrația Bazinală de Apă Dobrogea Litoral).</w:t>
            </w:r>
          </w:p>
          <w:p w14:paraId="5D67B0EA" w14:textId="70A92802" w:rsidR="00381A59" w:rsidRPr="001552C0" w:rsidRDefault="005C1BBE" w:rsidP="00106952">
            <w:pPr>
              <w:spacing w:before="120" w:after="120"/>
              <w:jc w:val="both"/>
              <w:rPr>
                <w:rFonts w:eastAsia="Times New Roman" w:cstheme="minorHAnsi"/>
                <w:b/>
                <w:noProof/>
                <w:sz w:val="24"/>
                <w:szCs w:val="24"/>
              </w:rPr>
            </w:pPr>
            <w:r>
              <w:rPr>
                <w:rFonts w:eastAsia="Times New Roman" w:cstheme="minorHAnsi"/>
                <w:b/>
                <w:noProof/>
                <w:sz w:val="24"/>
                <w:szCs w:val="24"/>
              </w:rPr>
              <w:t xml:space="preserve">Acțiunea </w:t>
            </w:r>
            <w:r w:rsidR="00381A59" w:rsidRPr="001552C0">
              <w:rPr>
                <w:rFonts w:eastAsia="Times New Roman" w:cstheme="minorHAnsi"/>
                <w:b/>
                <w:noProof/>
                <w:sz w:val="24"/>
                <w:szCs w:val="24"/>
              </w:rPr>
              <w:t>4.</w:t>
            </w:r>
            <w:r w:rsidR="009064EB" w:rsidRPr="001552C0">
              <w:rPr>
                <w:rFonts w:eastAsia="Times New Roman" w:cstheme="minorHAnsi"/>
                <w:b/>
                <w:noProof/>
                <w:sz w:val="24"/>
                <w:szCs w:val="24"/>
              </w:rPr>
              <w:t>3</w:t>
            </w:r>
            <w:r w:rsidR="00381A59" w:rsidRPr="001552C0">
              <w:rPr>
                <w:rFonts w:eastAsia="Times New Roman" w:cstheme="minorHAnsi"/>
                <w:b/>
                <w:noProof/>
                <w:sz w:val="24"/>
                <w:szCs w:val="24"/>
              </w:rPr>
              <w:t xml:space="preserve"> </w:t>
            </w:r>
            <w:r w:rsidR="00E247A3" w:rsidRPr="001552C0">
              <w:rPr>
                <w:rFonts w:eastAsia="Times New Roman" w:cstheme="minorHAnsi"/>
                <w:b/>
                <w:noProof/>
                <w:sz w:val="24"/>
                <w:szCs w:val="24"/>
              </w:rPr>
              <w:t>Îmbun</w:t>
            </w:r>
            <w:r w:rsidR="005F2563" w:rsidRPr="001552C0">
              <w:rPr>
                <w:rFonts w:eastAsia="Times New Roman" w:cstheme="minorHAnsi"/>
                <w:b/>
                <w:noProof/>
                <w:sz w:val="24"/>
                <w:szCs w:val="24"/>
              </w:rPr>
              <w:t xml:space="preserve">ătățirea </w:t>
            </w:r>
            <w:r w:rsidR="00E247A3" w:rsidRPr="001552C0">
              <w:rPr>
                <w:rFonts w:eastAsia="Times New Roman" w:cstheme="minorHAnsi"/>
                <w:b/>
                <w:noProof/>
                <w:sz w:val="24"/>
                <w:szCs w:val="24"/>
              </w:rPr>
              <w:t>sistemului de m</w:t>
            </w:r>
            <w:r w:rsidR="00381A59" w:rsidRPr="001552C0">
              <w:rPr>
                <w:rFonts w:eastAsia="Times New Roman" w:cstheme="minorHAnsi"/>
                <w:b/>
                <w:noProof/>
                <w:sz w:val="24"/>
                <w:szCs w:val="24"/>
              </w:rPr>
              <w:t>anagementul riscurilor</w:t>
            </w:r>
          </w:p>
          <w:p w14:paraId="16B83638" w14:textId="47B3DB6B" w:rsidR="000907D5" w:rsidRPr="001552C0" w:rsidRDefault="000907D5"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 xml:space="preserve">În ceea ce privește </w:t>
            </w:r>
            <w:r w:rsidRPr="001552C0">
              <w:rPr>
                <w:rFonts w:eastAsia="Times New Roman" w:cstheme="minorHAnsi"/>
                <w:b/>
                <w:noProof/>
                <w:sz w:val="24"/>
                <w:szCs w:val="24"/>
              </w:rPr>
              <w:t>managementul riscurilor</w:t>
            </w:r>
            <w:r w:rsidRPr="001552C0">
              <w:rPr>
                <w:rFonts w:eastAsia="Times New Roman" w:cstheme="minorHAnsi"/>
                <w:noProof/>
                <w:sz w:val="24"/>
                <w:szCs w:val="24"/>
              </w:rPr>
              <w:t>, este în continuare nevoie de investiții în vederea asigurării unei societăți reziliente la riscuri și dezastre și adaptată la realitatea operațională. Astfel</w:t>
            </w:r>
            <w:r w:rsidR="00B815F2" w:rsidRPr="001552C0">
              <w:rPr>
                <w:rFonts w:eastAsia="Times New Roman" w:cstheme="minorHAnsi"/>
                <w:noProof/>
                <w:sz w:val="24"/>
                <w:szCs w:val="24"/>
              </w:rPr>
              <w:t>,</w:t>
            </w:r>
            <w:r w:rsidRPr="001552C0">
              <w:rPr>
                <w:rFonts w:eastAsia="Times New Roman" w:cstheme="minorHAnsi"/>
                <w:noProof/>
                <w:sz w:val="24"/>
                <w:szCs w:val="24"/>
              </w:rPr>
              <w:t xml:space="preserve"> sunt necesare investiții ținând seama de nevoia comunității de a se adapta și recupera după un dezastru prin menținerea și reabilitarea structurilor și funcțiilor sale esențiale. </w:t>
            </w:r>
          </w:p>
          <w:p w14:paraId="0A732030" w14:textId="337D71B0" w:rsidR="00207B14" w:rsidRPr="001552C0" w:rsidRDefault="00207B14"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Strategia de consolidare şi dezvoltare a Inspectoratului General pentru Situaţii de Urgenţă pentru perioada 2016-2025, aprobată prin HG 951/2016,</w:t>
            </w:r>
            <w:r w:rsidR="00B815F2" w:rsidRPr="001552C0">
              <w:rPr>
                <w:rFonts w:eastAsia="Times New Roman" w:cstheme="minorHAnsi"/>
                <w:noProof/>
                <w:sz w:val="24"/>
                <w:szCs w:val="24"/>
              </w:rPr>
              <w:t xml:space="preserve"> are ca obiectiv fundamental consolidarea și dezvoltarea IGSU în vederea creșterii capacității operaționale și de răspuns, reducerii impactului efectelor situațiilor de urgență asupra comunităților și îmbunătățirii calității misiunilor executate în folosul populației.</w:t>
            </w:r>
          </w:p>
          <w:p w14:paraId="3404C136" w14:textId="77777777" w:rsidR="000907D5" w:rsidRPr="001552C0" w:rsidRDefault="000907D5"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Prin concepția de pregătire a Inspectoratului General pentru Situaţii de Urgenţă (IGSU) sunt stabilite specializările necesare îndeplinirii tipurilor de misiuni din competență, care necesită o rețea de 21 centre de pregătire, dintre care până la finalul perioadei de programare 2014-2020 vor fi realizate 5, reprezentând 23%. Din această perspectivă, pentru perioada de programare 2021-2027, IGSU vizează realizare a încă 10 centre de pregătire. Centrele vor fi destinate atât pregătirii și evaluării competențelor personalului profesionist aparţinând IGSU, asigurând în același timp și pregătirea celorlalte instituții care asigură funcții de sprijin pe timpul situațiilor de urgență, respectiv pregătirea voluntarilor cooptați de IGSU prin programul „Fii voluntar”.</w:t>
            </w:r>
          </w:p>
          <w:p w14:paraId="1A2A697A" w14:textId="415984F9" w:rsidR="000907D5" w:rsidRPr="001552C0" w:rsidRDefault="000907D5" w:rsidP="00106952">
            <w:pPr>
              <w:spacing w:before="120" w:after="120"/>
              <w:jc w:val="both"/>
              <w:rPr>
                <w:rFonts w:eastAsia="Times New Roman" w:cstheme="minorHAnsi"/>
                <w:noProof/>
                <w:sz w:val="24"/>
                <w:szCs w:val="24"/>
              </w:rPr>
            </w:pPr>
            <w:r w:rsidRPr="001552C0">
              <w:rPr>
                <w:rFonts w:eastAsia="Times New Roman" w:cstheme="minorHAnsi"/>
                <w:noProof/>
                <w:sz w:val="24"/>
                <w:szCs w:val="24"/>
              </w:rPr>
              <w:t>Totodată, potrivit analizei situației logistice a IGSU la nivelul anului 20</w:t>
            </w:r>
            <w:r w:rsidR="00F84C27" w:rsidRPr="001552C0">
              <w:rPr>
                <w:rFonts w:eastAsia="Times New Roman" w:cstheme="minorHAnsi"/>
                <w:noProof/>
                <w:sz w:val="24"/>
                <w:szCs w:val="24"/>
              </w:rPr>
              <w:t>22</w:t>
            </w:r>
            <w:r w:rsidRPr="001552C0">
              <w:rPr>
                <w:rFonts w:eastAsia="Times New Roman" w:cstheme="minorHAnsi"/>
                <w:noProof/>
                <w:sz w:val="24"/>
                <w:szCs w:val="24"/>
              </w:rPr>
              <w:t>, aproximativ 20 % din tehnica de intervenție va avea durata normată de viață consumată la finalul anului 2020, ajungând uzate din punct de vedere fizic și moral, motiv pentru care în perioada de programare 2021-2027 trebuie continuat procesul de dotare cu mijloace tehnice și echipamente</w:t>
            </w:r>
            <w:r w:rsidR="00B03ABF" w:rsidRPr="001552C0">
              <w:rPr>
                <w:rFonts w:eastAsia="Times New Roman" w:cstheme="minorHAnsi"/>
                <w:noProof/>
                <w:sz w:val="24"/>
                <w:szCs w:val="24"/>
              </w:rPr>
              <w:t>.</w:t>
            </w:r>
          </w:p>
          <w:p w14:paraId="0C9E1074" w14:textId="3CBD718F" w:rsidR="00990057" w:rsidRPr="001552C0" w:rsidRDefault="00136B42" w:rsidP="00106952">
            <w:pPr>
              <w:spacing w:before="120" w:after="120"/>
              <w:contextualSpacing/>
              <w:jc w:val="both"/>
              <w:rPr>
                <w:rFonts w:eastAsia="Times New Roman" w:cstheme="minorHAnsi"/>
                <w:b/>
                <w:noProof/>
                <w:sz w:val="24"/>
                <w:szCs w:val="24"/>
              </w:rPr>
            </w:pPr>
            <w:r w:rsidRPr="001552C0">
              <w:rPr>
                <w:rFonts w:cstheme="minorHAnsi"/>
                <w:sz w:val="24"/>
                <w:szCs w:val="24"/>
              </w:rPr>
              <w:t>Ținând</w:t>
            </w:r>
            <w:r w:rsidR="008B030E" w:rsidRPr="001552C0">
              <w:rPr>
                <w:rFonts w:cstheme="minorHAnsi"/>
                <w:sz w:val="24"/>
                <w:szCs w:val="24"/>
              </w:rPr>
              <w:t xml:space="preserve"> seama de cele de mai sus, </w:t>
            </w:r>
            <w:r w:rsidR="00603627" w:rsidRPr="001552C0">
              <w:rPr>
                <w:rFonts w:cstheme="minorHAnsi"/>
                <w:b/>
                <w:sz w:val="24"/>
                <w:szCs w:val="24"/>
              </w:rPr>
              <w:t xml:space="preserve">tipurile majore de </w:t>
            </w:r>
            <w:r w:rsidR="005C1BBE">
              <w:rPr>
                <w:rFonts w:cstheme="minorHAnsi"/>
                <w:b/>
                <w:sz w:val="24"/>
                <w:szCs w:val="24"/>
              </w:rPr>
              <w:t>intervenții</w:t>
            </w:r>
            <w:r w:rsidR="005C1BBE" w:rsidRPr="005C1BBE">
              <w:rPr>
                <w:rFonts w:cstheme="minorHAnsi"/>
                <w:b/>
                <w:sz w:val="24"/>
                <w:szCs w:val="24"/>
              </w:rPr>
              <w:t>/măsuri</w:t>
            </w:r>
            <w:r w:rsidR="00603627" w:rsidRPr="001552C0">
              <w:rPr>
                <w:rFonts w:cstheme="minorHAnsi"/>
                <w:sz w:val="24"/>
                <w:szCs w:val="24"/>
              </w:rPr>
              <w:t xml:space="preserve"> avute </w:t>
            </w:r>
            <w:r w:rsidR="008B030E" w:rsidRPr="001552C0">
              <w:rPr>
                <w:rFonts w:cstheme="minorHAnsi"/>
                <w:sz w:val="24"/>
                <w:szCs w:val="24"/>
              </w:rPr>
              <w:t xml:space="preserve">in vedere </w:t>
            </w:r>
            <w:r w:rsidR="008B030E" w:rsidRPr="001552C0">
              <w:rPr>
                <w:rFonts w:cstheme="minorHAnsi"/>
                <w:b/>
                <w:sz w:val="24"/>
                <w:szCs w:val="24"/>
              </w:rPr>
              <w:t>sprijinirea m</w:t>
            </w:r>
            <w:r w:rsidR="00990057" w:rsidRPr="001552C0">
              <w:rPr>
                <w:rFonts w:cstheme="minorHAnsi"/>
                <w:b/>
                <w:sz w:val="24"/>
                <w:szCs w:val="24"/>
              </w:rPr>
              <w:t>ăsuri</w:t>
            </w:r>
            <w:r w:rsidR="008B030E" w:rsidRPr="001552C0">
              <w:rPr>
                <w:rFonts w:cstheme="minorHAnsi"/>
                <w:b/>
                <w:sz w:val="24"/>
                <w:szCs w:val="24"/>
              </w:rPr>
              <w:t>lor</w:t>
            </w:r>
            <w:r w:rsidR="00990057" w:rsidRPr="001552C0">
              <w:rPr>
                <w:rFonts w:cstheme="minorHAnsi"/>
                <w:b/>
                <w:sz w:val="24"/>
                <w:szCs w:val="24"/>
              </w:rPr>
              <w:t xml:space="preserve"> pentru sistemul de gestionare a riscurilor, </w:t>
            </w:r>
            <w:r w:rsidR="008B030E" w:rsidRPr="001552C0">
              <w:rPr>
                <w:rFonts w:cstheme="minorHAnsi"/>
                <w:b/>
                <w:sz w:val="24"/>
                <w:szCs w:val="24"/>
              </w:rPr>
              <w:t>i</w:t>
            </w:r>
            <w:r w:rsidR="00990057" w:rsidRPr="001552C0">
              <w:rPr>
                <w:rFonts w:cstheme="minorHAnsi"/>
                <w:b/>
                <w:sz w:val="24"/>
                <w:szCs w:val="24"/>
              </w:rPr>
              <w:t>nclusiv creșterea rezilienței la nivel național și adaptarea continuă la realitatea operațională</w:t>
            </w:r>
            <w:r w:rsidR="00990057" w:rsidRPr="001552C0">
              <w:rPr>
                <w:rFonts w:eastAsia="Times New Roman" w:cstheme="minorHAnsi"/>
                <w:b/>
                <w:noProof/>
                <w:sz w:val="24"/>
                <w:szCs w:val="24"/>
              </w:rPr>
              <w:t>.</w:t>
            </w:r>
          </w:p>
          <w:p w14:paraId="75ECB223" w14:textId="34A47A7A" w:rsidR="007A6BF5" w:rsidRPr="001552C0" w:rsidRDefault="00EC5511" w:rsidP="00106952">
            <w:pPr>
              <w:spacing w:before="120" w:after="120"/>
              <w:contextualSpacing/>
              <w:jc w:val="both"/>
              <w:rPr>
                <w:rFonts w:ascii="Times New Roman" w:eastAsia="Times New Roman" w:hAnsi="Times New Roman" w:cs="Times New Roman"/>
                <w:i/>
                <w:noProof/>
              </w:rPr>
            </w:pPr>
            <w:r w:rsidRPr="001552C0">
              <w:rPr>
                <w:rFonts w:eastAsia="Times New Roman" w:cstheme="minorHAnsi"/>
                <w:b/>
                <w:noProof/>
                <w:sz w:val="24"/>
                <w:szCs w:val="24"/>
              </w:rPr>
              <w:t>Beneficiari</w:t>
            </w:r>
            <w:r w:rsidR="008B030E" w:rsidRPr="001552C0">
              <w:rPr>
                <w:rFonts w:eastAsia="Times New Roman" w:cstheme="minorHAnsi"/>
                <w:b/>
                <w:noProof/>
                <w:sz w:val="24"/>
                <w:szCs w:val="24"/>
              </w:rPr>
              <w:t xml:space="preserve"> </w:t>
            </w:r>
            <w:r w:rsidR="008B030E" w:rsidRPr="001552C0">
              <w:rPr>
                <w:rFonts w:eastAsia="Times New Roman" w:cstheme="minorHAnsi"/>
                <w:noProof/>
                <w:sz w:val="24"/>
                <w:szCs w:val="24"/>
              </w:rPr>
              <w:t>ai masurilor vor fi</w:t>
            </w:r>
            <w:r w:rsidRPr="001552C0">
              <w:rPr>
                <w:rFonts w:eastAsia="Times New Roman" w:cstheme="minorHAnsi"/>
                <w:noProof/>
                <w:sz w:val="24"/>
                <w:szCs w:val="24"/>
              </w:rPr>
              <w:t xml:space="preserve"> MAI/ IGSU și structurile cu atribuţii în managementul situaţiilor de urgenţă şi asigurarea funcţiilor de sprijin, Serviciul de Telecomunicaţii Speciale (STS)</w:t>
            </w:r>
            <w:r w:rsidR="008B030E" w:rsidRPr="001552C0">
              <w:rPr>
                <w:rFonts w:eastAsia="Times New Roman" w:cstheme="minorHAnsi"/>
                <w:noProof/>
                <w:sz w:val="24"/>
                <w:szCs w:val="24"/>
              </w:rPr>
              <w:t>.</w:t>
            </w:r>
          </w:p>
        </w:tc>
      </w:tr>
    </w:tbl>
    <w:p w14:paraId="48972484" w14:textId="77777777" w:rsidR="00990057" w:rsidRPr="001552C0" w:rsidRDefault="00990057" w:rsidP="00990057">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lastRenderedPageBreak/>
        <w:t>The main target groups - Article 17(3)(d)(iii):</w:t>
      </w:r>
    </w:p>
    <w:p w14:paraId="6960C0A8" w14:textId="77777777" w:rsidR="00990057" w:rsidRPr="001552C0" w:rsidRDefault="00990057" w:rsidP="0099005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[1 000]</w:t>
      </w:r>
    </w:p>
    <w:p w14:paraId="3FCBCBAB" w14:textId="77777777" w:rsidR="00990057" w:rsidRPr="001552C0" w:rsidRDefault="00990057" w:rsidP="00990057">
      <w:pPr>
        <w:spacing w:before="120" w:after="12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lastRenderedPageBreak/>
        <w:t>Specific territories tageted, including the planned use of territorial tools – Article 17(3)(d)(iv)</w:t>
      </w:r>
    </w:p>
    <w:p w14:paraId="08512269" w14:textId="77777777" w:rsidR="00990057" w:rsidRPr="001552C0" w:rsidRDefault="00990057" w:rsidP="0099005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Text field [2 000]</w:t>
      </w:r>
    </w:p>
    <w:p w14:paraId="77318F8A" w14:textId="0B5B2207" w:rsidR="00990057" w:rsidRPr="001552C0" w:rsidRDefault="00990057" w:rsidP="00990057">
      <w:pPr>
        <w:pBdr>
          <w:top w:val="single" w:sz="4" w:space="1" w:color="auto"/>
          <w:left w:val="single" w:sz="4" w:space="4" w:color="auto"/>
          <w:bottom w:val="single" w:sz="4" w:space="1" w:color="auto"/>
          <w:right w:val="single" w:sz="4" w:space="4" w:color="auto"/>
        </w:pBdr>
        <w:spacing w:before="120" w:after="120" w:line="360" w:lineRule="auto"/>
        <w:rPr>
          <w:rFonts w:ascii="Times New Roman" w:eastAsia="Times New Roman" w:hAnsi="Times New Roman" w:cs="Times New Roman"/>
          <w:i/>
          <w:noProof/>
          <w:sz w:val="24"/>
        </w:rPr>
      </w:pPr>
      <w:r w:rsidRPr="001552C0">
        <w:rPr>
          <w:rFonts w:ascii="Times New Roman" w:eastAsia="Times New Roman" w:hAnsi="Times New Roman" w:cs="Times New Roman"/>
          <w:i/>
          <w:iCs/>
          <w:noProof/>
          <w:sz w:val="24"/>
          <w:szCs w:val="24"/>
        </w:rPr>
        <w:t xml:space="preserve"> [1 000]</w:t>
      </w:r>
    </w:p>
    <w:p w14:paraId="435C8DC7" w14:textId="77777777" w:rsidR="00990057" w:rsidRPr="001552C0" w:rsidRDefault="00990057" w:rsidP="00990057">
      <w:pPr>
        <w:spacing w:before="120" w:after="120" w:line="240" w:lineRule="auto"/>
        <w:rPr>
          <w:b/>
          <w:iCs/>
        </w:rPr>
      </w:pPr>
      <w:r w:rsidRPr="001552C0">
        <w:rPr>
          <w:b/>
          <w:iCs/>
        </w:rPr>
        <w:t>2.A.3.2 Indicators</w:t>
      </w:r>
    </w:p>
    <w:p w14:paraId="50B7F3D1" w14:textId="77777777" w:rsidR="00990057" w:rsidRPr="001552C0" w:rsidRDefault="00990057" w:rsidP="00990057">
      <w:pPr>
        <w:rPr>
          <w:b/>
          <w:bCs/>
          <w:i/>
        </w:rPr>
      </w:pPr>
      <w:r w:rsidRPr="001552C0">
        <w:rPr>
          <w:i/>
        </w:rPr>
        <w:t xml:space="preserve">Reference: Article 17(3)(d)(ii) CPR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17"/>
        <w:gridCol w:w="635"/>
        <w:gridCol w:w="1061"/>
        <w:gridCol w:w="763"/>
        <w:gridCol w:w="1368"/>
        <w:gridCol w:w="1381"/>
        <w:gridCol w:w="1049"/>
        <w:gridCol w:w="747"/>
      </w:tblGrid>
      <w:tr w:rsidR="00B96B06" w:rsidRPr="001552C0" w14:paraId="06A8A125" w14:textId="77777777" w:rsidTr="001D27CD">
        <w:trPr>
          <w:trHeight w:val="425"/>
        </w:trPr>
        <w:tc>
          <w:tcPr>
            <w:tcW w:w="5000" w:type="pct"/>
            <w:gridSpan w:val="9"/>
            <w:tcBorders>
              <w:top w:val="single" w:sz="4" w:space="0" w:color="auto"/>
              <w:left w:val="single" w:sz="4" w:space="0" w:color="auto"/>
              <w:bottom w:val="single" w:sz="4" w:space="0" w:color="auto"/>
              <w:right w:val="single" w:sz="4" w:space="0" w:color="auto"/>
            </w:tcBorders>
            <w:hideMark/>
          </w:tcPr>
          <w:p w14:paraId="3C1181AD" w14:textId="77777777" w:rsidR="00990057" w:rsidRPr="001552C0" w:rsidRDefault="00990057" w:rsidP="00990057">
            <w:pPr>
              <w:rPr>
                <w:b/>
              </w:rPr>
            </w:pPr>
            <w:r w:rsidRPr="001552C0">
              <w:rPr>
                <w:b/>
                <w:iCs/>
              </w:rPr>
              <w:t>Table 2: Output indicators</w:t>
            </w:r>
          </w:p>
        </w:tc>
      </w:tr>
      <w:tr w:rsidR="00B96B06" w:rsidRPr="001552C0" w14:paraId="4365A997" w14:textId="77777777" w:rsidTr="00E9643B">
        <w:trPr>
          <w:trHeight w:val="1647"/>
        </w:trPr>
        <w:tc>
          <w:tcPr>
            <w:tcW w:w="751" w:type="pct"/>
            <w:tcBorders>
              <w:top w:val="single" w:sz="4" w:space="0" w:color="auto"/>
              <w:left w:val="single" w:sz="4" w:space="0" w:color="auto"/>
              <w:bottom w:val="single" w:sz="4" w:space="0" w:color="auto"/>
              <w:right w:val="single" w:sz="4" w:space="0" w:color="auto"/>
            </w:tcBorders>
            <w:hideMark/>
          </w:tcPr>
          <w:p w14:paraId="0E3AAD03" w14:textId="77777777" w:rsidR="00990057" w:rsidRPr="001552C0" w:rsidRDefault="00990057" w:rsidP="00990057">
            <w:pPr>
              <w:rPr>
                <w:b/>
              </w:rPr>
            </w:pPr>
            <w:r w:rsidRPr="001552C0">
              <w:rPr>
                <w:b/>
              </w:rPr>
              <w:t xml:space="preserve">Priority </w:t>
            </w:r>
          </w:p>
        </w:tc>
        <w:tc>
          <w:tcPr>
            <w:tcW w:w="629" w:type="pct"/>
            <w:tcBorders>
              <w:top w:val="single" w:sz="4" w:space="0" w:color="auto"/>
              <w:left w:val="single" w:sz="4" w:space="0" w:color="auto"/>
              <w:bottom w:val="single" w:sz="4" w:space="0" w:color="auto"/>
              <w:right w:val="single" w:sz="4" w:space="0" w:color="auto"/>
            </w:tcBorders>
            <w:hideMark/>
          </w:tcPr>
          <w:p w14:paraId="7C0BF1C7" w14:textId="77777777" w:rsidR="00990057" w:rsidRPr="001552C0" w:rsidRDefault="00990057" w:rsidP="00990057">
            <w:pPr>
              <w:rPr>
                <w:b/>
              </w:rPr>
            </w:pPr>
            <w:r w:rsidRPr="001552C0">
              <w:rPr>
                <w:b/>
              </w:rPr>
              <w:t>Specific objective (Investment for Jobs and Growth goal or EMFF)</w:t>
            </w:r>
          </w:p>
        </w:tc>
        <w:tc>
          <w:tcPr>
            <w:tcW w:w="327" w:type="pct"/>
            <w:tcBorders>
              <w:top w:val="single" w:sz="4" w:space="0" w:color="auto"/>
              <w:left w:val="single" w:sz="4" w:space="0" w:color="auto"/>
              <w:bottom w:val="single" w:sz="4" w:space="0" w:color="auto"/>
              <w:right w:val="single" w:sz="4" w:space="0" w:color="auto"/>
            </w:tcBorders>
            <w:hideMark/>
          </w:tcPr>
          <w:p w14:paraId="71474724" w14:textId="77777777" w:rsidR="00990057" w:rsidRPr="001552C0" w:rsidRDefault="00990057" w:rsidP="00990057">
            <w:pPr>
              <w:rPr>
                <w:b/>
              </w:rPr>
            </w:pPr>
            <w:r w:rsidRPr="001552C0">
              <w:rPr>
                <w:b/>
              </w:rPr>
              <w:t>Fund</w:t>
            </w:r>
          </w:p>
        </w:tc>
        <w:tc>
          <w:tcPr>
            <w:tcW w:w="549" w:type="pct"/>
            <w:tcBorders>
              <w:top w:val="single" w:sz="4" w:space="0" w:color="auto"/>
              <w:left w:val="single" w:sz="4" w:space="0" w:color="auto"/>
              <w:bottom w:val="single" w:sz="4" w:space="0" w:color="auto"/>
              <w:right w:val="single" w:sz="4" w:space="0" w:color="auto"/>
            </w:tcBorders>
            <w:hideMark/>
          </w:tcPr>
          <w:p w14:paraId="568126FD" w14:textId="77777777" w:rsidR="00990057" w:rsidRPr="001552C0" w:rsidRDefault="00990057" w:rsidP="00990057">
            <w:pPr>
              <w:rPr>
                <w:b/>
              </w:rPr>
            </w:pPr>
            <w:r w:rsidRPr="001552C0">
              <w:rPr>
                <w:b/>
              </w:rPr>
              <w:t>Category of region</w:t>
            </w:r>
          </w:p>
        </w:tc>
        <w:tc>
          <w:tcPr>
            <w:tcW w:w="394" w:type="pct"/>
            <w:tcBorders>
              <w:top w:val="single" w:sz="4" w:space="0" w:color="auto"/>
              <w:left w:val="single" w:sz="4" w:space="0" w:color="auto"/>
              <w:bottom w:val="single" w:sz="4" w:space="0" w:color="auto"/>
              <w:right w:val="single" w:sz="4" w:space="0" w:color="auto"/>
            </w:tcBorders>
            <w:hideMark/>
          </w:tcPr>
          <w:p w14:paraId="33C19BF1" w14:textId="77777777" w:rsidR="00990057" w:rsidRPr="001552C0" w:rsidRDefault="00990057" w:rsidP="00990057">
            <w:pPr>
              <w:rPr>
                <w:b/>
              </w:rPr>
            </w:pPr>
            <w:r w:rsidRPr="001552C0">
              <w:rPr>
                <w:b/>
              </w:rPr>
              <w:t>ID [5]</w:t>
            </w:r>
          </w:p>
        </w:tc>
        <w:tc>
          <w:tcPr>
            <w:tcW w:w="708" w:type="pct"/>
            <w:tcBorders>
              <w:top w:val="single" w:sz="4" w:space="0" w:color="auto"/>
              <w:left w:val="single" w:sz="4" w:space="0" w:color="auto"/>
              <w:bottom w:val="single" w:sz="4" w:space="0" w:color="auto"/>
              <w:right w:val="single" w:sz="4" w:space="0" w:color="auto"/>
            </w:tcBorders>
            <w:hideMark/>
          </w:tcPr>
          <w:p w14:paraId="258832D6" w14:textId="77777777" w:rsidR="00990057" w:rsidRPr="001552C0" w:rsidRDefault="00990057" w:rsidP="00990057">
            <w:pPr>
              <w:rPr>
                <w:b/>
              </w:rPr>
            </w:pPr>
            <w:r w:rsidRPr="001552C0">
              <w:rPr>
                <w:b/>
              </w:rPr>
              <w:t xml:space="preserve">Indicator [255] </w:t>
            </w:r>
          </w:p>
        </w:tc>
        <w:tc>
          <w:tcPr>
            <w:tcW w:w="715" w:type="pct"/>
            <w:tcBorders>
              <w:top w:val="single" w:sz="4" w:space="0" w:color="auto"/>
              <w:left w:val="single" w:sz="4" w:space="0" w:color="auto"/>
              <w:bottom w:val="single" w:sz="4" w:space="0" w:color="auto"/>
              <w:right w:val="single" w:sz="4" w:space="0" w:color="auto"/>
            </w:tcBorders>
            <w:hideMark/>
          </w:tcPr>
          <w:p w14:paraId="7512FDC0" w14:textId="77777777" w:rsidR="00990057" w:rsidRPr="001552C0" w:rsidRDefault="00990057" w:rsidP="00990057">
            <w:pPr>
              <w:rPr>
                <w:b/>
              </w:rPr>
            </w:pPr>
            <w:r w:rsidRPr="001552C0">
              <w:rPr>
                <w:b/>
              </w:rPr>
              <w:t>Measurement unit</w:t>
            </w:r>
          </w:p>
        </w:tc>
        <w:tc>
          <w:tcPr>
            <w:tcW w:w="542" w:type="pct"/>
            <w:tcBorders>
              <w:top w:val="single" w:sz="4" w:space="0" w:color="auto"/>
              <w:left w:val="single" w:sz="4" w:space="0" w:color="auto"/>
              <w:bottom w:val="single" w:sz="4" w:space="0" w:color="auto"/>
              <w:right w:val="single" w:sz="4" w:space="0" w:color="auto"/>
            </w:tcBorders>
          </w:tcPr>
          <w:p w14:paraId="749DAFEC" w14:textId="77777777" w:rsidR="00990057" w:rsidRPr="001552C0" w:rsidRDefault="00990057" w:rsidP="00990057">
            <w:pPr>
              <w:rPr>
                <w:b/>
              </w:rPr>
            </w:pPr>
            <w:r w:rsidRPr="001552C0">
              <w:rPr>
                <w:b/>
              </w:rPr>
              <w:t>Milestone (2024)</w:t>
            </w:r>
          </w:p>
          <w:p w14:paraId="6072F6A1" w14:textId="77777777" w:rsidR="00990057" w:rsidRPr="001552C0" w:rsidRDefault="00990057" w:rsidP="00990057">
            <w:pPr>
              <w:rPr>
                <w:b/>
              </w:rPr>
            </w:pPr>
          </w:p>
        </w:tc>
        <w:tc>
          <w:tcPr>
            <w:tcW w:w="385" w:type="pct"/>
            <w:tcBorders>
              <w:top w:val="single" w:sz="4" w:space="0" w:color="auto"/>
              <w:left w:val="single" w:sz="4" w:space="0" w:color="auto"/>
              <w:bottom w:val="single" w:sz="4" w:space="0" w:color="auto"/>
              <w:right w:val="single" w:sz="4" w:space="0" w:color="auto"/>
            </w:tcBorders>
          </w:tcPr>
          <w:p w14:paraId="356C6F1B" w14:textId="77777777" w:rsidR="00990057" w:rsidRPr="001552C0" w:rsidRDefault="00990057" w:rsidP="00990057">
            <w:pPr>
              <w:rPr>
                <w:b/>
              </w:rPr>
            </w:pPr>
            <w:r w:rsidRPr="001552C0">
              <w:rPr>
                <w:b/>
              </w:rPr>
              <w:t>Target (2029)</w:t>
            </w:r>
          </w:p>
          <w:p w14:paraId="1BEF38E0" w14:textId="77777777" w:rsidR="00990057" w:rsidRPr="001552C0" w:rsidRDefault="00990057" w:rsidP="00990057">
            <w:pPr>
              <w:rPr>
                <w:b/>
              </w:rPr>
            </w:pPr>
          </w:p>
        </w:tc>
      </w:tr>
      <w:tr w:rsidR="00B96B06" w:rsidRPr="001552C0" w14:paraId="780EB93C" w14:textId="77777777" w:rsidTr="00E9643B">
        <w:trPr>
          <w:trHeight w:val="340"/>
        </w:trPr>
        <w:tc>
          <w:tcPr>
            <w:tcW w:w="751" w:type="pct"/>
            <w:tcBorders>
              <w:top w:val="single" w:sz="4" w:space="0" w:color="auto"/>
              <w:left w:val="single" w:sz="4" w:space="0" w:color="auto"/>
              <w:bottom w:val="single" w:sz="4" w:space="0" w:color="auto"/>
              <w:right w:val="single" w:sz="4" w:space="0" w:color="auto"/>
            </w:tcBorders>
          </w:tcPr>
          <w:p w14:paraId="60E97F0C" w14:textId="7697425E" w:rsidR="00990057" w:rsidRPr="001552C0" w:rsidRDefault="006056C1" w:rsidP="006056C1">
            <w:r w:rsidRPr="001552C0">
              <w:t>Prioritatea 4 Promovarea adaptării la s</w:t>
            </w:r>
            <w:r w:rsidR="00985EC5" w:rsidRPr="001552C0">
              <w:t>chimbările climatice</w:t>
            </w:r>
            <w:r w:rsidRPr="001552C0">
              <w:t xml:space="preserve"> şi </w:t>
            </w:r>
            <w:r w:rsidR="00985EC5" w:rsidRPr="001552C0">
              <w:t>managementul</w:t>
            </w:r>
            <w:r w:rsidRPr="001552C0">
              <w:t>ea riscurilor</w:t>
            </w:r>
          </w:p>
          <w:p w14:paraId="2E27D2E2" w14:textId="78BBC693" w:rsidR="006056C1" w:rsidRPr="001552C0" w:rsidRDefault="006056C1" w:rsidP="006056C1">
            <w:r w:rsidRPr="001552C0">
              <w:t>4.1 Managementul inundațiilor</w:t>
            </w:r>
          </w:p>
        </w:tc>
        <w:tc>
          <w:tcPr>
            <w:tcW w:w="629" w:type="pct"/>
            <w:tcBorders>
              <w:top w:val="single" w:sz="4" w:space="0" w:color="auto"/>
              <w:left w:val="single" w:sz="4" w:space="0" w:color="auto"/>
              <w:bottom w:val="single" w:sz="4" w:space="0" w:color="auto"/>
              <w:right w:val="single" w:sz="4" w:space="0" w:color="auto"/>
            </w:tcBorders>
          </w:tcPr>
          <w:p w14:paraId="48D1F773" w14:textId="7B770C05" w:rsidR="00990057" w:rsidRPr="001552C0" w:rsidRDefault="006056C1" w:rsidP="00BE2FBA">
            <w:r w:rsidRPr="001552C0">
              <w:t xml:space="preserve"> (iv) Promovarea adaptării la schimbările climatice, a prevenirii riscurilor și a rezilienței în urma dezastrelor</w:t>
            </w:r>
          </w:p>
        </w:tc>
        <w:tc>
          <w:tcPr>
            <w:tcW w:w="327" w:type="pct"/>
            <w:tcBorders>
              <w:top w:val="single" w:sz="4" w:space="0" w:color="auto"/>
              <w:left w:val="single" w:sz="4" w:space="0" w:color="auto"/>
              <w:bottom w:val="single" w:sz="4" w:space="0" w:color="auto"/>
              <w:right w:val="single" w:sz="4" w:space="0" w:color="auto"/>
            </w:tcBorders>
          </w:tcPr>
          <w:p w14:paraId="3A0EDE54" w14:textId="56BDDFB9" w:rsidR="00990057" w:rsidRPr="001552C0" w:rsidRDefault="006056C1" w:rsidP="00990057">
            <w:r w:rsidRPr="001552C0">
              <w:t>FEDR</w:t>
            </w:r>
          </w:p>
        </w:tc>
        <w:tc>
          <w:tcPr>
            <w:tcW w:w="549" w:type="pct"/>
            <w:tcBorders>
              <w:top w:val="single" w:sz="4" w:space="0" w:color="auto"/>
              <w:left w:val="single" w:sz="4" w:space="0" w:color="auto"/>
              <w:bottom w:val="single" w:sz="4" w:space="0" w:color="auto"/>
              <w:right w:val="single" w:sz="4" w:space="0" w:color="auto"/>
            </w:tcBorders>
          </w:tcPr>
          <w:p w14:paraId="4D3CB2D1" w14:textId="77777777" w:rsidR="00990057" w:rsidRPr="001552C0" w:rsidRDefault="006056C1" w:rsidP="00990057">
            <w:r w:rsidRPr="001552C0">
              <w:t>Mai dezvoltată</w:t>
            </w:r>
          </w:p>
          <w:p w14:paraId="67741767" w14:textId="4DC00E4F" w:rsidR="006056C1" w:rsidRPr="001552C0" w:rsidRDefault="006056C1" w:rsidP="00990057">
            <w:r w:rsidRPr="001552C0">
              <w:t>Mai puțin dezvoltată</w:t>
            </w:r>
          </w:p>
        </w:tc>
        <w:tc>
          <w:tcPr>
            <w:tcW w:w="394" w:type="pct"/>
            <w:tcBorders>
              <w:top w:val="single" w:sz="4" w:space="0" w:color="auto"/>
              <w:left w:val="single" w:sz="4" w:space="0" w:color="auto"/>
              <w:bottom w:val="single" w:sz="4" w:space="0" w:color="auto"/>
              <w:right w:val="single" w:sz="4" w:space="0" w:color="auto"/>
            </w:tcBorders>
          </w:tcPr>
          <w:p w14:paraId="6BB2B0EB" w14:textId="350C0E67" w:rsidR="00990057" w:rsidRPr="001552C0" w:rsidRDefault="00BE2FBA" w:rsidP="00990057">
            <w:pPr>
              <w:rPr>
                <w:b/>
                <w:i/>
              </w:rPr>
            </w:pPr>
            <w:r w:rsidRPr="001552C0">
              <w:t>RCO25</w:t>
            </w:r>
          </w:p>
        </w:tc>
        <w:tc>
          <w:tcPr>
            <w:tcW w:w="708" w:type="pct"/>
            <w:tcBorders>
              <w:top w:val="single" w:sz="4" w:space="0" w:color="auto"/>
              <w:left w:val="single" w:sz="4" w:space="0" w:color="auto"/>
              <w:bottom w:val="single" w:sz="4" w:space="0" w:color="auto"/>
              <w:right w:val="single" w:sz="4" w:space="0" w:color="auto"/>
            </w:tcBorders>
          </w:tcPr>
          <w:p w14:paraId="413A13CB" w14:textId="7C92D226" w:rsidR="00990057" w:rsidRPr="001552C0" w:rsidRDefault="00BE2FBA" w:rsidP="00990057">
            <w:r w:rsidRPr="001552C0">
              <w:t>Coastal strip, river bank and lakeshore flood protection newly built or consolidated</w:t>
            </w:r>
          </w:p>
        </w:tc>
        <w:tc>
          <w:tcPr>
            <w:tcW w:w="715" w:type="pct"/>
            <w:tcBorders>
              <w:top w:val="single" w:sz="4" w:space="0" w:color="auto"/>
              <w:left w:val="single" w:sz="4" w:space="0" w:color="auto"/>
              <w:bottom w:val="single" w:sz="4" w:space="0" w:color="auto"/>
              <w:right w:val="single" w:sz="4" w:space="0" w:color="auto"/>
            </w:tcBorders>
          </w:tcPr>
          <w:p w14:paraId="6C16264A" w14:textId="55F0AFF2" w:rsidR="00990057" w:rsidRPr="001552C0" w:rsidRDefault="00BE2FBA" w:rsidP="00990057">
            <w:r w:rsidRPr="001552C0">
              <w:t>km</w:t>
            </w:r>
          </w:p>
        </w:tc>
        <w:tc>
          <w:tcPr>
            <w:tcW w:w="542" w:type="pct"/>
            <w:tcBorders>
              <w:top w:val="single" w:sz="4" w:space="0" w:color="auto"/>
              <w:left w:val="single" w:sz="4" w:space="0" w:color="auto"/>
              <w:bottom w:val="single" w:sz="4" w:space="0" w:color="auto"/>
              <w:right w:val="single" w:sz="4" w:space="0" w:color="auto"/>
            </w:tcBorders>
          </w:tcPr>
          <w:p w14:paraId="28C7D307" w14:textId="20866F9C" w:rsidR="00990057" w:rsidRPr="001552C0" w:rsidRDefault="00BE2FBA" w:rsidP="00990057">
            <w:r w:rsidRPr="001552C0">
              <w:t>&gt;=0</w:t>
            </w:r>
          </w:p>
        </w:tc>
        <w:tc>
          <w:tcPr>
            <w:tcW w:w="385" w:type="pct"/>
            <w:tcBorders>
              <w:top w:val="single" w:sz="4" w:space="0" w:color="auto"/>
              <w:left w:val="single" w:sz="4" w:space="0" w:color="auto"/>
              <w:bottom w:val="single" w:sz="4" w:space="0" w:color="auto"/>
              <w:right w:val="single" w:sz="4" w:space="0" w:color="auto"/>
            </w:tcBorders>
          </w:tcPr>
          <w:p w14:paraId="14F78DFC" w14:textId="65F4182C" w:rsidR="00990057" w:rsidRPr="001552C0" w:rsidRDefault="00BE2FBA" w:rsidP="00990057">
            <w:r w:rsidRPr="001552C0">
              <w:t>&gt;0</w:t>
            </w:r>
          </w:p>
        </w:tc>
      </w:tr>
      <w:tr w:rsidR="00B96B06" w:rsidRPr="001552C0" w14:paraId="4757D900" w14:textId="77777777" w:rsidTr="00E9643B">
        <w:trPr>
          <w:trHeight w:val="332"/>
        </w:trPr>
        <w:tc>
          <w:tcPr>
            <w:tcW w:w="751" w:type="pct"/>
            <w:tcBorders>
              <w:top w:val="single" w:sz="4" w:space="0" w:color="auto"/>
              <w:left w:val="single" w:sz="4" w:space="0" w:color="auto"/>
              <w:bottom w:val="single" w:sz="4" w:space="0" w:color="auto"/>
              <w:right w:val="single" w:sz="4" w:space="0" w:color="auto"/>
            </w:tcBorders>
          </w:tcPr>
          <w:p w14:paraId="49BBD4A5" w14:textId="75E81219" w:rsidR="00BE2FBA" w:rsidRPr="001552C0" w:rsidRDefault="00BE2FBA" w:rsidP="00A446DA">
            <w:r w:rsidRPr="001552C0">
              <w:t xml:space="preserve">Prioritatea 4 Promovarea adaptării la schimbările climatice şi </w:t>
            </w:r>
            <w:r w:rsidR="00985EC5" w:rsidRPr="001552C0">
              <w:t xml:space="preserve">managementul </w:t>
            </w:r>
            <w:r w:rsidRPr="001552C0">
              <w:t>riscurilor</w:t>
            </w:r>
          </w:p>
          <w:p w14:paraId="67E537F1" w14:textId="77594917" w:rsidR="00BE2FBA" w:rsidRPr="001552C0" w:rsidRDefault="00BE2FBA" w:rsidP="00990057">
            <w:r w:rsidRPr="001552C0">
              <w:t>4.2 Managementul secetei</w:t>
            </w:r>
          </w:p>
        </w:tc>
        <w:tc>
          <w:tcPr>
            <w:tcW w:w="629" w:type="pct"/>
            <w:tcBorders>
              <w:top w:val="single" w:sz="4" w:space="0" w:color="auto"/>
              <w:left w:val="single" w:sz="4" w:space="0" w:color="auto"/>
              <w:bottom w:val="single" w:sz="4" w:space="0" w:color="auto"/>
              <w:right w:val="single" w:sz="4" w:space="0" w:color="auto"/>
            </w:tcBorders>
          </w:tcPr>
          <w:p w14:paraId="4A556629" w14:textId="77777777" w:rsidR="00BE2FBA" w:rsidRPr="001552C0" w:rsidRDefault="00BE2FBA" w:rsidP="00A446DA">
            <w:r w:rsidRPr="001552C0">
              <w:t xml:space="preserve"> (iv) Promovarea adaptării la schimbările climatice, a prevenirii riscurilor și a </w:t>
            </w:r>
            <w:r w:rsidRPr="001552C0">
              <w:lastRenderedPageBreak/>
              <w:t>rezilienței în urma dezastrelor</w:t>
            </w:r>
          </w:p>
          <w:p w14:paraId="5FA01036" w14:textId="77777777" w:rsidR="00BE2FBA" w:rsidRPr="001552C0" w:rsidRDefault="00BE2FBA" w:rsidP="00990057"/>
        </w:tc>
        <w:tc>
          <w:tcPr>
            <w:tcW w:w="327" w:type="pct"/>
            <w:tcBorders>
              <w:top w:val="single" w:sz="4" w:space="0" w:color="auto"/>
              <w:left w:val="single" w:sz="4" w:space="0" w:color="auto"/>
              <w:bottom w:val="single" w:sz="4" w:space="0" w:color="auto"/>
              <w:right w:val="single" w:sz="4" w:space="0" w:color="auto"/>
            </w:tcBorders>
          </w:tcPr>
          <w:p w14:paraId="1A9AC488" w14:textId="493D108E" w:rsidR="00BE2FBA" w:rsidRPr="001552C0" w:rsidRDefault="00BE2FBA" w:rsidP="00990057">
            <w:r w:rsidRPr="001552C0">
              <w:lastRenderedPageBreak/>
              <w:t>FEDR</w:t>
            </w:r>
          </w:p>
        </w:tc>
        <w:tc>
          <w:tcPr>
            <w:tcW w:w="549" w:type="pct"/>
            <w:tcBorders>
              <w:top w:val="single" w:sz="4" w:space="0" w:color="auto"/>
              <w:left w:val="single" w:sz="4" w:space="0" w:color="auto"/>
              <w:bottom w:val="single" w:sz="4" w:space="0" w:color="auto"/>
              <w:right w:val="single" w:sz="4" w:space="0" w:color="auto"/>
            </w:tcBorders>
          </w:tcPr>
          <w:p w14:paraId="46B0F35F" w14:textId="77777777" w:rsidR="00BE2FBA" w:rsidRPr="001552C0" w:rsidRDefault="00BE2FBA" w:rsidP="00A446DA">
            <w:r w:rsidRPr="001552C0">
              <w:t>Mai dezvoltată</w:t>
            </w:r>
          </w:p>
          <w:p w14:paraId="3E7251E0" w14:textId="0D7570E9" w:rsidR="00BE2FBA" w:rsidRPr="001552C0" w:rsidRDefault="00BE2FBA" w:rsidP="00990057">
            <w:r w:rsidRPr="001552C0">
              <w:t>Mai puțin dezvoltată</w:t>
            </w:r>
          </w:p>
        </w:tc>
        <w:tc>
          <w:tcPr>
            <w:tcW w:w="394" w:type="pct"/>
            <w:tcBorders>
              <w:top w:val="single" w:sz="4" w:space="0" w:color="auto"/>
              <w:left w:val="single" w:sz="4" w:space="0" w:color="auto"/>
              <w:bottom w:val="single" w:sz="4" w:space="0" w:color="auto"/>
              <w:right w:val="single" w:sz="4" w:space="0" w:color="auto"/>
            </w:tcBorders>
          </w:tcPr>
          <w:p w14:paraId="42BBC841" w14:textId="4E431D1E" w:rsidR="00BE2FBA" w:rsidRPr="001552C0" w:rsidRDefault="00BE2FBA" w:rsidP="00990057">
            <w:pPr>
              <w:rPr>
                <w:b/>
                <w:i/>
              </w:rPr>
            </w:pPr>
            <w:r w:rsidRPr="001552C0">
              <w:t>RCO26</w:t>
            </w:r>
          </w:p>
        </w:tc>
        <w:tc>
          <w:tcPr>
            <w:tcW w:w="708" w:type="pct"/>
            <w:tcBorders>
              <w:top w:val="single" w:sz="4" w:space="0" w:color="auto"/>
              <w:left w:val="single" w:sz="4" w:space="0" w:color="auto"/>
              <w:bottom w:val="single" w:sz="4" w:space="0" w:color="auto"/>
              <w:right w:val="single" w:sz="4" w:space="0" w:color="auto"/>
            </w:tcBorders>
          </w:tcPr>
          <w:p w14:paraId="38FE4333" w14:textId="4B09AB50" w:rsidR="00BE2FBA" w:rsidRPr="001552C0" w:rsidRDefault="00BE2FBA" w:rsidP="00990057">
            <w:pPr>
              <w:rPr>
                <w:b/>
                <w:i/>
              </w:rPr>
            </w:pPr>
            <w:r w:rsidRPr="001552C0">
              <w:t>Green infrastructure built or upgraded for adaptation to climate change</w:t>
            </w:r>
          </w:p>
        </w:tc>
        <w:tc>
          <w:tcPr>
            <w:tcW w:w="715" w:type="pct"/>
            <w:tcBorders>
              <w:top w:val="single" w:sz="4" w:space="0" w:color="auto"/>
              <w:left w:val="single" w:sz="4" w:space="0" w:color="auto"/>
              <w:bottom w:val="single" w:sz="4" w:space="0" w:color="auto"/>
              <w:right w:val="single" w:sz="4" w:space="0" w:color="auto"/>
            </w:tcBorders>
          </w:tcPr>
          <w:p w14:paraId="0D64D059" w14:textId="6E5B9E4C" w:rsidR="00BE2FBA" w:rsidRPr="001552C0" w:rsidRDefault="00BE2FBA" w:rsidP="00990057">
            <w:pPr>
              <w:rPr>
                <w:b/>
                <w:i/>
              </w:rPr>
            </w:pPr>
            <w:r w:rsidRPr="001552C0">
              <w:t>hectare</w:t>
            </w:r>
          </w:p>
        </w:tc>
        <w:tc>
          <w:tcPr>
            <w:tcW w:w="542" w:type="pct"/>
            <w:tcBorders>
              <w:top w:val="single" w:sz="4" w:space="0" w:color="auto"/>
              <w:left w:val="single" w:sz="4" w:space="0" w:color="auto"/>
              <w:bottom w:val="single" w:sz="4" w:space="0" w:color="auto"/>
              <w:right w:val="single" w:sz="4" w:space="0" w:color="auto"/>
            </w:tcBorders>
          </w:tcPr>
          <w:p w14:paraId="6F99B17C" w14:textId="08A4C78F" w:rsidR="00BE2FBA" w:rsidRPr="001552C0" w:rsidRDefault="00BE2FBA" w:rsidP="00990057">
            <w:pPr>
              <w:rPr>
                <w:b/>
              </w:rPr>
            </w:pPr>
            <w:r w:rsidRPr="001552C0">
              <w:t>&gt;=0</w:t>
            </w:r>
          </w:p>
        </w:tc>
        <w:tc>
          <w:tcPr>
            <w:tcW w:w="385" w:type="pct"/>
            <w:tcBorders>
              <w:top w:val="single" w:sz="4" w:space="0" w:color="auto"/>
              <w:left w:val="single" w:sz="4" w:space="0" w:color="auto"/>
              <w:bottom w:val="single" w:sz="4" w:space="0" w:color="auto"/>
              <w:right w:val="single" w:sz="4" w:space="0" w:color="auto"/>
            </w:tcBorders>
          </w:tcPr>
          <w:p w14:paraId="763AC300" w14:textId="34885CC4" w:rsidR="00BE2FBA" w:rsidRPr="001552C0" w:rsidRDefault="00BE2FBA" w:rsidP="00990057">
            <w:pPr>
              <w:rPr>
                <w:b/>
              </w:rPr>
            </w:pPr>
            <w:r w:rsidRPr="001552C0">
              <w:t>&gt;0</w:t>
            </w:r>
          </w:p>
        </w:tc>
      </w:tr>
      <w:tr w:rsidR="00985EC5" w:rsidRPr="001552C0" w14:paraId="19332790" w14:textId="77777777" w:rsidTr="00E9643B">
        <w:trPr>
          <w:trHeight w:val="332"/>
        </w:trPr>
        <w:tc>
          <w:tcPr>
            <w:tcW w:w="751" w:type="pct"/>
            <w:tcBorders>
              <w:top w:val="single" w:sz="4" w:space="0" w:color="auto"/>
              <w:left w:val="single" w:sz="4" w:space="0" w:color="auto"/>
              <w:bottom w:val="single" w:sz="4" w:space="0" w:color="auto"/>
              <w:right w:val="single" w:sz="4" w:space="0" w:color="auto"/>
            </w:tcBorders>
          </w:tcPr>
          <w:p w14:paraId="28114460" w14:textId="2C2C60D9" w:rsidR="00101CBB" w:rsidRPr="001552C0" w:rsidRDefault="00101CBB" w:rsidP="00A446DA">
            <w:r w:rsidRPr="001552C0">
              <w:lastRenderedPageBreak/>
              <w:t>Prioritatea 4 Promovarea adap</w:t>
            </w:r>
            <w:r w:rsidR="00985EC5" w:rsidRPr="001552C0">
              <w:t>tării la schimbările climatice şi managementul</w:t>
            </w:r>
            <w:r w:rsidRPr="001552C0">
              <w:t xml:space="preserve"> riscurilor</w:t>
            </w:r>
          </w:p>
          <w:p w14:paraId="10FBDAB8" w14:textId="692AA4EB" w:rsidR="00101CBB" w:rsidRPr="001552C0" w:rsidRDefault="00101CBB">
            <w:r w:rsidRPr="001552C0">
              <w:t>4.3 Combaterea eroziunii costiere</w:t>
            </w:r>
          </w:p>
        </w:tc>
        <w:tc>
          <w:tcPr>
            <w:tcW w:w="629" w:type="pct"/>
            <w:tcBorders>
              <w:top w:val="single" w:sz="4" w:space="0" w:color="auto"/>
              <w:left w:val="single" w:sz="4" w:space="0" w:color="auto"/>
              <w:bottom w:val="single" w:sz="4" w:space="0" w:color="auto"/>
              <w:right w:val="single" w:sz="4" w:space="0" w:color="auto"/>
            </w:tcBorders>
          </w:tcPr>
          <w:p w14:paraId="6E13C108" w14:textId="77777777" w:rsidR="00101CBB" w:rsidRPr="001552C0" w:rsidRDefault="00101CBB" w:rsidP="00A446DA">
            <w:r w:rsidRPr="001552C0">
              <w:t xml:space="preserve"> (iv) Promovarea adaptării la schimbările climatice, a prevenirii riscurilor și a rezilienței în urma dezastrelor</w:t>
            </w:r>
          </w:p>
          <w:p w14:paraId="2902874F" w14:textId="77777777" w:rsidR="00101CBB" w:rsidRPr="001552C0" w:rsidRDefault="00101CBB" w:rsidP="00A446DA"/>
        </w:tc>
        <w:tc>
          <w:tcPr>
            <w:tcW w:w="327" w:type="pct"/>
            <w:tcBorders>
              <w:top w:val="single" w:sz="4" w:space="0" w:color="auto"/>
              <w:left w:val="single" w:sz="4" w:space="0" w:color="auto"/>
              <w:bottom w:val="single" w:sz="4" w:space="0" w:color="auto"/>
              <w:right w:val="single" w:sz="4" w:space="0" w:color="auto"/>
            </w:tcBorders>
          </w:tcPr>
          <w:p w14:paraId="610D9998" w14:textId="06E14386" w:rsidR="00101CBB" w:rsidRPr="001552C0" w:rsidRDefault="00101CBB" w:rsidP="00990057">
            <w:r w:rsidRPr="001552C0">
              <w:t>FEDR</w:t>
            </w:r>
          </w:p>
        </w:tc>
        <w:tc>
          <w:tcPr>
            <w:tcW w:w="549" w:type="pct"/>
            <w:tcBorders>
              <w:top w:val="single" w:sz="4" w:space="0" w:color="auto"/>
              <w:left w:val="single" w:sz="4" w:space="0" w:color="auto"/>
              <w:bottom w:val="single" w:sz="4" w:space="0" w:color="auto"/>
              <w:right w:val="single" w:sz="4" w:space="0" w:color="auto"/>
            </w:tcBorders>
          </w:tcPr>
          <w:p w14:paraId="61CA4963" w14:textId="0792811A" w:rsidR="00101CBB" w:rsidRPr="001552C0" w:rsidRDefault="00101CBB" w:rsidP="00A446DA">
            <w:r w:rsidRPr="001552C0">
              <w:t>Mai puțin dezvoltată</w:t>
            </w:r>
          </w:p>
        </w:tc>
        <w:tc>
          <w:tcPr>
            <w:tcW w:w="394" w:type="pct"/>
            <w:tcBorders>
              <w:top w:val="single" w:sz="4" w:space="0" w:color="auto"/>
              <w:left w:val="single" w:sz="4" w:space="0" w:color="auto"/>
              <w:bottom w:val="single" w:sz="4" w:space="0" w:color="auto"/>
              <w:right w:val="single" w:sz="4" w:space="0" w:color="auto"/>
            </w:tcBorders>
          </w:tcPr>
          <w:p w14:paraId="286E4DC2" w14:textId="50A85303" w:rsidR="00101CBB" w:rsidRPr="001552C0" w:rsidRDefault="00E9643B" w:rsidP="00990057">
            <w:pPr>
              <w:rPr>
                <w:b/>
                <w:i/>
              </w:rPr>
            </w:pPr>
            <w:r w:rsidRPr="001552C0">
              <w:t>RCO24</w:t>
            </w:r>
          </w:p>
        </w:tc>
        <w:tc>
          <w:tcPr>
            <w:tcW w:w="708" w:type="pct"/>
            <w:tcBorders>
              <w:top w:val="single" w:sz="4" w:space="0" w:color="auto"/>
              <w:left w:val="single" w:sz="4" w:space="0" w:color="auto"/>
              <w:bottom w:val="single" w:sz="4" w:space="0" w:color="auto"/>
              <w:right w:val="single" w:sz="4" w:space="0" w:color="auto"/>
            </w:tcBorders>
          </w:tcPr>
          <w:p w14:paraId="2AA9C972" w14:textId="77F448EC" w:rsidR="00101CBB" w:rsidRPr="001552C0" w:rsidRDefault="00E9643B" w:rsidP="00990057">
            <w:r w:rsidRPr="001552C0">
              <w:t>Investments in new or upgraded disaster monitoring, preparedness, warning and response systems</w:t>
            </w:r>
          </w:p>
        </w:tc>
        <w:tc>
          <w:tcPr>
            <w:tcW w:w="715" w:type="pct"/>
            <w:tcBorders>
              <w:top w:val="single" w:sz="4" w:space="0" w:color="auto"/>
              <w:left w:val="single" w:sz="4" w:space="0" w:color="auto"/>
              <w:bottom w:val="single" w:sz="4" w:space="0" w:color="auto"/>
              <w:right w:val="single" w:sz="4" w:space="0" w:color="auto"/>
            </w:tcBorders>
          </w:tcPr>
          <w:p w14:paraId="4EA1D635" w14:textId="2638FC78" w:rsidR="00101CBB" w:rsidRPr="001552C0" w:rsidRDefault="00E9643B" w:rsidP="00990057">
            <w:r w:rsidRPr="001552C0">
              <w:t>euro</w:t>
            </w:r>
          </w:p>
        </w:tc>
        <w:tc>
          <w:tcPr>
            <w:tcW w:w="542" w:type="pct"/>
            <w:tcBorders>
              <w:top w:val="single" w:sz="4" w:space="0" w:color="auto"/>
              <w:left w:val="single" w:sz="4" w:space="0" w:color="auto"/>
              <w:bottom w:val="single" w:sz="4" w:space="0" w:color="auto"/>
              <w:right w:val="single" w:sz="4" w:space="0" w:color="auto"/>
            </w:tcBorders>
          </w:tcPr>
          <w:p w14:paraId="31A38725" w14:textId="5100F635" w:rsidR="00101CBB" w:rsidRPr="001552C0" w:rsidRDefault="00E9643B" w:rsidP="00990057">
            <w:r w:rsidRPr="001552C0">
              <w:t>&gt;=0</w:t>
            </w:r>
          </w:p>
        </w:tc>
        <w:tc>
          <w:tcPr>
            <w:tcW w:w="385" w:type="pct"/>
            <w:tcBorders>
              <w:top w:val="single" w:sz="4" w:space="0" w:color="auto"/>
              <w:left w:val="single" w:sz="4" w:space="0" w:color="auto"/>
              <w:bottom w:val="single" w:sz="4" w:space="0" w:color="auto"/>
              <w:right w:val="single" w:sz="4" w:space="0" w:color="auto"/>
            </w:tcBorders>
          </w:tcPr>
          <w:p w14:paraId="698472C0" w14:textId="617E2B1F" w:rsidR="00101CBB" w:rsidRPr="001552C0" w:rsidRDefault="00E9643B" w:rsidP="00990057">
            <w:r w:rsidRPr="001552C0">
              <w:t>&gt;0</w:t>
            </w:r>
          </w:p>
        </w:tc>
      </w:tr>
    </w:tbl>
    <w:p w14:paraId="102CB489" w14:textId="77777777" w:rsidR="00990057" w:rsidRPr="001552C0" w:rsidRDefault="00990057" w:rsidP="009900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916"/>
        <w:gridCol w:w="509"/>
        <w:gridCol w:w="807"/>
        <w:gridCol w:w="582"/>
        <w:gridCol w:w="830"/>
        <w:gridCol w:w="1031"/>
        <w:gridCol w:w="772"/>
        <w:gridCol w:w="800"/>
        <w:gridCol w:w="587"/>
        <w:gridCol w:w="609"/>
        <w:gridCol w:w="839"/>
      </w:tblGrid>
      <w:tr w:rsidR="00B96B06" w:rsidRPr="001552C0" w14:paraId="684EFE5F" w14:textId="77777777" w:rsidTr="001D27CD">
        <w:trPr>
          <w:trHeight w:val="480"/>
        </w:trPr>
        <w:tc>
          <w:tcPr>
            <w:tcW w:w="5000" w:type="pct"/>
            <w:gridSpan w:val="12"/>
            <w:tcBorders>
              <w:top w:val="single" w:sz="4" w:space="0" w:color="auto"/>
              <w:left w:val="single" w:sz="4" w:space="0" w:color="auto"/>
              <w:bottom w:val="single" w:sz="4" w:space="0" w:color="auto"/>
              <w:right w:val="single" w:sz="4" w:space="0" w:color="auto"/>
            </w:tcBorders>
            <w:hideMark/>
          </w:tcPr>
          <w:p w14:paraId="1E16B5F3" w14:textId="77777777" w:rsidR="00990057" w:rsidRPr="001552C0" w:rsidRDefault="00990057" w:rsidP="00990057">
            <w:pPr>
              <w:rPr>
                <w:b/>
              </w:rPr>
            </w:pPr>
            <w:r w:rsidRPr="001552C0">
              <w:rPr>
                <w:b/>
                <w:iCs/>
              </w:rPr>
              <w:t>Table 3: Result indicators</w:t>
            </w:r>
          </w:p>
        </w:tc>
      </w:tr>
      <w:tr w:rsidR="00B96B06" w:rsidRPr="001552C0" w14:paraId="3FE1FF60" w14:textId="77777777" w:rsidTr="0060222E">
        <w:trPr>
          <w:trHeight w:val="1768"/>
        </w:trPr>
        <w:tc>
          <w:tcPr>
            <w:tcW w:w="580" w:type="pct"/>
            <w:tcBorders>
              <w:top w:val="single" w:sz="4" w:space="0" w:color="auto"/>
              <w:left w:val="single" w:sz="4" w:space="0" w:color="auto"/>
              <w:bottom w:val="single" w:sz="4" w:space="0" w:color="auto"/>
              <w:right w:val="single" w:sz="4" w:space="0" w:color="auto"/>
            </w:tcBorders>
            <w:hideMark/>
          </w:tcPr>
          <w:p w14:paraId="39816D36" w14:textId="77777777" w:rsidR="00990057" w:rsidRPr="001552C0" w:rsidRDefault="00990057" w:rsidP="00990057">
            <w:pPr>
              <w:rPr>
                <w:b/>
              </w:rPr>
            </w:pPr>
            <w:r w:rsidRPr="001552C0">
              <w:rPr>
                <w:b/>
              </w:rPr>
              <w:t xml:space="preserve">Priority </w:t>
            </w:r>
          </w:p>
        </w:tc>
        <w:tc>
          <w:tcPr>
            <w:tcW w:w="491" w:type="pct"/>
            <w:tcBorders>
              <w:top w:val="single" w:sz="4" w:space="0" w:color="auto"/>
              <w:left w:val="single" w:sz="4" w:space="0" w:color="auto"/>
              <w:bottom w:val="single" w:sz="4" w:space="0" w:color="auto"/>
              <w:right w:val="single" w:sz="4" w:space="0" w:color="auto"/>
            </w:tcBorders>
            <w:hideMark/>
          </w:tcPr>
          <w:p w14:paraId="35477D45" w14:textId="77777777" w:rsidR="00990057" w:rsidRPr="001552C0" w:rsidRDefault="00990057" w:rsidP="00990057">
            <w:pPr>
              <w:rPr>
                <w:b/>
              </w:rPr>
            </w:pPr>
            <w:r w:rsidRPr="001552C0">
              <w:rPr>
                <w:b/>
              </w:rPr>
              <w:t>Specific objective (Investment for Jobs and Growth goal or EMFF)</w:t>
            </w:r>
          </w:p>
        </w:tc>
        <w:tc>
          <w:tcPr>
            <w:tcW w:w="269" w:type="pct"/>
            <w:tcBorders>
              <w:top w:val="single" w:sz="4" w:space="0" w:color="auto"/>
              <w:left w:val="single" w:sz="4" w:space="0" w:color="auto"/>
              <w:bottom w:val="single" w:sz="4" w:space="0" w:color="auto"/>
              <w:right w:val="single" w:sz="4" w:space="0" w:color="auto"/>
            </w:tcBorders>
            <w:hideMark/>
          </w:tcPr>
          <w:p w14:paraId="129D92F1" w14:textId="77777777" w:rsidR="00990057" w:rsidRPr="001552C0" w:rsidRDefault="00990057" w:rsidP="00990057">
            <w:pPr>
              <w:rPr>
                <w:b/>
              </w:rPr>
            </w:pPr>
            <w:r w:rsidRPr="001552C0">
              <w:rPr>
                <w:b/>
              </w:rPr>
              <w:t>Fund</w:t>
            </w:r>
          </w:p>
        </w:tc>
        <w:tc>
          <w:tcPr>
            <w:tcW w:w="431" w:type="pct"/>
            <w:tcBorders>
              <w:top w:val="single" w:sz="4" w:space="0" w:color="auto"/>
              <w:left w:val="single" w:sz="4" w:space="0" w:color="auto"/>
              <w:bottom w:val="single" w:sz="4" w:space="0" w:color="auto"/>
              <w:right w:val="single" w:sz="4" w:space="0" w:color="auto"/>
            </w:tcBorders>
            <w:hideMark/>
          </w:tcPr>
          <w:p w14:paraId="421AD6FB" w14:textId="77777777" w:rsidR="00990057" w:rsidRPr="001552C0" w:rsidRDefault="00990057" w:rsidP="00990057">
            <w:pPr>
              <w:rPr>
                <w:b/>
              </w:rPr>
            </w:pPr>
            <w:r w:rsidRPr="001552C0">
              <w:rPr>
                <w:b/>
              </w:rPr>
              <w:t>Category of region</w:t>
            </w:r>
            <w:r w:rsidRPr="001552C0">
              <w:t xml:space="preserve"> </w:t>
            </w:r>
          </w:p>
        </w:tc>
        <w:tc>
          <w:tcPr>
            <w:tcW w:w="309" w:type="pct"/>
            <w:tcBorders>
              <w:top w:val="single" w:sz="4" w:space="0" w:color="auto"/>
              <w:left w:val="single" w:sz="4" w:space="0" w:color="auto"/>
              <w:bottom w:val="single" w:sz="4" w:space="0" w:color="auto"/>
              <w:right w:val="single" w:sz="4" w:space="0" w:color="auto"/>
            </w:tcBorders>
            <w:hideMark/>
          </w:tcPr>
          <w:p w14:paraId="1AB63433" w14:textId="77777777" w:rsidR="00990057" w:rsidRPr="001552C0" w:rsidRDefault="00990057" w:rsidP="00990057">
            <w:pPr>
              <w:rPr>
                <w:b/>
              </w:rPr>
            </w:pPr>
            <w:r w:rsidRPr="001552C0">
              <w:rPr>
                <w:b/>
              </w:rPr>
              <w:t>ID [5]</w:t>
            </w:r>
          </w:p>
        </w:tc>
        <w:tc>
          <w:tcPr>
            <w:tcW w:w="444" w:type="pct"/>
            <w:tcBorders>
              <w:top w:val="single" w:sz="4" w:space="0" w:color="auto"/>
              <w:left w:val="single" w:sz="4" w:space="0" w:color="auto"/>
              <w:bottom w:val="single" w:sz="4" w:space="0" w:color="auto"/>
              <w:right w:val="single" w:sz="4" w:space="0" w:color="auto"/>
            </w:tcBorders>
            <w:hideMark/>
          </w:tcPr>
          <w:p w14:paraId="5AFD5A46" w14:textId="77777777" w:rsidR="00990057" w:rsidRPr="001552C0" w:rsidRDefault="00990057" w:rsidP="00990057">
            <w:pPr>
              <w:rPr>
                <w:b/>
              </w:rPr>
            </w:pPr>
            <w:r w:rsidRPr="001552C0">
              <w:rPr>
                <w:b/>
              </w:rPr>
              <w:t>Indicator [255]</w:t>
            </w:r>
          </w:p>
        </w:tc>
        <w:tc>
          <w:tcPr>
            <w:tcW w:w="553" w:type="pct"/>
            <w:tcBorders>
              <w:top w:val="single" w:sz="4" w:space="0" w:color="auto"/>
              <w:left w:val="single" w:sz="4" w:space="0" w:color="auto"/>
              <w:bottom w:val="single" w:sz="4" w:space="0" w:color="auto"/>
              <w:right w:val="single" w:sz="4" w:space="0" w:color="auto"/>
            </w:tcBorders>
            <w:hideMark/>
          </w:tcPr>
          <w:p w14:paraId="447D0FCA" w14:textId="77777777" w:rsidR="00990057" w:rsidRPr="001552C0" w:rsidRDefault="00990057" w:rsidP="00990057">
            <w:pPr>
              <w:rPr>
                <w:b/>
              </w:rPr>
            </w:pPr>
            <w:r w:rsidRPr="001552C0">
              <w:rPr>
                <w:b/>
              </w:rPr>
              <w:t>Measurement unit</w:t>
            </w:r>
          </w:p>
        </w:tc>
        <w:tc>
          <w:tcPr>
            <w:tcW w:w="412" w:type="pct"/>
            <w:tcBorders>
              <w:top w:val="single" w:sz="4" w:space="0" w:color="auto"/>
              <w:left w:val="single" w:sz="4" w:space="0" w:color="auto"/>
              <w:bottom w:val="single" w:sz="4" w:space="0" w:color="auto"/>
              <w:right w:val="single" w:sz="4" w:space="0" w:color="auto"/>
            </w:tcBorders>
            <w:hideMark/>
          </w:tcPr>
          <w:p w14:paraId="0CD3827E" w14:textId="77777777" w:rsidR="00990057" w:rsidRPr="001552C0" w:rsidRDefault="00990057" w:rsidP="00990057">
            <w:pPr>
              <w:rPr>
                <w:b/>
              </w:rPr>
            </w:pPr>
            <w:r w:rsidRPr="001552C0">
              <w:rPr>
                <w:b/>
              </w:rPr>
              <w:t>Baseline or reference value</w:t>
            </w:r>
          </w:p>
        </w:tc>
        <w:tc>
          <w:tcPr>
            <w:tcW w:w="427" w:type="pct"/>
            <w:tcBorders>
              <w:top w:val="single" w:sz="4" w:space="0" w:color="auto"/>
              <w:left w:val="single" w:sz="4" w:space="0" w:color="auto"/>
              <w:bottom w:val="single" w:sz="4" w:space="0" w:color="auto"/>
              <w:right w:val="single" w:sz="4" w:space="0" w:color="auto"/>
            </w:tcBorders>
            <w:hideMark/>
          </w:tcPr>
          <w:p w14:paraId="2941C18A" w14:textId="77777777" w:rsidR="00990057" w:rsidRPr="001552C0" w:rsidRDefault="00990057" w:rsidP="00990057">
            <w:pPr>
              <w:rPr>
                <w:b/>
              </w:rPr>
            </w:pPr>
            <w:r w:rsidRPr="001552C0">
              <w:rPr>
                <w:b/>
              </w:rPr>
              <w:t>Reference year</w:t>
            </w:r>
          </w:p>
        </w:tc>
        <w:tc>
          <w:tcPr>
            <w:tcW w:w="312" w:type="pct"/>
            <w:tcBorders>
              <w:top w:val="single" w:sz="4" w:space="0" w:color="auto"/>
              <w:left w:val="single" w:sz="4" w:space="0" w:color="auto"/>
              <w:bottom w:val="single" w:sz="4" w:space="0" w:color="auto"/>
              <w:right w:val="single" w:sz="4" w:space="0" w:color="auto"/>
            </w:tcBorders>
          </w:tcPr>
          <w:p w14:paraId="5AAA9396" w14:textId="77777777" w:rsidR="00990057" w:rsidRPr="001552C0" w:rsidRDefault="00990057" w:rsidP="00990057">
            <w:pPr>
              <w:rPr>
                <w:b/>
              </w:rPr>
            </w:pPr>
            <w:r w:rsidRPr="001552C0">
              <w:rPr>
                <w:b/>
              </w:rPr>
              <w:t>Target (2029)</w:t>
            </w:r>
          </w:p>
          <w:p w14:paraId="5CECD422" w14:textId="77777777" w:rsidR="00990057" w:rsidRPr="001552C0" w:rsidRDefault="00990057" w:rsidP="00990057">
            <w:pPr>
              <w:rPr>
                <w:b/>
              </w:rPr>
            </w:pPr>
          </w:p>
        </w:tc>
        <w:tc>
          <w:tcPr>
            <w:tcW w:w="323" w:type="pct"/>
            <w:tcBorders>
              <w:top w:val="single" w:sz="4" w:space="0" w:color="auto"/>
              <w:left w:val="single" w:sz="4" w:space="0" w:color="auto"/>
              <w:bottom w:val="single" w:sz="4" w:space="0" w:color="auto"/>
              <w:right w:val="single" w:sz="4" w:space="0" w:color="auto"/>
            </w:tcBorders>
            <w:hideMark/>
          </w:tcPr>
          <w:p w14:paraId="0492F2BF" w14:textId="77777777" w:rsidR="00990057" w:rsidRPr="001552C0" w:rsidRDefault="00990057" w:rsidP="00990057">
            <w:pPr>
              <w:rPr>
                <w:b/>
              </w:rPr>
            </w:pPr>
            <w:r w:rsidRPr="001552C0">
              <w:rPr>
                <w:b/>
              </w:rPr>
              <w:t>Source of data [200]</w:t>
            </w:r>
          </w:p>
        </w:tc>
        <w:tc>
          <w:tcPr>
            <w:tcW w:w="449" w:type="pct"/>
            <w:tcBorders>
              <w:top w:val="single" w:sz="4" w:space="0" w:color="auto"/>
              <w:left w:val="single" w:sz="4" w:space="0" w:color="auto"/>
              <w:bottom w:val="single" w:sz="4" w:space="0" w:color="auto"/>
              <w:right w:val="single" w:sz="4" w:space="0" w:color="auto"/>
            </w:tcBorders>
            <w:hideMark/>
          </w:tcPr>
          <w:p w14:paraId="14774D6D" w14:textId="77777777" w:rsidR="00990057" w:rsidRPr="001552C0" w:rsidRDefault="00990057" w:rsidP="00990057">
            <w:pPr>
              <w:rPr>
                <w:b/>
              </w:rPr>
            </w:pPr>
            <w:r w:rsidRPr="001552C0">
              <w:rPr>
                <w:b/>
              </w:rPr>
              <w:t>Comments [200]</w:t>
            </w:r>
          </w:p>
        </w:tc>
      </w:tr>
      <w:tr w:rsidR="00B96B06" w:rsidRPr="001552C0" w14:paraId="7D581BFD" w14:textId="77777777" w:rsidTr="0060222E">
        <w:trPr>
          <w:trHeight w:val="434"/>
        </w:trPr>
        <w:tc>
          <w:tcPr>
            <w:tcW w:w="580" w:type="pct"/>
            <w:tcBorders>
              <w:top w:val="single" w:sz="4" w:space="0" w:color="auto"/>
              <w:left w:val="single" w:sz="4" w:space="0" w:color="auto"/>
              <w:bottom w:val="single" w:sz="4" w:space="0" w:color="auto"/>
              <w:right w:val="single" w:sz="4" w:space="0" w:color="auto"/>
            </w:tcBorders>
          </w:tcPr>
          <w:p w14:paraId="05F2807C" w14:textId="44755151" w:rsidR="00E11318" w:rsidRPr="001552C0" w:rsidRDefault="00E11318" w:rsidP="00A446DA">
            <w:r w:rsidRPr="001552C0">
              <w:t>Prioritatea 4 Promovarea adap</w:t>
            </w:r>
            <w:r w:rsidR="00985EC5" w:rsidRPr="001552C0">
              <w:t>tării la schimbările climatice ș</w:t>
            </w:r>
            <w:r w:rsidRPr="001552C0">
              <w:t>i</w:t>
            </w:r>
            <w:r w:rsidR="00985EC5" w:rsidRPr="001552C0">
              <w:t xml:space="preserve"> managementul</w:t>
            </w:r>
            <w:r w:rsidRPr="001552C0">
              <w:lastRenderedPageBreak/>
              <w:t>riscurilor</w:t>
            </w:r>
          </w:p>
          <w:p w14:paraId="5C0EE93B" w14:textId="4337BE1C" w:rsidR="00E11318" w:rsidRPr="001552C0" w:rsidRDefault="00E11318" w:rsidP="00990057">
            <w:r w:rsidRPr="001552C0">
              <w:t>4.1 Managementul inundațiilor</w:t>
            </w:r>
          </w:p>
        </w:tc>
        <w:tc>
          <w:tcPr>
            <w:tcW w:w="491" w:type="pct"/>
            <w:tcBorders>
              <w:top w:val="single" w:sz="4" w:space="0" w:color="auto"/>
              <w:left w:val="single" w:sz="4" w:space="0" w:color="auto"/>
              <w:bottom w:val="single" w:sz="4" w:space="0" w:color="auto"/>
              <w:right w:val="single" w:sz="4" w:space="0" w:color="auto"/>
            </w:tcBorders>
          </w:tcPr>
          <w:p w14:paraId="4C850054" w14:textId="77777777" w:rsidR="00E11318" w:rsidRPr="001552C0" w:rsidRDefault="00E11318" w:rsidP="00A446DA">
            <w:r w:rsidRPr="001552C0">
              <w:lastRenderedPageBreak/>
              <w:t xml:space="preserve"> (iv) Promovarea adaptării la schimb</w:t>
            </w:r>
            <w:r w:rsidRPr="001552C0">
              <w:lastRenderedPageBreak/>
              <w:t>ările climatice, a prevenirii riscurilor și a rezilienței în urma dezastrelor</w:t>
            </w:r>
          </w:p>
          <w:p w14:paraId="431650BA" w14:textId="77777777" w:rsidR="00E11318" w:rsidRPr="001552C0" w:rsidRDefault="00E11318" w:rsidP="00990057"/>
        </w:tc>
        <w:tc>
          <w:tcPr>
            <w:tcW w:w="269" w:type="pct"/>
            <w:tcBorders>
              <w:top w:val="single" w:sz="4" w:space="0" w:color="auto"/>
              <w:left w:val="single" w:sz="4" w:space="0" w:color="auto"/>
              <w:bottom w:val="single" w:sz="4" w:space="0" w:color="auto"/>
              <w:right w:val="single" w:sz="4" w:space="0" w:color="auto"/>
            </w:tcBorders>
          </w:tcPr>
          <w:p w14:paraId="4A23D6AC" w14:textId="256A6D49" w:rsidR="00E11318" w:rsidRPr="001552C0" w:rsidRDefault="00E11318" w:rsidP="00990057">
            <w:r w:rsidRPr="001552C0">
              <w:lastRenderedPageBreak/>
              <w:t>FEDR</w:t>
            </w:r>
          </w:p>
        </w:tc>
        <w:tc>
          <w:tcPr>
            <w:tcW w:w="431" w:type="pct"/>
            <w:tcBorders>
              <w:top w:val="single" w:sz="4" w:space="0" w:color="auto"/>
              <w:left w:val="single" w:sz="4" w:space="0" w:color="auto"/>
              <w:bottom w:val="single" w:sz="4" w:space="0" w:color="auto"/>
              <w:right w:val="single" w:sz="4" w:space="0" w:color="auto"/>
            </w:tcBorders>
          </w:tcPr>
          <w:p w14:paraId="7EEF4A07" w14:textId="77777777" w:rsidR="00E11318" w:rsidRPr="001552C0" w:rsidRDefault="00E11318" w:rsidP="00A446DA">
            <w:r w:rsidRPr="001552C0">
              <w:t>Mai dezvoltată</w:t>
            </w:r>
          </w:p>
          <w:p w14:paraId="5BEF5BED" w14:textId="3CF7FDCE" w:rsidR="00E11318" w:rsidRPr="001552C0" w:rsidRDefault="00E11318" w:rsidP="00990057">
            <w:r w:rsidRPr="001552C0">
              <w:t>Mai puțin dezvol</w:t>
            </w:r>
            <w:r w:rsidRPr="001552C0">
              <w:lastRenderedPageBreak/>
              <w:t>tată</w:t>
            </w:r>
          </w:p>
        </w:tc>
        <w:tc>
          <w:tcPr>
            <w:tcW w:w="309" w:type="pct"/>
            <w:tcBorders>
              <w:top w:val="single" w:sz="4" w:space="0" w:color="auto"/>
              <w:left w:val="single" w:sz="4" w:space="0" w:color="auto"/>
              <w:bottom w:val="single" w:sz="4" w:space="0" w:color="auto"/>
              <w:right w:val="single" w:sz="4" w:space="0" w:color="auto"/>
            </w:tcBorders>
          </w:tcPr>
          <w:p w14:paraId="08A66BF7" w14:textId="13BB5AFC" w:rsidR="00E11318" w:rsidRPr="001552C0" w:rsidRDefault="00E9643B" w:rsidP="00990057">
            <w:r w:rsidRPr="001552C0">
              <w:lastRenderedPageBreak/>
              <w:t>RCR35</w:t>
            </w:r>
          </w:p>
        </w:tc>
        <w:tc>
          <w:tcPr>
            <w:tcW w:w="444" w:type="pct"/>
            <w:tcBorders>
              <w:top w:val="single" w:sz="4" w:space="0" w:color="auto"/>
              <w:left w:val="single" w:sz="4" w:space="0" w:color="auto"/>
              <w:bottom w:val="single" w:sz="4" w:space="0" w:color="auto"/>
              <w:right w:val="single" w:sz="4" w:space="0" w:color="auto"/>
            </w:tcBorders>
          </w:tcPr>
          <w:p w14:paraId="7388A68A" w14:textId="348CDFD2" w:rsidR="00E11318" w:rsidRPr="001552C0" w:rsidRDefault="00E9643B" w:rsidP="00990057">
            <w:r w:rsidRPr="001552C0">
              <w:t xml:space="preserve">Population benefiting from flood </w:t>
            </w:r>
            <w:r w:rsidRPr="001552C0">
              <w:lastRenderedPageBreak/>
              <w:t>protection measures</w:t>
            </w:r>
          </w:p>
        </w:tc>
        <w:tc>
          <w:tcPr>
            <w:tcW w:w="553" w:type="pct"/>
            <w:tcBorders>
              <w:top w:val="single" w:sz="4" w:space="0" w:color="auto"/>
              <w:left w:val="single" w:sz="4" w:space="0" w:color="auto"/>
              <w:bottom w:val="single" w:sz="4" w:space="0" w:color="auto"/>
              <w:right w:val="single" w:sz="4" w:space="0" w:color="auto"/>
            </w:tcBorders>
          </w:tcPr>
          <w:p w14:paraId="5C69E4BB" w14:textId="2ADC911C" w:rsidR="00E11318" w:rsidRPr="001552C0" w:rsidRDefault="00E9643B" w:rsidP="00990057">
            <w:r w:rsidRPr="001552C0">
              <w:lastRenderedPageBreak/>
              <w:t>persoane</w:t>
            </w:r>
          </w:p>
        </w:tc>
        <w:tc>
          <w:tcPr>
            <w:tcW w:w="412" w:type="pct"/>
            <w:tcBorders>
              <w:top w:val="single" w:sz="4" w:space="0" w:color="auto"/>
              <w:left w:val="single" w:sz="4" w:space="0" w:color="auto"/>
              <w:bottom w:val="single" w:sz="4" w:space="0" w:color="auto"/>
              <w:right w:val="single" w:sz="4" w:space="0" w:color="auto"/>
            </w:tcBorders>
          </w:tcPr>
          <w:p w14:paraId="6578C9A6" w14:textId="309C108B" w:rsidR="00E11318" w:rsidRPr="001552C0" w:rsidRDefault="00E9643B" w:rsidP="00990057">
            <w:r w:rsidRPr="001552C0">
              <w:t>0</w:t>
            </w:r>
          </w:p>
        </w:tc>
        <w:tc>
          <w:tcPr>
            <w:tcW w:w="427" w:type="pct"/>
            <w:tcBorders>
              <w:top w:val="single" w:sz="4" w:space="0" w:color="auto"/>
              <w:left w:val="single" w:sz="4" w:space="0" w:color="auto"/>
              <w:bottom w:val="single" w:sz="4" w:space="0" w:color="auto"/>
              <w:right w:val="single" w:sz="4" w:space="0" w:color="auto"/>
            </w:tcBorders>
          </w:tcPr>
          <w:p w14:paraId="65DCDED6" w14:textId="6E336E39" w:rsidR="00E11318" w:rsidRPr="001552C0" w:rsidRDefault="00E9643B" w:rsidP="00990057">
            <w:r w:rsidRPr="001552C0">
              <w:t>2020</w:t>
            </w:r>
          </w:p>
        </w:tc>
        <w:tc>
          <w:tcPr>
            <w:tcW w:w="312" w:type="pct"/>
            <w:tcBorders>
              <w:top w:val="single" w:sz="4" w:space="0" w:color="auto"/>
              <w:left w:val="single" w:sz="4" w:space="0" w:color="auto"/>
              <w:bottom w:val="single" w:sz="4" w:space="0" w:color="auto"/>
              <w:right w:val="single" w:sz="4" w:space="0" w:color="auto"/>
            </w:tcBorders>
          </w:tcPr>
          <w:p w14:paraId="655DA968" w14:textId="0068CEAD" w:rsidR="00E11318" w:rsidRPr="001552C0" w:rsidRDefault="00E9643B" w:rsidP="00990057">
            <w:r w:rsidRPr="001552C0">
              <w:t>&gt;0</w:t>
            </w:r>
          </w:p>
        </w:tc>
        <w:tc>
          <w:tcPr>
            <w:tcW w:w="323" w:type="pct"/>
            <w:tcBorders>
              <w:top w:val="single" w:sz="4" w:space="0" w:color="auto"/>
              <w:left w:val="single" w:sz="4" w:space="0" w:color="auto"/>
              <w:bottom w:val="single" w:sz="4" w:space="0" w:color="auto"/>
              <w:right w:val="single" w:sz="4" w:space="0" w:color="auto"/>
            </w:tcBorders>
          </w:tcPr>
          <w:p w14:paraId="5538E9AD" w14:textId="77777777" w:rsidR="00E11318" w:rsidRPr="001552C0" w:rsidRDefault="00E11318" w:rsidP="00990057"/>
        </w:tc>
        <w:tc>
          <w:tcPr>
            <w:tcW w:w="449" w:type="pct"/>
            <w:tcBorders>
              <w:top w:val="single" w:sz="4" w:space="0" w:color="auto"/>
              <w:left w:val="single" w:sz="4" w:space="0" w:color="auto"/>
              <w:bottom w:val="single" w:sz="4" w:space="0" w:color="auto"/>
              <w:right w:val="single" w:sz="4" w:space="0" w:color="auto"/>
            </w:tcBorders>
          </w:tcPr>
          <w:p w14:paraId="03696519" w14:textId="77777777" w:rsidR="00E11318" w:rsidRPr="001552C0" w:rsidRDefault="00E11318" w:rsidP="00990057"/>
        </w:tc>
      </w:tr>
      <w:tr w:rsidR="00B96B06" w:rsidRPr="001552C0" w14:paraId="675A46A7" w14:textId="77777777" w:rsidTr="0060222E">
        <w:trPr>
          <w:trHeight w:val="286"/>
        </w:trPr>
        <w:tc>
          <w:tcPr>
            <w:tcW w:w="580" w:type="pct"/>
            <w:tcBorders>
              <w:top w:val="single" w:sz="4" w:space="0" w:color="auto"/>
              <w:left w:val="single" w:sz="4" w:space="0" w:color="auto"/>
              <w:bottom w:val="single" w:sz="4" w:space="0" w:color="auto"/>
              <w:right w:val="single" w:sz="4" w:space="0" w:color="auto"/>
            </w:tcBorders>
          </w:tcPr>
          <w:p w14:paraId="60A0FEF4" w14:textId="32E35A0F" w:rsidR="00E11318" w:rsidRPr="001552C0" w:rsidRDefault="00E11318" w:rsidP="00A446DA">
            <w:r w:rsidRPr="001552C0">
              <w:lastRenderedPageBreak/>
              <w:t>Prioritatea 4 Promovarea adap</w:t>
            </w:r>
            <w:r w:rsidR="00985EC5" w:rsidRPr="001552C0">
              <w:t xml:space="preserve">tării la schimbările climatice </w:t>
            </w:r>
            <w:r w:rsidRPr="001552C0">
              <w:t>şi</w:t>
            </w:r>
            <w:r w:rsidR="00985EC5" w:rsidRPr="001552C0">
              <w:t xml:space="preserve"> managementul</w:t>
            </w:r>
            <w:r w:rsidRPr="001552C0">
              <w:t>riscurilor</w:t>
            </w:r>
          </w:p>
          <w:p w14:paraId="3836A3AF" w14:textId="1B61BCD8" w:rsidR="00E11318" w:rsidRPr="001552C0" w:rsidRDefault="00E11318" w:rsidP="00990057">
            <w:pPr>
              <w:rPr>
                <w:i/>
              </w:rPr>
            </w:pPr>
            <w:r w:rsidRPr="001552C0">
              <w:t>4.2 Managementul secetei</w:t>
            </w:r>
          </w:p>
        </w:tc>
        <w:tc>
          <w:tcPr>
            <w:tcW w:w="491" w:type="pct"/>
            <w:tcBorders>
              <w:top w:val="single" w:sz="4" w:space="0" w:color="auto"/>
              <w:left w:val="single" w:sz="4" w:space="0" w:color="auto"/>
              <w:bottom w:val="single" w:sz="4" w:space="0" w:color="auto"/>
              <w:right w:val="single" w:sz="4" w:space="0" w:color="auto"/>
            </w:tcBorders>
          </w:tcPr>
          <w:p w14:paraId="0F967B05" w14:textId="77777777" w:rsidR="00E11318" w:rsidRPr="001552C0" w:rsidRDefault="00E11318" w:rsidP="00A446DA">
            <w:r w:rsidRPr="001552C0">
              <w:t xml:space="preserve"> (iv) Promovarea adaptării la schimbările climatice, a prevenirii riscurilor și a rezilienței în urma dezastrelor</w:t>
            </w:r>
          </w:p>
          <w:p w14:paraId="23324445" w14:textId="77777777" w:rsidR="00E11318" w:rsidRPr="001552C0" w:rsidRDefault="00E11318" w:rsidP="00990057">
            <w:pPr>
              <w:rPr>
                <w:i/>
              </w:rPr>
            </w:pPr>
          </w:p>
        </w:tc>
        <w:tc>
          <w:tcPr>
            <w:tcW w:w="269" w:type="pct"/>
            <w:tcBorders>
              <w:top w:val="single" w:sz="4" w:space="0" w:color="auto"/>
              <w:left w:val="single" w:sz="4" w:space="0" w:color="auto"/>
              <w:bottom w:val="single" w:sz="4" w:space="0" w:color="auto"/>
              <w:right w:val="single" w:sz="4" w:space="0" w:color="auto"/>
            </w:tcBorders>
          </w:tcPr>
          <w:p w14:paraId="5A71E0C8" w14:textId="1AFA2C69" w:rsidR="00E11318" w:rsidRPr="001552C0" w:rsidRDefault="00E11318" w:rsidP="00990057">
            <w:pPr>
              <w:rPr>
                <w:i/>
              </w:rPr>
            </w:pPr>
            <w:r w:rsidRPr="001552C0">
              <w:t>FEDR</w:t>
            </w:r>
          </w:p>
        </w:tc>
        <w:tc>
          <w:tcPr>
            <w:tcW w:w="431" w:type="pct"/>
            <w:tcBorders>
              <w:top w:val="single" w:sz="4" w:space="0" w:color="auto"/>
              <w:left w:val="single" w:sz="4" w:space="0" w:color="auto"/>
              <w:bottom w:val="single" w:sz="4" w:space="0" w:color="auto"/>
              <w:right w:val="single" w:sz="4" w:space="0" w:color="auto"/>
            </w:tcBorders>
          </w:tcPr>
          <w:p w14:paraId="0A867776" w14:textId="77777777" w:rsidR="00E11318" w:rsidRPr="001552C0" w:rsidRDefault="00E11318" w:rsidP="00A446DA">
            <w:r w:rsidRPr="001552C0">
              <w:t>Mai dezvoltată</w:t>
            </w:r>
          </w:p>
          <w:p w14:paraId="5DC95111" w14:textId="63A1B000" w:rsidR="00E11318" w:rsidRPr="001552C0" w:rsidRDefault="00E11318" w:rsidP="00990057">
            <w:pPr>
              <w:rPr>
                <w:i/>
              </w:rPr>
            </w:pPr>
            <w:r w:rsidRPr="001552C0">
              <w:t>Mai puțin dezvoltată</w:t>
            </w:r>
          </w:p>
        </w:tc>
        <w:tc>
          <w:tcPr>
            <w:tcW w:w="309" w:type="pct"/>
            <w:tcBorders>
              <w:top w:val="single" w:sz="4" w:space="0" w:color="auto"/>
              <w:left w:val="single" w:sz="4" w:space="0" w:color="auto"/>
              <w:bottom w:val="single" w:sz="4" w:space="0" w:color="auto"/>
              <w:right w:val="single" w:sz="4" w:space="0" w:color="auto"/>
            </w:tcBorders>
          </w:tcPr>
          <w:p w14:paraId="0F37CF0C" w14:textId="77777777" w:rsidR="00E11318" w:rsidRPr="001552C0" w:rsidRDefault="00E11318" w:rsidP="00990057">
            <w:pPr>
              <w:rPr>
                <w:i/>
              </w:rPr>
            </w:pPr>
          </w:p>
        </w:tc>
        <w:tc>
          <w:tcPr>
            <w:tcW w:w="444" w:type="pct"/>
            <w:tcBorders>
              <w:top w:val="single" w:sz="4" w:space="0" w:color="auto"/>
              <w:left w:val="single" w:sz="4" w:space="0" w:color="auto"/>
              <w:bottom w:val="single" w:sz="4" w:space="0" w:color="auto"/>
              <w:right w:val="single" w:sz="4" w:space="0" w:color="auto"/>
            </w:tcBorders>
          </w:tcPr>
          <w:p w14:paraId="6B0EB8FA" w14:textId="0FF4F811" w:rsidR="00E11318" w:rsidRPr="001552C0" w:rsidRDefault="00BD14CE" w:rsidP="00990057">
            <w:pPr>
              <w:rPr>
                <w:i/>
              </w:rPr>
            </w:pPr>
            <w:r w:rsidRPr="001552C0">
              <w:t>Population benefiting from protection measures against climate related natural disaster (other than flood and</w:t>
            </w:r>
            <w:r w:rsidRPr="001552C0">
              <w:rPr>
                <w:i/>
              </w:rPr>
              <w:t xml:space="preserve"> </w:t>
            </w:r>
            <w:r w:rsidRPr="001552C0">
              <w:t>wildfires)</w:t>
            </w:r>
          </w:p>
        </w:tc>
        <w:tc>
          <w:tcPr>
            <w:tcW w:w="553" w:type="pct"/>
            <w:tcBorders>
              <w:top w:val="single" w:sz="4" w:space="0" w:color="auto"/>
              <w:left w:val="single" w:sz="4" w:space="0" w:color="auto"/>
              <w:bottom w:val="single" w:sz="4" w:space="0" w:color="auto"/>
              <w:right w:val="single" w:sz="4" w:space="0" w:color="auto"/>
            </w:tcBorders>
          </w:tcPr>
          <w:p w14:paraId="2EDB42D0" w14:textId="0F111404" w:rsidR="00E11318" w:rsidRPr="001552C0" w:rsidRDefault="00BD14CE" w:rsidP="00990057">
            <w:pPr>
              <w:rPr>
                <w:i/>
              </w:rPr>
            </w:pPr>
            <w:r w:rsidRPr="001552C0">
              <w:t>persons</w:t>
            </w:r>
          </w:p>
        </w:tc>
        <w:tc>
          <w:tcPr>
            <w:tcW w:w="412" w:type="pct"/>
            <w:tcBorders>
              <w:top w:val="single" w:sz="4" w:space="0" w:color="auto"/>
              <w:left w:val="single" w:sz="4" w:space="0" w:color="auto"/>
              <w:bottom w:val="single" w:sz="4" w:space="0" w:color="auto"/>
              <w:right w:val="single" w:sz="4" w:space="0" w:color="auto"/>
            </w:tcBorders>
          </w:tcPr>
          <w:p w14:paraId="2C9EDFEF" w14:textId="77777777" w:rsidR="00E11318" w:rsidRPr="001552C0" w:rsidRDefault="00E11318" w:rsidP="00990057">
            <w:pPr>
              <w:rPr>
                <w:i/>
              </w:rPr>
            </w:pPr>
          </w:p>
        </w:tc>
        <w:tc>
          <w:tcPr>
            <w:tcW w:w="427" w:type="pct"/>
            <w:tcBorders>
              <w:top w:val="single" w:sz="4" w:space="0" w:color="auto"/>
              <w:left w:val="single" w:sz="4" w:space="0" w:color="auto"/>
              <w:bottom w:val="single" w:sz="4" w:space="0" w:color="auto"/>
              <w:right w:val="single" w:sz="4" w:space="0" w:color="auto"/>
            </w:tcBorders>
          </w:tcPr>
          <w:p w14:paraId="66019A68" w14:textId="77777777" w:rsidR="00E11318" w:rsidRPr="001552C0" w:rsidRDefault="00E11318" w:rsidP="00990057">
            <w:pPr>
              <w:rPr>
                <w:b/>
              </w:rPr>
            </w:pPr>
          </w:p>
        </w:tc>
        <w:tc>
          <w:tcPr>
            <w:tcW w:w="312" w:type="pct"/>
            <w:tcBorders>
              <w:top w:val="single" w:sz="4" w:space="0" w:color="auto"/>
              <w:left w:val="single" w:sz="4" w:space="0" w:color="auto"/>
              <w:bottom w:val="single" w:sz="4" w:space="0" w:color="auto"/>
              <w:right w:val="single" w:sz="4" w:space="0" w:color="auto"/>
            </w:tcBorders>
          </w:tcPr>
          <w:p w14:paraId="668D65AA" w14:textId="77777777" w:rsidR="00E11318" w:rsidRPr="001552C0" w:rsidRDefault="00E11318" w:rsidP="00990057">
            <w:pPr>
              <w:rPr>
                <w:b/>
              </w:rPr>
            </w:pPr>
          </w:p>
        </w:tc>
        <w:tc>
          <w:tcPr>
            <w:tcW w:w="323" w:type="pct"/>
            <w:tcBorders>
              <w:top w:val="single" w:sz="4" w:space="0" w:color="auto"/>
              <w:left w:val="single" w:sz="4" w:space="0" w:color="auto"/>
              <w:bottom w:val="single" w:sz="4" w:space="0" w:color="auto"/>
              <w:right w:val="single" w:sz="4" w:space="0" w:color="auto"/>
            </w:tcBorders>
          </w:tcPr>
          <w:p w14:paraId="59821B73" w14:textId="77777777" w:rsidR="00E11318" w:rsidRPr="001552C0" w:rsidRDefault="00E11318" w:rsidP="00990057">
            <w:pPr>
              <w:rPr>
                <w:i/>
              </w:rPr>
            </w:pPr>
          </w:p>
        </w:tc>
        <w:tc>
          <w:tcPr>
            <w:tcW w:w="449" w:type="pct"/>
            <w:tcBorders>
              <w:top w:val="single" w:sz="4" w:space="0" w:color="auto"/>
              <w:left w:val="single" w:sz="4" w:space="0" w:color="auto"/>
              <w:bottom w:val="single" w:sz="4" w:space="0" w:color="auto"/>
              <w:right w:val="single" w:sz="4" w:space="0" w:color="auto"/>
            </w:tcBorders>
          </w:tcPr>
          <w:p w14:paraId="6F63EBCF" w14:textId="77777777" w:rsidR="00E11318" w:rsidRPr="001552C0" w:rsidRDefault="00E11318" w:rsidP="00990057">
            <w:pPr>
              <w:rPr>
                <w:i/>
              </w:rPr>
            </w:pPr>
          </w:p>
        </w:tc>
      </w:tr>
      <w:tr w:rsidR="00B96B06" w:rsidRPr="001552C0" w14:paraId="3EF6B4CC" w14:textId="77777777" w:rsidTr="0060222E">
        <w:trPr>
          <w:trHeight w:val="286"/>
        </w:trPr>
        <w:tc>
          <w:tcPr>
            <w:tcW w:w="580" w:type="pct"/>
            <w:tcBorders>
              <w:top w:val="single" w:sz="4" w:space="0" w:color="auto"/>
              <w:left w:val="single" w:sz="4" w:space="0" w:color="auto"/>
              <w:bottom w:val="single" w:sz="4" w:space="0" w:color="auto"/>
              <w:right w:val="single" w:sz="4" w:space="0" w:color="auto"/>
            </w:tcBorders>
          </w:tcPr>
          <w:p w14:paraId="2D282B17" w14:textId="18B47420" w:rsidR="0060222E" w:rsidRPr="001552C0" w:rsidRDefault="0060222E" w:rsidP="00A446DA">
            <w:r w:rsidRPr="001552C0">
              <w:t>Prioritatea 4 Promovarea adapt</w:t>
            </w:r>
            <w:r w:rsidR="00985EC5" w:rsidRPr="001552C0">
              <w:t xml:space="preserve">ării la schimbările climatice şi </w:t>
            </w:r>
            <w:r w:rsidR="00985EC5" w:rsidRPr="001552C0">
              <w:lastRenderedPageBreak/>
              <w:t>managementul</w:t>
            </w:r>
            <w:r w:rsidRPr="001552C0">
              <w:t xml:space="preserve"> riscurilor</w:t>
            </w:r>
          </w:p>
          <w:p w14:paraId="24E8F986" w14:textId="7909CC79" w:rsidR="0060222E" w:rsidRPr="001552C0" w:rsidRDefault="0060222E" w:rsidP="00A446DA">
            <w:r w:rsidRPr="001552C0">
              <w:t>4.3 Combaterea eroziunii costiere</w:t>
            </w:r>
          </w:p>
        </w:tc>
        <w:tc>
          <w:tcPr>
            <w:tcW w:w="491" w:type="pct"/>
            <w:tcBorders>
              <w:top w:val="single" w:sz="4" w:space="0" w:color="auto"/>
              <w:left w:val="single" w:sz="4" w:space="0" w:color="auto"/>
              <w:bottom w:val="single" w:sz="4" w:space="0" w:color="auto"/>
              <w:right w:val="single" w:sz="4" w:space="0" w:color="auto"/>
            </w:tcBorders>
          </w:tcPr>
          <w:p w14:paraId="07F623DD" w14:textId="77777777" w:rsidR="0060222E" w:rsidRPr="001552C0" w:rsidRDefault="0060222E" w:rsidP="00A446DA">
            <w:r w:rsidRPr="001552C0">
              <w:lastRenderedPageBreak/>
              <w:t xml:space="preserve"> (iv) Promovarea adaptării la </w:t>
            </w:r>
            <w:r w:rsidRPr="001552C0">
              <w:lastRenderedPageBreak/>
              <w:t>schimbările climatice, a prevenirii riscurilor și a rezilienței în urma dezastrelor</w:t>
            </w:r>
          </w:p>
          <w:p w14:paraId="18B95C41" w14:textId="77777777" w:rsidR="0060222E" w:rsidRPr="001552C0" w:rsidRDefault="0060222E" w:rsidP="00A446DA"/>
        </w:tc>
        <w:tc>
          <w:tcPr>
            <w:tcW w:w="269" w:type="pct"/>
            <w:tcBorders>
              <w:top w:val="single" w:sz="4" w:space="0" w:color="auto"/>
              <w:left w:val="single" w:sz="4" w:space="0" w:color="auto"/>
              <w:bottom w:val="single" w:sz="4" w:space="0" w:color="auto"/>
              <w:right w:val="single" w:sz="4" w:space="0" w:color="auto"/>
            </w:tcBorders>
          </w:tcPr>
          <w:p w14:paraId="1A14E389" w14:textId="08CA89F7" w:rsidR="0060222E" w:rsidRPr="001552C0" w:rsidRDefault="0060222E" w:rsidP="00990057">
            <w:r w:rsidRPr="001552C0">
              <w:lastRenderedPageBreak/>
              <w:t>FEDR</w:t>
            </w:r>
          </w:p>
        </w:tc>
        <w:tc>
          <w:tcPr>
            <w:tcW w:w="431" w:type="pct"/>
            <w:tcBorders>
              <w:top w:val="single" w:sz="4" w:space="0" w:color="auto"/>
              <w:left w:val="single" w:sz="4" w:space="0" w:color="auto"/>
              <w:bottom w:val="single" w:sz="4" w:space="0" w:color="auto"/>
              <w:right w:val="single" w:sz="4" w:space="0" w:color="auto"/>
            </w:tcBorders>
          </w:tcPr>
          <w:p w14:paraId="2E69C1E8" w14:textId="00B5833C" w:rsidR="0060222E" w:rsidRPr="001552C0" w:rsidRDefault="0060222E" w:rsidP="00A446DA">
            <w:r w:rsidRPr="001552C0">
              <w:t>Mai puțin dezvoltată</w:t>
            </w:r>
          </w:p>
        </w:tc>
        <w:tc>
          <w:tcPr>
            <w:tcW w:w="309" w:type="pct"/>
            <w:tcBorders>
              <w:top w:val="single" w:sz="4" w:space="0" w:color="auto"/>
              <w:left w:val="single" w:sz="4" w:space="0" w:color="auto"/>
              <w:bottom w:val="single" w:sz="4" w:space="0" w:color="auto"/>
              <w:right w:val="single" w:sz="4" w:space="0" w:color="auto"/>
            </w:tcBorders>
          </w:tcPr>
          <w:p w14:paraId="2A40B188" w14:textId="77777777" w:rsidR="0060222E" w:rsidRPr="001552C0" w:rsidRDefault="0060222E" w:rsidP="00990057">
            <w:pPr>
              <w:rPr>
                <w:i/>
              </w:rPr>
            </w:pPr>
          </w:p>
        </w:tc>
        <w:tc>
          <w:tcPr>
            <w:tcW w:w="444" w:type="pct"/>
            <w:tcBorders>
              <w:top w:val="single" w:sz="4" w:space="0" w:color="auto"/>
              <w:left w:val="single" w:sz="4" w:space="0" w:color="auto"/>
              <w:bottom w:val="single" w:sz="4" w:space="0" w:color="auto"/>
              <w:right w:val="single" w:sz="4" w:space="0" w:color="auto"/>
            </w:tcBorders>
          </w:tcPr>
          <w:p w14:paraId="0EE7767E" w14:textId="3D8D143A" w:rsidR="0060222E" w:rsidRPr="001552C0" w:rsidRDefault="0060222E" w:rsidP="00990057">
            <w:r w:rsidRPr="001552C0">
              <w:t xml:space="preserve">Timp mediu de răspuns la </w:t>
            </w:r>
            <w:r w:rsidRPr="001552C0">
              <w:lastRenderedPageBreak/>
              <w:t>situaţii de urgenţă</w:t>
            </w:r>
          </w:p>
        </w:tc>
        <w:tc>
          <w:tcPr>
            <w:tcW w:w="553" w:type="pct"/>
            <w:tcBorders>
              <w:top w:val="single" w:sz="4" w:space="0" w:color="auto"/>
              <w:left w:val="single" w:sz="4" w:space="0" w:color="auto"/>
              <w:bottom w:val="single" w:sz="4" w:space="0" w:color="auto"/>
              <w:right w:val="single" w:sz="4" w:space="0" w:color="auto"/>
            </w:tcBorders>
          </w:tcPr>
          <w:p w14:paraId="60B96935" w14:textId="684DD68D" w:rsidR="0060222E" w:rsidRPr="001552C0" w:rsidRDefault="0060222E" w:rsidP="00990057">
            <w:r w:rsidRPr="001552C0">
              <w:lastRenderedPageBreak/>
              <w:t>minute</w:t>
            </w:r>
          </w:p>
        </w:tc>
        <w:tc>
          <w:tcPr>
            <w:tcW w:w="412" w:type="pct"/>
            <w:tcBorders>
              <w:top w:val="single" w:sz="4" w:space="0" w:color="auto"/>
              <w:left w:val="single" w:sz="4" w:space="0" w:color="auto"/>
              <w:bottom w:val="single" w:sz="4" w:space="0" w:color="auto"/>
              <w:right w:val="single" w:sz="4" w:space="0" w:color="auto"/>
            </w:tcBorders>
          </w:tcPr>
          <w:p w14:paraId="44060140" w14:textId="63CFC98E" w:rsidR="0060222E" w:rsidRPr="001552C0" w:rsidRDefault="0060222E" w:rsidP="00990057"/>
        </w:tc>
        <w:tc>
          <w:tcPr>
            <w:tcW w:w="427" w:type="pct"/>
            <w:tcBorders>
              <w:top w:val="single" w:sz="4" w:space="0" w:color="auto"/>
              <w:left w:val="single" w:sz="4" w:space="0" w:color="auto"/>
              <w:bottom w:val="single" w:sz="4" w:space="0" w:color="auto"/>
              <w:right w:val="single" w:sz="4" w:space="0" w:color="auto"/>
            </w:tcBorders>
          </w:tcPr>
          <w:p w14:paraId="356ADCC7" w14:textId="07315D92" w:rsidR="0060222E" w:rsidRPr="001552C0" w:rsidRDefault="0060222E" w:rsidP="00990057">
            <w:r w:rsidRPr="001552C0">
              <w:t>2020</w:t>
            </w:r>
          </w:p>
        </w:tc>
        <w:tc>
          <w:tcPr>
            <w:tcW w:w="312" w:type="pct"/>
            <w:tcBorders>
              <w:top w:val="single" w:sz="4" w:space="0" w:color="auto"/>
              <w:left w:val="single" w:sz="4" w:space="0" w:color="auto"/>
              <w:bottom w:val="single" w:sz="4" w:space="0" w:color="auto"/>
              <w:right w:val="single" w:sz="4" w:space="0" w:color="auto"/>
            </w:tcBorders>
          </w:tcPr>
          <w:p w14:paraId="5FA480AE" w14:textId="77777777" w:rsidR="0060222E" w:rsidRPr="001552C0" w:rsidRDefault="0060222E" w:rsidP="00990057">
            <w:pPr>
              <w:rPr>
                <w:b/>
              </w:rPr>
            </w:pPr>
          </w:p>
        </w:tc>
        <w:tc>
          <w:tcPr>
            <w:tcW w:w="323" w:type="pct"/>
            <w:tcBorders>
              <w:top w:val="single" w:sz="4" w:space="0" w:color="auto"/>
              <w:left w:val="single" w:sz="4" w:space="0" w:color="auto"/>
              <w:bottom w:val="single" w:sz="4" w:space="0" w:color="auto"/>
              <w:right w:val="single" w:sz="4" w:space="0" w:color="auto"/>
            </w:tcBorders>
          </w:tcPr>
          <w:p w14:paraId="44E96A81" w14:textId="77777777" w:rsidR="0060222E" w:rsidRPr="001552C0" w:rsidRDefault="0060222E" w:rsidP="00990057">
            <w:pPr>
              <w:rPr>
                <w:i/>
              </w:rPr>
            </w:pPr>
          </w:p>
        </w:tc>
        <w:tc>
          <w:tcPr>
            <w:tcW w:w="449" w:type="pct"/>
            <w:tcBorders>
              <w:top w:val="single" w:sz="4" w:space="0" w:color="auto"/>
              <w:left w:val="single" w:sz="4" w:space="0" w:color="auto"/>
              <w:bottom w:val="single" w:sz="4" w:space="0" w:color="auto"/>
              <w:right w:val="single" w:sz="4" w:space="0" w:color="auto"/>
            </w:tcBorders>
          </w:tcPr>
          <w:p w14:paraId="49A7A1CB" w14:textId="77777777" w:rsidR="0060222E" w:rsidRPr="001552C0" w:rsidRDefault="0060222E" w:rsidP="00990057">
            <w:pPr>
              <w:rPr>
                <w:i/>
              </w:rPr>
            </w:pPr>
          </w:p>
        </w:tc>
      </w:tr>
    </w:tbl>
    <w:p w14:paraId="0D556896" w14:textId="77777777" w:rsidR="00990057" w:rsidRPr="001552C0" w:rsidRDefault="00990057" w:rsidP="00990057">
      <w:pPr>
        <w:rPr>
          <w:b/>
          <w:iCs/>
        </w:rPr>
      </w:pPr>
      <w:r w:rsidRPr="001552C0">
        <w:rPr>
          <w:i/>
        </w:rPr>
        <w:lastRenderedPageBreak/>
        <w:t>[Point 2.1.1.3 in the Commission proposal has been moved up following changes in Article 17(3)(c) CPR and it is now point 2.1.1.bis]</w:t>
      </w:r>
    </w:p>
    <w:p w14:paraId="19F9F4FF" w14:textId="77777777" w:rsidR="00F000AD" w:rsidRPr="001552C0" w:rsidRDefault="00F000AD" w:rsidP="00F000AD">
      <w:pPr>
        <w:rPr>
          <w:b/>
          <w:bCs/>
        </w:rPr>
      </w:pPr>
      <w:r w:rsidRPr="001552C0">
        <w:rPr>
          <w:b/>
          <w:bCs/>
        </w:rPr>
        <w:t>3.</w:t>
      </w:r>
      <w:r w:rsidRPr="001552C0">
        <w:rPr>
          <w:b/>
          <w:bCs/>
        </w:rPr>
        <w:tab/>
        <w:t>Financial plan</w:t>
      </w:r>
    </w:p>
    <w:p w14:paraId="2538A6FE" w14:textId="77777777" w:rsidR="00F000AD" w:rsidRPr="001552C0" w:rsidRDefault="00F000AD" w:rsidP="00F000AD">
      <w:pPr>
        <w:rPr>
          <w:i/>
        </w:rPr>
      </w:pPr>
      <w:r w:rsidRPr="001552C0">
        <w:rPr>
          <w:i/>
        </w:rPr>
        <w:t>Reference:  Article 17(3)(f)(i)-(iii); Article 106(1)-(3), Article 10; Article 21; CPR</w:t>
      </w:r>
    </w:p>
    <w:p w14:paraId="096B1546" w14:textId="77777777" w:rsidR="00F000AD" w:rsidRPr="001552C0" w:rsidRDefault="00F000AD" w:rsidP="00F000AD">
      <w:pPr>
        <w:rPr>
          <w:b/>
        </w:rPr>
      </w:pPr>
    </w:p>
    <w:p w14:paraId="6C1BDE57" w14:textId="77777777" w:rsidR="00F000AD" w:rsidRPr="001552C0" w:rsidRDefault="00F000AD" w:rsidP="00F000AD">
      <w:pPr>
        <w:rPr>
          <w:b/>
        </w:rPr>
      </w:pPr>
      <w:r w:rsidRPr="001552C0">
        <w:rPr>
          <w:b/>
        </w:rPr>
        <w:t>3.A Transfers and contributions</w:t>
      </w:r>
      <w:r w:rsidRPr="001552C0">
        <w:rPr>
          <w:b/>
          <w:vertAlign w:val="superscript"/>
        </w:rPr>
        <w:footnoteReference w:id="20"/>
      </w:r>
    </w:p>
    <w:p w14:paraId="042DAD7D" w14:textId="77777777" w:rsidR="00F000AD" w:rsidRPr="001552C0" w:rsidRDefault="00F000AD" w:rsidP="00F000AD">
      <w:pPr>
        <w:rPr>
          <w:i/>
        </w:rPr>
      </w:pPr>
      <w:r w:rsidRPr="001552C0">
        <w:rPr>
          <w:i/>
        </w:rPr>
        <w:t>Reference: Article 10; Article 21; CPR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6B06" w:rsidRPr="001552C0" w14:paraId="346996CB"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67654DE1" w14:textId="77777777" w:rsidR="00F000AD" w:rsidRPr="001552C0" w:rsidRDefault="00F000AD" w:rsidP="00F000AD">
            <w:r w:rsidRPr="001552C0">
              <w:fldChar w:fldCharType="begin">
                <w:ffData>
                  <w:name w:val="Check1"/>
                  <w:enabled/>
                  <w:calcOnExit w:val="0"/>
                  <w:checkBox>
                    <w:sizeAuto/>
                    <w:default w:val="0"/>
                  </w:checkBox>
                </w:ffData>
              </w:fldChar>
            </w:r>
            <w:r w:rsidRPr="001552C0">
              <w:instrText xml:space="preserve"> FORMCHECKBOX </w:instrText>
            </w:r>
            <w:r w:rsidR="006A151E">
              <w:fldChar w:fldCharType="separate"/>
            </w:r>
            <w:r w:rsidRPr="001552C0">
              <w:fldChar w:fldCharType="end"/>
            </w:r>
            <w:r w:rsidRPr="001552C0">
              <w:t xml:space="preserve"> Programme amendment related to Article 10, CPR (contribution to Invest EU)</w:t>
            </w:r>
          </w:p>
        </w:tc>
      </w:tr>
      <w:tr w:rsidR="00F000AD" w:rsidRPr="001552C0" w14:paraId="67430B41" w14:textId="77777777" w:rsidTr="00F000AD">
        <w:tc>
          <w:tcPr>
            <w:tcW w:w="9322" w:type="dxa"/>
            <w:tcBorders>
              <w:top w:val="single" w:sz="4" w:space="0" w:color="auto"/>
              <w:left w:val="single" w:sz="4" w:space="0" w:color="auto"/>
              <w:bottom w:val="single" w:sz="4" w:space="0" w:color="auto"/>
              <w:right w:val="single" w:sz="4" w:space="0" w:color="auto"/>
            </w:tcBorders>
            <w:hideMark/>
          </w:tcPr>
          <w:p w14:paraId="51CAAC5B" w14:textId="77777777" w:rsidR="00F000AD" w:rsidRPr="001552C0" w:rsidRDefault="00F000AD" w:rsidP="00F000AD">
            <w:r w:rsidRPr="001552C0">
              <w:fldChar w:fldCharType="begin">
                <w:ffData>
                  <w:name w:val="Check2"/>
                  <w:enabled/>
                  <w:calcOnExit w:val="0"/>
                  <w:checkBox>
                    <w:sizeAuto/>
                    <w:default w:val="0"/>
                  </w:checkBox>
                </w:ffData>
              </w:fldChar>
            </w:r>
            <w:r w:rsidRPr="001552C0">
              <w:instrText xml:space="preserve"> FORMCHECKBOX </w:instrText>
            </w:r>
            <w:r w:rsidR="006A151E">
              <w:fldChar w:fldCharType="separate"/>
            </w:r>
            <w:r w:rsidRPr="001552C0">
              <w:fldChar w:fldCharType="end"/>
            </w:r>
            <w:r w:rsidRPr="001552C0">
              <w:t xml:space="preserve"> Programme amendment related to Article 21, CPR (transfers to instruments under direct or indirect management or</w:t>
            </w:r>
            <w:r w:rsidRPr="001552C0">
              <w:rPr>
                <w:b/>
              </w:rPr>
              <w:t xml:space="preserve"> </w:t>
            </w:r>
            <w:r w:rsidRPr="001552C0">
              <w:t>between shared management funds)</w:t>
            </w:r>
          </w:p>
        </w:tc>
      </w:tr>
    </w:tbl>
    <w:p w14:paraId="1213A18B" w14:textId="77777777" w:rsidR="00F000AD" w:rsidRPr="001552C0" w:rsidRDefault="00F000AD" w:rsidP="00F000AD">
      <w:pPr>
        <w:rPr>
          <w:b/>
        </w:rPr>
      </w:pPr>
    </w:p>
    <w:p w14:paraId="2DCF3D34" w14:textId="7D52E9D5" w:rsidR="00F000AD" w:rsidRPr="001552C0" w:rsidRDefault="00F000AD" w:rsidP="008C35F2">
      <w:pPr>
        <w:rPr>
          <w:rFonts w:ascii="Times New Roman" w:eastAsia="Times New Roman" w:hAnsi="Times New Roman" w:cs="Times New Roman"/>
          <w:b/>
          <w:noProof/>
          <w:sz w:val="20"/>
        </w:rPr>
      </w:pPr>
      <w:r w:rsidRPr="001552C0">
        <w:rPr>
          <w:b/>
        </w:rPr>
        <w:br w:type="page"/>
      </w:r>
    </w:p>
    <w:p w14:paraId="026BB3CF" w14:textId="77777777" w:rsidR="00F000AD" w:rsidRPr="001552C0" w:rsidRDefault="00F000AD" w:rsidP="00F000AD">
      <w:pPr>
        <w:spacing w:after="0" w:line="360" w:lineRule="auto"/>
        <w:rPr>
          <w:rFonts w:ascii="Times New Roman" w:hAnsi="Times New Roman" w:cs="Times New Roman"/>
          <w:noProof/>
          <w:sz w:val="24"/>
        </w:rPr>
        <w:sectPr w:rsidR="00F000AD" w:rsidRPr="001552C0" w:rsidSect="00F000AD">
          <w:headerReference w:type="default" r:id="rId9"/>
          <w:footerReference w:type="default" r:id="rId10"/>
          <w:pgSz w:w="11906" w:h="16838"/>
          <w:pgMar w:top="1134" w:right="1134" w:bottom="1134" w:left="1134" w:header="567" w:footer="567" w:gutter="0"/>
          <w:cols w:space="720"/>
          <w:docGrid w:linePitch="326"/>
        </w:sectPr>
      </w:pPr>
    </w:p>
    <w:p w14:paraId="78DDBD59" w14:textId="77777777" w:rsidR="00F000AD" w:rsidRPr="001552C0" w:rsidRDefault="00F000AD" w:rsidP="00F000AD">
      <w:pPr>
        <w:spacing w:before="120" w:after="120" w:line="360" w:lineRule="auto"/>
        <w:rPr>
          <w:rFonts w:ascii="Times New Roman" w:eastAsia="Times New Roman" w:hAnsi="Times New Roman" w:cs="Times New Roman"/>
          <w:b/>
          <w:noProof/>
          <w:sz w:val="20"/>
        </w:rPr>
      </w:pPr>
    </w:p>
    <w:p w14:paraId="6DB60587" w14:textId="77777777" w:rsidR="00F000AD" w:rsidRPr="001552C0" w:rsidRDefault="00F000AD" w:rsidP="00F000AD">
      <w:pPr>
        <w:spacing w:before="120" w:after="120" w:line="360" w:lineRule="auto"/>
        <w:rPr>
          <w:rFonts w:ascii="Times New Roman" w:eastAsia="Times New Roman" w:hAnsi="Times New Roman" w:cs="Times New Roman"/>
          <w:b/>
          <w:noProof/>
          <w:sz w:val="20"/>
        </w:rPr>
      </w:pPr>
      <w:r w:rsidRPr="001552C0">
        <w:rPr>
          <w:rFonts w:ascii="Times New Roman" w:eastAsia="Times New Roman" w:hAnsi="Times New Roman" w:cs="Times New Roman"/>
          <w:b/>
          <w:noProof/>
          <w:sz w:val="20"/>
        </w:rPr>
        <w:t>Table 17: Transfers between shared management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26"/>
        <w:gridCol w:w="1472"/>
        <w:gridCol w:w="963"/>
        <w:gridCol w:w="874"/>
        <w:gridCol w:w="950"/>
        <w:gridCol w:w="1370"/>
        <w:gridCol w:w="963"/>
        <w:gridCol w:w="874"/>
        <w:gridCol w:w="950"/>
        <w:gridCol w:w="1370"/>
        <w:gridCol w:w="456"/>
        <w:gridCol w:w="726"/>
        <w:gridCol w:w="696"/>
        <w:gridCol w:w="497"/>
        <w:gridCol w:w="706"/>
        <w:gridCol w:w="627"/>
      </w:tblGrid>
      <w:tr w:rsidR="00B96B06" w:rsidRPr="001552C0" w14:paraId="4C797899" w14:textId="77777777" w:rsidTr="00F000AD">
        <w:tc>
          <w:tcPr>
            <w:tcW w:w="0" w:type="auto"/>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hideMark/>
          </w:tcPr>
          <w:p w14:paraId="7AFF0918" w14:textId="77777777" w:rsidR="00F000AD" w:rsidRPr="001552C0" w:rsidRDefault="00F000AD" w:rsidP="00F000AD">
            <w:pPr>
              <w:spacing w:before="120" w:after="120"/>
              <w:ind w:left="851"/>
              <w:rPr>
                <w:rFonts w:ascii="Times New Roman" w:hAnsi="Times New Roman" w:cs="Times New Roman"/>
                <w:noProof/>
                <w:sz w:val="16"/>
                <w:szCs w:val="18"/>
              </w:rPr>
            </w:pPr>
            <w:r w:rsidRPr="001552C0">
              <w:rPr>
                <w:rFonts w:ascii="Times New Roman" w:hAnsi="Times New Roman" w:cs="Times New Roman"/>
                <w:noProof/>
                <w:sz w:val="16"/>
                <w:szCs w:val="18"/>
              </w:rPr>
              <w:t xml:space="preserve">Receiving fund / instrument </w:t>
            </w:r>
          </w:p>
          <w:p w14:paraId="250CE411" w14:textId="77777777" w:rsidR="00F000AD" w:rsidRPr="001552C0" w:rsidRDefault="00F000AD" w:rsidP="00F000AD">
            <w:pPr>
              <w:spacing w:before="120" w:after="120"/>
              <w:rPr>
                <w:rFonts w:ascii="Times New Roman" w:hAnsi="Times New Roman" w:cs="Times New Roman"/>
                <w:sz w:val="16"/>
                <w:szCs w:val="16"/>
              </w:rPr>
            </w:pPr>
            <w:r w:rsidRPr="001552C0">
              <w:rPr>
                <w:rFonts w:ascii="Times New Roman" w:hAnsi="Times New Roman" w:cs="Times New Roman"/>
                <w:sz w:val="16"/>
                <w:szCs w:val="16"/>
              </w:rPr>
              <w:t xml:space="preserve">Transferring </w:t>
            </w:r>
            <w:r w:rsidRPr="001552C0">
              <w:rPr>
                <w:rFonts w:ascii="Times New Roman" w:hAnsi="Times New Roman" w:cs="Times New Roman"/>
                <w:sz w:val="16"/>
                <w:szCs w:val="16"/>
              </w:rPr>
              <w:br/>
              <w:t>fund /instrument</w:t>
            </w:r>
            <w:r w:rsidRPr="001552C0">
              <w:rPr>
                <w:rFonts w:ascii="Times New Roman" w:hAnsi="Times New Roman" w:cs="Times New Roman"/>
                <w:b/>
                <w:sz w:val="16"/>
                <w:szCs w:val="16"/>
              </w:rPr>
              <w:t xml:space="preserve"> </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hideMark/>
          </w:tcPr>
          <w:p w14:paraId="7A962DE0" w14:textId="77777777" w:rsidR="00F000AD" w:rsidRPr="001552C0" w:rsidRDefault="00F000AD" w:rsidP="00F000AD">
            <w:pPr>
              <w:spacing w:before="120" w:after="120"/>
              <w:jc w:val="center"/>
              <w:rPr>
                <w:rFonts w:ascii="Times New Roman" w:hAnsi="Times New Roman" w:cs="Times New Roman"/>
                <w:b/>
                <w:noProof/>
                <w:sz w:val="18"/>
                <w:szCs w:val="18"/>
              </w:rPr>
            </w:pPr>
            <w:r w:rsidRPr="001552C0">
              <w:rPr>
                <w:rFonts w:ascii="Times New Roman" w:hAnsi="Times New Roman" w:cs="Times New Roman"/>
                <w:b/>
                <w:noProof/>
                <w:sz w:val="18"/>
                <w:szCs w:val="18"/>
              </w:rPr>
              <w:t>ERDF</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hideMark/>
          </w:tcPr>
          <w:p w14:paraId="6E6AD213" w14:textId="77777777" w:rsidR="00F000AD" w:rsidRPr="001552C0" w:rsidRDefault="00F000AD" w:rsidP="00F000AD">
            <w:pPr>
              <w:spacing w:before="120" w:after="120"/>
              <w:jc w:val="center"/>
              <w:rPr>
                <w:rFonts w:ascii="Times New Roman" w:hAnsi="Times New Roman" w:cs="Times New Roman"/>
                <w:b/>
                <w:noProof/>
                <w:sz w:val="18"/>
                <w:szCs w:val="18"/>
              </w:rPr>
            </w:pPr>
            <w:r w:rsidRPr="001552C0">
              <w:rPr>
                <w:rFonts w:ascii="Times New Roman" w:hAnsi="Times New Roman" w:cs="Times New Roman"/>
                <w:b/>
                <w:noProof/>
                <w:sz w:val="18"/>
                <w:szCs w:val="18"/>
              </w:rPr>
              <w:t>ESF+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130A0BBB" w14:textId="77777777" w:rsidR="00F000AD" w:rsidRPr="001552C0" w:rsidRDefault="00F000AD" w:rsidP="00F000AD">
            <w:pPr>
              <w:spacing w:before="120" w:after="120"/>
              <w:rPr>
                <w:rFonts w:ascii="Times New Roman" w:hAnsi="Times New Roman" w:cs="Times New Roman"/>
                <w:b/>
                <w:noProof/>
                <w:sz w:val="18"/>
                <w:szCs w:val="18"/>
              </w:rPr>
            </w:pPr>
            <w:r w:rsidRPr="001552C0">
              <w:rPr>
                <w:rFonts w:ascii="Times New Roman" w:hAnsi="Times New Roman" w:cs="Times New Roman"/>
                <w:b/>
                <w:noProof/>
                <w:sz w:val="18"/>
                <w:szCs w:val="18"/>
              </w:rPr>
              <w:t>CF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0370BCE9" w14:textId="77777777" w:rsidR="00F000AD" w:rsidRPr="001552C0" w:rsidRDefault="00F000AD" w:rsidP="00F000AD">
            <w:pPr>
              <w:spacing w:before="120" w:after="120"/>
              <w:rPr>
                <w:rFonts w:ascii="Times New Roman" w:hAnsi="Times New Roman" w:cs="Times New Roman"/>
                <w:b/>
                <w:noProof/>
                <w:sz w:val="18"/>
                <w:szCs w:val="18"/>
              </w:rPr>
            </w:pPr>
            <w:r w:rsidRPr="001552C0">
              <w:rPr>
                <w:rFonts w:ascii="Times New Roman" w:hAnsi="Times New Roman" w:cs="Times New Roman"/>
                <w:b/>
                <w:noProof/>
                <w:sz w:val="18"/>
                <w:szCs w:val="18"/>
              </w:rPr>
              <w:t>EMFF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170BDE0F" w14:textId="77777777" w:rsidR="00F000AD" w:rsidRPr="001552C0" w:rsidRDefault="00F000AD" w:rsidP="00F000AD">
            <w:pPr>
              <w:spacing w:before="120" w:after="120"/>
              <w:rPr>
                <w:rFonts w:ascii="Times New Roman" w:hAnsi="Times New Roman" w:cs="Times New Roman"/>
                <w:b/>
                <w:noProof/>
                <w:sz w:val="18"/>
                <w:szCs w:val="18"/>
              </w:rPr>
            </w:pPr>
            <w:r w:rsidRPr="001552C0">
              <w:rPr>
                <w:rFonts w:ascii="Times New Roman" w:hAnsi="Times New Roman" w:cs="Times New Roman"/>
                <w:b/>
                <w:noProof/>
                <w:sz w:val="18"/>
                <w:szCs w:val="18"/>
              </w:rPr>
              <w:t>AMIF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D52ADC1" w14:textId="77777777" w:rsidR="00F000AD" w:rsidRPr="001552C0" w:rsidRDefault="00F000AD" w:rsidP="00F000AD">
            <w:pPr>
              <w:spacing w:before="120" w:after="120"/>
              <w:rPr>
                <w:rFonts w:ascii="Times New Roman" w:hAnsi="Times New Roman" w:cs="Times New Roman"/>
                <w:b/>
                <w:noProof/>
                <w:sz w:val="18"/>
                <w:szCs w:val="18"/>
              </w:rPr>
            </w:pPr>
            <w:r w:rsidRPr="001552C0">
              <w:rPr>
                <w:rFonts w:ascii="Times New Roman" w:hAnsi="Times New Roman" w:cs="Times New Roman"/>
                <w:b/>
                <w:noProof/>
                <w:sz w:val="18"/>
                <w:szCs w:val="18"/>
              </w:rPr>
              <w:t>ISF</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27E0A9D2" w14:textId="77777777" w:rsidR="00F000AD" w:rsidRPr="001552C0" w:rsidRDefault="00F000AD" w:rsidP="00F000AD">
            <w:pPr>
              <w:spacing w:before="120" w:after="120"/>
              <w:rPr>
                <w:rFonts w:ascii="Times New Roman" w:hAnsi="Times New Roman" w:cs="Times New Roman"/>
                <w:b/>
                <w:noProof/>
                <w:sz w:val="18"/>
                <w:szCs w:val="18"/>
              </w:rPr>
            </w:pPr>
            <w:r w:rsidRPr="001552C0">
              <w:rPr>
                <w:rFonts w:ascii="Times New Roman" w:hAnsi="Times New Roman" w:cs="Times New Roman"/>
                <w:b/>
                <w:noProof/>
                <w:sz w:val="18"/>
                <w:szCs w:val="18"/>
              </w:rPr>
              <w:t>BMVI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0DF958F" w14:textId="77777777" w:rsidR="00F000AD" w:rsidRPr="001552C0" w:rsidRDefault="00F000AD" w:rsidP="00F000AD">
            <w:pPr>
              <w:spacing w:before="120" w:after="120"/>
              <w:rPr>
                <w:rFonts w:ascii="Times New Roman" w:hAnsi="Times New Roman" w:cs="Times New Roman"/>
                <w:b/>
                <w:noProof/>
                <w:sz w:val="18"/>
                <w:szCs w:val="18"/>
              </w:rPr>
            </w:pPr>
            <w:r w:rsidRPr="001552C0">
              <w:rPr>
                <w:rFonts w:ascii="Times New Roman" w:hAnsi="Times New Roman" w:cs="Times New Roman"/>
                <w:b/>
                <w:noProof/>
                <w:sz w:val="18"/>
                <w:szCs w:val="18"/>
              </w:rPr>
              <w:t xml:space="preserve">Total </w:t>
            </w:r>
          </w:p>
        </w:tc>
      </w:tr>
      <w:tr w:rsidR="00B96B06" w:rsidRPr="001552C0" w14:paraId="3BC7BD93" w14:textId="77777777" w:rsidTr="001B419F">
        <w:trPr>
          <w:trHeight w:val="67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1463EA" w14:textId="77777777" w:rsidR="00F000AD" w:rsidRPr="001552C0" w:rsidRDefault="00F000AD" w:rsidP="00F000AD">
            <w:pPr>
              <w:spacing w:after="0"/>
              <w:rPr>
                <w:rFonts w:ascii="Times New Roman" w:hAnsi="Times New Roman" w:cs="Times New Roman"/>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849FC27" w14:textId="77777777" w:rsidR="00F000AD" w:rsidRPr="001552C0" w:rsidRDefault="00F000AD" w:rsidP="00F000AD">
            <w:pPr>
              <w:spacing w:before="120" w:after="120"/>
              <w:jc w:val="center"/>
              <w:rPr>
                <w:rFonts w:ascii="Times New Roman" w:eastAsia="Times New Roman" w:hAnsi="Times New Roman" w:cs="Times New Roman"/>
                <w:noProof/>
                <w:sz w:val="16"/>
                <w:szCs w:val="16"/>
              </w:rPr>
            </w:pPr>
            <w:r w:rsidRPr="001552C0">
              <w:rPr>
                <w:rFonts w:ascii="Times New Roman" w:eastAsia="Times New Roman" w:hAnsi="Times New Roman" w:cs="Times New Roman"/>
                <w:noProof/>
                <w:sz w:val="16"/>
                <w:szCs w:val="16"/>
              </w:rPr>
              <w:t>More developed</w:t>
            </w:r>
          </w:p>
        </w:tc>
        <w:tc>
          <w:tcPr>
            <w:tcW w:w="874" w:type="dxa"/>
            <w:tcBorders>
              <w:top w:val="single" w:sz="4" w:space="0" w:color="auto"/>
              <w:left w:val="single" w:sz="4" w:space="0" w:color="auto"/>
              <w:bottom w:val="single" w:sz="4" w:space="0" w:color="auto"/>
              <w:right w:val="single" w:sz="4" w:space="0" w:color="auto"/>
            </w:tcBorders>
            <w:shd w:val="clear" w:color="auto" w:fill="FFFFFF"/>
            <w:hideMark/>
          </w:tcPr>
          <w:p w14:paraId="195B0643"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hAnsi="Times New Roman" w:cs="Times New Roman"/>
                <w:noProof/>
                <w:sz w:val="16"/>
                <w:szCs w:val="16"/>
              </w:rPr>
              <w:t>Transition</w:t>
            </w:r>
          </w:p>
        </w:tc>
        <w:tc>
          <w:tcPr>
            <w:tcW w:w="950" w:type="dxa"/>
            <w:tcBorders>
              <w:top w:val="single" w:sz="4" w:space="0" w:color="auto"/>
              <w:left w:val="single" w:sz="4" w:space="0" w:color="auto"/>
              <w:bottom w:val="single" w:sz="4" w:space="0" w:color="auto"/>
              <w:right w:val="single" w:sz="4" w:space="0" w:color="auto"/>
            </w:tcBorders>
            <w:shd w:val="clear" w:color="auto" w:fill="FFFFFF"/>
            <w:hideMark/>
          </w:tcPr>
          <w:p w14:paraId="540C049E"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C19F7CA"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hAnsi="Times New Roman" w:cs="Times New Roman"/>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B43EAC8"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792D1CC"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eastAsia="Times New Roman" w:hAnsi="Times New Roman" w:cs="Times New Roman"/>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6876278"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2D94386" w14:textId="77777777" w:rsidR="00F000AD" w:rsidRPr="001552C0" w:rsidRDefault="00F000AD" w:rsidP="00F000AD">
            <w:pPr>
              <w:spacing w:before="120" w:after="120"/>
              <w:jc w:val="center"/>
              <w:rPr>
                <w:rFonts w:ascii="Times New Roman" w:hAnsi="Times New Roman" w:cs="Times New Roman"/>
                <w:noProof/>
                <w:sz w:val="16"/>
                <w:szCs w:val="16"/>
              </w:rPr>
            </w:pPr>
            <w:r w:rsidRPr="001552C0">
              <w:rPr>
                <w:rFonts w:ascii="Times New Roman" w:hAnsi="Times New Roman" w:cs="Times New Roman"/>
                <w:noProof/>
                <w:sz w:val="16"/>
                <w:szCs w:val="16"/>
              </w:rPr>
              <w:t xml:space="preserve">Outermost and northern sparsely populated </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0052C8" w14:textId="77777777" w:rsidR="00F000AD" w:rsidRPr="001552C0"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B749A19" w14:textId="77777777" w:rsidR="00F000AD" w:rsidRPr="001552C0"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4889F3" w14:textId="77777777" w:rsidR="00F000AD" w:rsidRPr="001552C0"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E0F317" w14:textId="77777777" w:rsidR="00F000AD" w:rsidRPr="001552C0"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DA7B98" w14:textId="77777777" w:rsidR="00F000AD" w:rsidRPr="001552C0" w:rsidRDefault="00F000AD" w:rsidP="00F000AD">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C43F94" w14:textId="77777777" w:rsidR="00F000AD" w:rsidRPr="001552C0" w:rsidRDefault="00F000AD" w:rsidP="00F000AD">
            <w:pPr>
              <w:spacing w:after="0"/>
              <w:rPr>
                <w:rFonts w:ascii="Times New Roman" w:hAnsi="Times New Roman" w:cs="Times New Roman"/>
                <w:b/>
                <w:noProof/>
                <w:sz w:val="18"/>
                <w:szCs w:val="18"/>
              </w:rPr>
            </w:pPr>
          </w:p>
        </w:tc>
      </w:tr>
      <w:tr w:rsidR="00B96B06" w:rsidRPr="001552C0" w14:paraId="5D5EA81B" w14:textId="77777777" w:rsidTr="001B419F">
        <w:trPr>
          <w:trHeight w:val="428"/>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8C07BB4" w14:textId="77777777" w:rsidR="00F000AD" w:rsidRPr="001552C0" w:rsidRDefault="00F000AD" w:rsidP="00F000AD">
            <w:pPr>
              <w:spacing w:before="60" w:after="60"/>
              <w:rPr>
                <w:rFonts w:ascii="Times New Roman" w:hAnsi="Times New Roman" w:cs="Times New Roman"/>
                <w:b/>
                <w:noProof/>
                <w:sz w:val="18"/>
                <w:szCs w:val="18"/>
              </w:rPr>
            </w:pPr>
            <w:r w:rsidRPr="001552C0">
              <w:rPr>
                <w:rFonts w:ascii="Times New Roman" w:hAnsi="Times New Roman" w:cs="Times New Roman"/>
                <w:b/>
                <w:noProof/>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B56974A"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3F69EC5"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14:paraId="77359779"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7F7F7F"/>
          </w:tcPr>
          <w:p w14:paraId="5E00E7B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63C6C4A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722A34"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CA054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3A30D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70881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121A80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908C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12EFD8"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880FB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D03FB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2A2874"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413D9846" w14:textId="77777777" w:rsidTr="001B419F">
        <w:trPr>
          <w:trHeight w:val="35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63F5F8" w14:textId="77777777" w:rsidR="00F000AD" w:rsidRPr="001552C0" w:rsidRDefault="00F000AD" w:rsidP="00F000AD">
            <w:pPr>
              <w:spacing w:after="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CDFDC9E"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hAnsi="Times New Roman" w:cs="Times New Roman"/>
                <w:noProof/>
                <w:sz w:val="16"/>
                <w:szCs w:val="16"/>
              </w:rPr>
              <w:t>Transition</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31F9C13"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14:paraId="5EB35659"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7F7F7F"/>
          </w:tcPr>
          <w:p w14:paraId="21047F2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48FE24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E96E9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44E07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64ED6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F3978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07ED9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33209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74F248"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7F6FF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F6952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C56EEF"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60BA2596" w14:textId="77777777" w:rsidTr="001B419F">
        <w:trPr>
          <w:trHeight w:val="286"/>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0779E9" w14:textId="77777777" w:rsidR="00F000AD" w:rsidRPr="001552C0" w:rsidRDefault="00F000AD" w:rsidP="00F000AD">
            <w:pPr>
              <w:spacing w:after="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0DCE09A" w14:textId="77777777" w:rsidR="00F000AD" w:rsidRPr="001552C0" w:rsidRDefault="00F000AD" w:rsidP="00F000AD">
            <w:pPr>
              <w:spacing w:before="60" w:after="60"/>
              <w:rPr>
                <w:rFonts w:ascii="Times New Roman" w:hAnsi="Times New Roman" w:cs="Times New Roman"/>
                <w:noProof/>
                <w:sz w:val="16"/>
                <w:szCs w:val="16"/>
              </w:rPr>
            </w:pPr>
            <w:r w:rsidRPr="001552C0">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4A11849"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14:paraId="232D8609"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7F7F7F"/>
          </w:tcPr>
          <w:p w14:paraId="247BBA4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9A553E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907F8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7A100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C695AC"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689DE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7DBBF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A1F7C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AAAA5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49AE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C8441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E9504C"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081731BB" w14:textId="77777777" w:rsidTr="001B419F">
        <w:trPr>
          <w:trHeight w:val="64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40CB40" w14:textId="77777777" w:rsidR="00F000AD" w:rsidRPr="001552C0" w:rsidRDefault="00F000AD" w:rsidP="00F000AD">
            <w:pPr>
              <w:spacing w:after="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0C23556"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hAnsi="Times New Roman" w:cs="Times New Roman"/>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584EAFA"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7F7F7F"/>
          </w:tcPr>
          <w:p w14:paraId="77373E47"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7F7F7F"/>
          </w:tcPr>
          <w:p w14:paraId="1D5D123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691B675"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11697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08C91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172165"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68CF5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E750E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017003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6FF91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B419F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55B39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D74FA5"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748DB439" w14:textId="77777777" w:rsidTr="001B419F">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7CDB7CAA" w14:textId="77777777" w:rsidR="00F000AD" w:rsidRPr="001552C0" w:rsidRDefault="00F000AD" w:rsidP="00F000AD">
            <w:pPr>
              <w:spacing w:before="60" w:after="60"/>
              <w:rPr>
                <w:rFonts w:ascii="Times New Roman" w:eastAsia="Times New Roman" w:hAnsi="Times New Roman" w:cs="Times New Roman"/>
                <w:b/>
                <w:noProof/>
                <w:sz w:val="18"/>
                <w:szCs w:val="18"/>
              </w:rPr>
            </w:pPr>
            <w:r w:rsidRPr="001552C0">
              <w:rPr>
                <w:rFonts w:ascii="Times New Roman" w:eastAsia="Times New Roman" w:hAnsi="Times New Roman" w:cs="Times New Roman"/>
                <w:b/>
                <w:noProof/>
                <w:sz w:val="18"/>
                <w:szCs w:val="18"/>
              </w:rPr>
              <w:t>ESF+</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B4A8CA2"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eastAsia="Times New Roman" w:hAnsi="Times New Roman" w:cs="Times New Roman"/>
                <w:noProof/>
                <w:sz w:val="16"/>
                <w:szCs w:val="16"/>
              </w:rPr>
              <w:t>More developed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01D487"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4F43294A"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5E93EB7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BC865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A7BE46C"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DF6CB1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3FDA129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C08E20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D4344E"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E787A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4BDA2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FBC9E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7D794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A3B61A"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1521AB13" w14:textId="77777777" w:rsidTr="001B419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47D20F" w14:textId="77777777" w:rsidR="00F000AD" w:rsidRPr="001552C0" w:rsidRDefault="00F000AD" w:rsidP="00F000AD">
            <w:pPr>
              <w:spacing w:after="0"/>
              <w:rPr>
                <w:rFonts w:ascii="Times New Roman" w:eastAsia="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D528443"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eastAsia="Times New Roman" w:hAnsi="Times New Roman" w:cs="Times New Roman"/>
                <w:noProof/>
                <w:sz w:val="16"/>
                <w:szCs w:val="16"/>
              </w:rPr>
              <w:t xml:space="preserve">Transition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A8A6BA"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2E1103BD"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5DC93F2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889EA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03C0EB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B0D615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B5C1EF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81C09A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ABEA91"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52A9D8"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4AB64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3EE64E"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B16207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E959A9"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6DDD1F2D" w14:textId="77777777" w:rsidTr="001B419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ACA2FC" w14:textId="77777777" w:rsidR="00F000AD" w:rsidRPr="001552C0" w:rsidRDefault="00F000AD" w:rsidP="00F000AD">
            <w:pPr>
              <w:spacing w:after="0"/>
              <w:rPr>
                <w:rFonts w:ascii="Times New Roman" w:eastAsia="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4F58865"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eastAsia="Times New Roman" w:hAnsi="Times New Roman" w:cs="Times New Roman"/>
                <w:noProof/>
                <w:sz w:val="16"/>
                <w:szCs w:val="16"/>
              </w:rPr>
              <w:t>Less developed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7E6548"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7E0045C8"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6B82068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42945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342635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4EACDD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EE6751C"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7A27971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DD8C4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5C528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D77FE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529FD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CB4D5B"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6369C2"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30A3A2E6" w14:textId="77777777" w:rsidTr="001B419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01EA2C" w14:textId="77777777" w:rsidR="00F000AD" w:rsidRPr="001552C0" w:rsidRDefault="00F000AD" w:rsidP="00F000AD">
            <w:pPr>
              <w:spacing w:after="0"/>
              <w:rPr>
                <w:rFonts w:ascii="Times New Roman" w:eastAsia="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F817851" w14:textId="77777777" w:rsidR="00F000AD" w:rsidRPr="001552C0" w:rsidRDefault="00F000AD" w:rsidP="00F000AD">
            <w:pPr>
              <w:spacing w:before="60" w:after="60"/>
              <w:rPr>
                <w:rFonts w:ascii="Times New Roman" w:eastAsia="Times New Roman" w:hAnsi="Times New Roman" w:cs="Times New Roman"/>
                <w:noProof/>
                <w:sz w:val="16"/>
                <w:szCs w:val="16"/>
              </w:rPr>
            </w:pPr>
            <w:r w:rsidRPr="001552C0">
              <w:rPr>
                <w:rFonts w:ascii="Times New Roman" w:hAnsi="Times New Roman" w:cs="Times New Roman"/>
                <w:noProof/>
                <w:sz w:val="16"/>
                <w:szCs w:val="16"/>
              </w:rPr>
              <w:t>Outermost and northern sparsely populated</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F1AF91"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66E91621"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1702E2A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BD10E1"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443D722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04507FDC"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1F45D7E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579004D"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0D7114"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B7BD5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E7B1D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9E228E"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A063D4"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225F02"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04D85EDD" w14:textId="77777777" w:rsidTr="001B419F">
        <w:trPr>
          <w:trHeight w:val="372"/>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0AD1CDC" w14:textId="77777777" w:rsidR="00F000AD" w:rsidRPr="001552C0" w:rsidRDefault="00F000AD" w:rsidP="00F000AD">
            <w:pPr>
              <w:spacing w:before="60" w:after="60"/>
              <w:rPr>
                <w:rFonts w:ascii="Times New Roman" w:eastAsia="Times New Roman" w:hAnsi="Times New Roman" w:cs="Times New Roman"/>
                <w:b/>
                <w:noProof/>
                <w:sz w:val="18"/>
                <w:szCs w:val="18"/>
              </w:rPr>
            </w:pPr>
            <w:r w:rsidRPr="001552C0">
              <w:rPr>
                <w:rFonts w:ascii="Times New Roman" w:eastAsia="Times New Roman" w:hAnsi="Times New Roman" w:cs="Times New Roman"/>
                <w:b/>
                <w:noProof/>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38EC7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D3F164"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73E0353C"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7B672991"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B299BC"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9717"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712660"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D9DC4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E3B055"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24F09D5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D12B7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7D165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CE3A6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A4645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AABB17"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00425197" w14:textId="77777777" w:rsidTr="001B419F">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BBC0146" w14:textId="77777777" w:rsidR="00F000AD" w:rsidRPr="001552C0" w:rsidRDefault="00F000AD" w:rsidP="00F000AD">
            <w:pPr>
              <w:spacing w:before="60" w:after="60"/>
              <w:rPr>
                <w:rFonts w:ascii="Times New Roman" w:eastAsia="Times New Roman" w:hAnsi="Times New Roman" w:cs="Times New Roman"/>
                <w:b/>
                <w:noProof/>
                <w:sz w:val="18"/>
                <w:szCs w:val="18"/>
              </w:rPr>
            </w:pPr>
            <w:r w:rsidRPr="001552C0">
              <w:rPr>
                <w:rFonts w:ascii="Times New Roman" w:eastAsia="Times New Roman" w:hAnsi="Times New Roman" w:cs="Times New Roman"/>
                <w:b/>
                <w:noProof/>
                <w:sz w:val="18"/>
                <w:szCs w:val="18"/>
              </w:rPr>
              <w:t>EMFF</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89D51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C0942C"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1701141C"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1F6D2B8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2B73BE"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04257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1E90E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AA217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D1F45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97BD64"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7F7F7F"/>
          </w:tcPr>
          <w:p w14:paraId="5B4994F8"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E4E0A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8B82D1"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267A7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343E2E" w14:textId="77777777" w:rsidR="00F000AD" w:rsidRPr="001552C0" w:rsidRDefault="00F000AD" w:rsidP="00F000AD">
            <w:pPr>
              <w:spacing w:before="60" w:after="60"/>
              <w:rPr>
                <w:rFonts w:ascii="Times New Roman" w:hAnsi="Times New Roman" w:cs="Times New Roman"/>
                <w:b/>
                <w:noProof/>
                <w:sz w:val="18"/>
                <w:szCs w:val="18"/>
              </w:rPr>
            </w:pPr>
          </w:p>
        </w:tc>
      </w:tr>
      <w:tr w:rsidR="00B96B06" w:rsidRPr="001552C0" w14:paraId="0C2CE996" w14:textId="77777777" w:rsidTr="001B419F">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B40D065" w14:textId="77777777" w:rsidR="00F000AD" w:rsidRPr="001552C0" w:rsidRDefault="00F000AD" w:rsidP="00F000AD">
            <w:pPr>
              <w:spacing w:before="60" w:after="60"/>
              <w:rPr>
                <w:rFonts w:ascii="Times New Roman" w:hAnsi="Times New Roman" w:cs="Times New Roman"/>
                <w:b/>
                <w:noProof/>
                <w:sz w:val="18"/>
                <w:szCs w:val="18"/>
              </w:rPr>
            </w:pPr>
            <w:r w:rsidRPr="001552C0">
              <w:rPr>
                <w:rFonts w:ascii="Times New Roman" w:hAnsi="Times New Roman" w:cs="Times New Roman"/>
                <w:b/>
                <w:noProof/>
                <w:sz w:val="18"/>
                <w:szCs w:val="18"/>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87718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1C4C02" w14:textId="77777777" w:rsidR="00F000AD" w:rsidRPr="001552C0" w:rsidRDefault="00F000AD" w:rsidP="00F000AD">
            <w:pPr>
              <w:spacing w:before="60" w:after="60"/>
              <w:rPr>
                <w:rFonts w:ascii="Times New Roman" w:hAnsi="Times New Roman" w:cs="Times New Roman"/>
                <w:b/>
                <w:noProof/>
                <w:sz w:val="18"/>
                <w:szCs w:val="18"/>
              </w:rPr>
            </w:pPr>
          </w:p>
        </w:tc>
        <w:tc>
          <w:tcPr>
            <w:tcW w:w="874" w:type="dxa"/>
            <w:tcBorders>
              <w:top w:val="single" w:sz="4" w:space="0" w:color="auto"/>
              <w:left w:val="single" w:sz="4" w:space="0" w:color="auto"/>
              <w:bottom w:val="single" w:sz="4" w:space="0" w:color="auto"/>
              <w:right w:val="single" w:sz="4" w:space="0" w:color="auto"/>
            </w:tcBorders>
            <w:shd w:val="clear" w:color="auto" w:fill="FFFFFF"/>
          </w:tcPr>
          <w:p w14:paraId="139CEE2D" w14:textId="77777777" w:rsidR="00F000AD" w:rsidRPr="001552C0" w:rsidRDefault="00F000AD" w:rsidP="00F000AD">
            <w:pPr>
              <w:spacing w:before="60" w:after="60"/>
              <w:rPr>
                <w:rFonts w:ascii="Times New Roman" w:hAnsi="Times New Roman" w:cs="Times New Roman"/>
                <w:b/>
                <w:noProof/>
                <w:sz w:val="18"/>
                <w:szCs w:val="18"/>
              </w:rPr>
            </w:pPr>
          </w:p>
        </w:tc>
        <w:tc>
          <w:tcPr>
            <w:tcW w:w="950" w:type="dxa"/>
            <w:tcBorders>
              <w:top w:val="single" w:sz="4" w:space="0" w:color="auto"/>
              <w:left w:val="single" w:sz="4" w:space="0" w:color="auto"/>
              <w:bottom w:val="single" w:sz="4" w:space="0" w:color="auto"/>
              <w:right w:val="single" w:sz="4" w:space="0" w:color="auto"/>
            </w:tcBorders>
            <w:shd w:val="clear" w:color="auto" w:fill="FFFFFF"/>
          </w:tcPr>
          <w:p w14:paraId="0669FB2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D4F9F6"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861055"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2D6F08"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098429"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F1FF548"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11A392"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BCFEC4"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86803F"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F2989A"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D509C3" w14:textId="77777777" w:rsidR="00F000AD" w:rsidRPr="001552C0" w:rsidRDefault="00F000AD" w:rsidP="00F000AD">
            <w:pPr>
              <w:spacing w:before="60" w:after="60"/>
              <w:rPr>
                <w:rFonts w:ascii="Times New Roman" w:hAnsi="Times New Roman" w:cs="Times New Roman"/>
                <w:b/>
                <w:noProof/>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E45210" w14:textId="77777777" w:rsidR="00F000AD" w:rsidRPr="001552C0" w:rsidRDefault="00F000AD" w:rsidP="00F000AD">
            <w:pPr>
              <w:spacing w:before="60" w:after="60"/>
              <w:rPr>
                <w:rFonts w:ascii="Times New Roman" w:hAnsi="Times New Roman" w:cs="Times New Roman"/>
                <w:b/>
                <w:noProof/>
                <w:sz w:val="18"/>
                <w:szCs w:val="18"/>
              </w:rPr>
            </w:pPr>
          </w:p>
        </w:tc>
      </w:tr>
    </w:tbl>
    <w:p w14:paraId="3209D4B2" w14:textId="77777777" w:rsidR="00F000AD" w:rsidRPr="001552C0" w:rsidRDefault="00F000AD" w:rsidP="00F000AD">
      <w:pPr>
        <w:spacing w:before="120" w:after="120" w:line="360" w:lineRule="auto"/>
        <w:rPr>
          <w:rFonts w:ascii="Times New Roman" w:eastAsia="Times New Roman" w:hAnsi="Times New Roman" w:cs="Times New Roman"/>
          <w:noProof/>
          <w:sz w:val="16"/>
          <w:szCs w:val="16"/>
        </w:rPr>
      </w:pPr>
      <w:r w:rsidRPr="001552C0">
        <w:rPr>
          <w:rFonts w:ascii="Times New Roman" w:eastAsia="Times New Roman" w:hAnsi="Times New Roman" w:cs="Times New Roman"/>
          <w:noProof/>
          <w:sz w:val="16"/>
          <w:szCs w:val="16"/>
        </w:rPr>
        <w:t>* Cumulative amounts for all transfers during programming period.</w:t>
      </w:r>
    </w:p>
    <w:p w14:paraId="3E3179C9" w14:textId="77777777" w:rsidR="00435C1D" w:rsidRPr="001552C0" w:rsidRDefault="00435C1D" w:rsidP="00F000AD">
      <w:pPr>
        <w:spacing w:before="120" w:after="120" w:line="240" w:lineRule="auto"/>
        <w:ind w:left="720"/>
        <w:jc w:val="both"/>
        <w:rPr>
          <w:rFonts w:ascii="Times New Roman" w:eastAsia="Calibri" w:hAnsi="Times New Roman" w:cs="Times New Roman"/>
          <w:b/>
          <w:noProof/>
          <w:sz w:val="24"/>
          <w:szCs w:val="20"/>
          <w:lang w:eastAsia="en-GB"/>
        </w:rPr>
      </w:pPr>
    </w:p>
    <w:p w14:paraId="351DA635" w14:textId="77777777" w:rsidR="00083B97" w:rsidRPr="001552C0" w:rsidRDefault="00083B97" w:rsidP="001A17A2">
      <w:pPr>
        <w:spacing w:before="240" w:after="240" w:line="240" w:lineRule="auto"/>
        <w:jc w:val="both"/>
        <w:rPr>
          <w:rFonts w:ascii="Times New Roman" w:eastAsia="Times New Roman" w:hAnsi="Times New Roman" w:cs="Times New Roman"/>
          <w:b/>
          <w:iCs/>
          <w:noProof/>
          <w:sz w:val="24"/>
          <w:szCs w:val="24"/>
        </w:rPr>
      </w:pPr>
    </w:p>
    <w:p w14:paraId="1E4431CE" w14:textId="77777777" w:rsidR="001A17A2" w:rsidRPr="001552C0" w:rsidRDefault="001A17A2" w:rsidP="001A17A2">
      <w:pPr>
        <w:spacing w:before="240" w:after="240" w:line="240" w:lineRule="auto"/>
        <w:jc w:val="both"/>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lastRenderedPageBreak/>
        <w:t>3.1 Financial appropriations by year</w:t>
      </w:r>
    </w:p>
    <w:p w14:paraId="3937678E" w14:textId="77777777" w:rsidR="001A17A2" w:rsidRPr="001552C0" w:rsidRDefault="001A17A2" w:rsidP="001A17A2">
      <w:pPr>
        <w:spacing w:before="240" w:after="240" w:line="24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i/>
          <w:noProof/>
          <w:sz w:val="24"/>
          <w:szCs w:val="24"/>
        </w:rPr>
        <w:t>Reference: Article 17(3)(f)(i)</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378"/>
        <w:gridCol w:w="795"/>
        <w:gridCol w:w="868"/>
        <w:gridCol w:w="877"/>
        <w:gridCol w:w="753"/>
        <w:gridCol w:w="801"/>
        <w:gridCol w:w="878"/>
        <w:gridCol w:w="952"/>
        <w:gridCol w:w="2185"/>
      </w:tblGrid>
      <w:tr w:rsidR="00B96B06" w:rsidRPr="001552C0" w14:paraId="340E81A1" w14:textId="77777777" w:rsidTr="004F32B2">
        <w:trPr>
          <w:trHeight w:val="509"/>
        </w:trPr>
        <w:tc>
          <w:tcPr>
            <w:tcW w:w="969" w:type="dxa"/>
            <w:vMerge w:val="restart"/>
            <w:tcBorders>
              <w:top w:val="single" w:sz="4" w:space="0" w:color="auto"/>
              <w:left w:val="single" w:sz="4" w:space="0" w:color="auto"/>
              <w:bottom w:val="single" w:sz="4" w:space="0" w:color="auto"/>
              <w:right w:val="single" w:sz="4" w:space="0" w:color="auto"/>
            </w:tcBorders>
            <w:hideMark/>
          </w:tcPr>
          <w:p w14:paraId="1D8C8F03"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Fund</w:t>
            </w:r>
          </w:p>
        </w:tc>
        <w:tc>
          <w:tcPr>
            <w:tcW w:w="1378" w:type="dxa"/>
            <w:vMerge w:val="restart"/>
            <w:tcBorders>
              <w:top w:val="single" w:sz="4" w:space="0" w:color="auto"/>
              <w:left w:val="single" w:sz="4" w:space="0" w:color="auto"/>
              <w:bottom w:val="single" w:sz="4" w:space="0" w:color="auto"/>
              <w:right w:val="single" w:sz="4" w:space="0" w:color="auto"/>
            </w:tcBorders>
            <w:hideMark/>
          </w:tcPr>
          <w:p w14:paraId="34572EC5"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Category of region</w:t>
            </w:r>
          </w:p>
        </w:tc>
        <w:tc>
          <w:tcPr>
            <w:tcW w:w="795" w:type="dxa"/>
            <w:vMerge w:val="restart"/>
            <w:tcBorders>
              <w:top w:val="single" w:sz="4" w:space="0" w:color="auto"/>
              <w:left w:val="single" w:sz="4" w:space="0" w:color="auto"/>
              <w:bottom w:val="single" w:sz="4" w:space="0" w:color="auto"/>
              <w:right w:val="single" w:sz="4" w:space="0" w:color="auto"/>
            </w:tcBorders>
            <w:hideMark/>
          </w:tcPr>
          <w:p w14:paraId="0FAA1CC0"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2021</w:t>
            </w:r>
          </w:p>
        </w:tc>
        <w:tc>
          <w:tcPr>
            <w:tcW w:w="868" w:type="dxa"/>
            <w:vMerge w:val="restart"/>
            <w:tcBorders>
              <w:top w:val="single" w:sz="4" w:space="0" w:color="auto"/>
              <w:left w:val="single" w:sz="4" w:space="0" w:color="auto"/>
              <w:bottom w:val="single" w:sz="4" w:space="0" w:color="auto"/>
              <w:right w:val="single" w:sz="4" w:space="0" w:color="auto"/>
            </w:tcBorders>
            <w:hideMark/>
          </w:tcPr>
          <w:p w14:paraId="0C1DBBC8"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2022</w:t>
            </w:r>
          </w:p>
        </w:tc>
        <w:tc>
          <w:tcPr>
            <w:tcW w:w="877" w:type="dxa"/>
            <w:vMerge w:val="restart"/>
            <w:tcBorders>
              <w:top w:val="single" w:sz="4" w:space="0" w:color="auto"/>
              <w:left w:val="single" w:sz="4" w:space="0" w:color="auto"/>
              <w:bottom w:val="single" w:sz="4" w:space="0" w:color="auto"/>
              <w:right w:val="single" w:sz="4" w:space="0" w:color="auto"/>
            </w:tcBorders>
            <w:hideMark/>
          </w:tcPr>
          <w:p w14:paraId="6BB9ACD0"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2023</w:t>
            </w:r>
          </w:p>
        </w:tc>
        <w:tc>
          <w:tcPr>
            <w:tcW w:w="753" w:type="dxa"/>
            <w:vMerge w:val="restart"/>
            <w:tcBorders>
              <w:top w:val="single" w:sz="4" w:space="0" w:color="auto"/>
              <w:left w:val="single" w:sz="4" w:space="0" w:color="auto"/>
              <w:bottom w:val="single" w:sz="4" w:space="0" w:color="auto"/>
              <w:right w:val="single" w:sz="4" w:space="0" w:color="auto"/>
            </w:tcBorders>
            <w:hideMark/>
          </w:tcPr>
          <w:p w14:paraId="4D279A81"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2024</w:t>
            </w:r>
          </w:p>
        </w:tc>
        <w:tc>
          <w:tcPr>
            <w:tcW w:w="801" w:type="dxa"/>
            <w:vMerge w:val="restart"/>
            <w:tcBorders>
              <w:top w:val="single" w:sz="4" w:space="0" w:color="auto"/>
              <w:left w:val="single" w:sz="4" w:space="0" w:color="auto"/>
              <w:bottom w:val="single" w:sz="4" w:space="0" w:color="auto"/>
              <w:right w:val="single" w:sz="4" w:space="0" w:color="auto"/>
            </w:tcBorders>
            <w:hideMark/>
          </w:tcPr>
          <w:p w14:paraId="035F12EB" w14:textId="77777777" w:rsidR="001A17A2" w:rsidRPr="001552C0" w:rsidRDefault="001A17A2" w:rsidP="001A17A2">
            <w:pPr>
              <w:spacing w:before="120" w:after="0" w:line="240" w:lineRule="auto"/>
              <w:jc w:val="center"/>
              <w:rPr>
                <w:rFonts w:ascii="Times New Roman" w:hAnsi="Times New Roman" w:cs="Times New Roman"/>
                <w:b/>
                <w:noProof/>
                <w:sz w:val="18"/>
                <w:szCs w:val="18"/>
              </w:rPr>
            </w:pPr>
            <w:r w:rsidRPr="001552C0">
              <w:rPr>
                <w:rFonts w:ascii="Times New Roman" w:hAnsi="Times New Roman" w:cs="Times New Roman"/>
                <w:b/>
                <w:noProof/>
                <w:sz w:val="18"/>
                <w:szCs w:val="18"/>
              </w:rPr>
              <w:t>2025</w:t>
            </w:r>
          </w:p>
        </w:tc>
        <w:tc>
          <w:tcPr>
            <w:tcW w:w="878" w:type="dxa"/>
            <w:vMerge w:val="restart"/>
            <w:tcBorders>
              <w:top w:val="single" w:sz="4" w:space="0" w:color="auto"/>
              <w:left w:val="single" w:sz="4" w:space="0" w:color="auto"/>
              <w:bottom w:val="single" w:sz="4" w:space="0" w:color="auto"/>
              <w:right w:val="single" w:sz="4" w:space="0" w:color="auto"/>
            </w:tcBorders>
            <w:hideMark/>
          </w:tcPr>
          <w:p w14:paraId="716582DB" w14:textId="77777777" w:rsidR="001A17A2" w:rsidRPr="001552C0" w:rsidRDefault="001A17A2" w:rsidP="001A17A2">
            <w:pPr>
              <w:spacing w:before="120" w:after="0" w:line="240" w:lineRule="auto"/>
              <w:jc w:val="center"/>
              <w:rPr>
                <w:rFonts w:ascii="Times New Roman" w:hAnsi="Times New Roman" w:cs="Times New Roman"/>
                <w:b/>
                <w:noProof/>
                <w:sz w:val="18"/>
                <w:szCs w:val="18"/>
              </w:rPr>
            </w:pPr>
            <w:r w:rsidRPr="001552C0">
              <w:rPr>
                <w:rFonts w:ascii="Times New Roman" w:hAnsi="Times New Roman" w:cs="Times New Roman"/>
                <w:b/>
                <w:noProof/>
                <w:sz w:val="18"/>
                <w:szCs w:val="18"/>
              </w:rPr>
              <w:t>2026</w:t>
            </w:r>
          </w:p>
        </w:tc>
        <w:tc>
          <w:tcPr>
            <w:tcW w:w="952" w:type="dxa"/>
            <w:vMerge w:val="restart"/>
            <w:tcBorders>
              <w:top w:val="single" w:sz="4" w:space="0" w:color="auto"/>
              <w:left w:val="single" w:sz="4" w:space="0" w:color="auto"/>
              <w:bottom w:val="single" w:sz="4" w:space="0" w:color="auto"/>
              <w:right w:val="single" w:sz="4" w:space="0" w:color="auto"/>
            </w:tcBorders>
            <w:hideMark/>
          </w:tcPr>
          <w:p w14:paraId="5E5A0252"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2027</w:t>
            </w:r>
          </w:p>
        </w:tc>
        <w:tc>
          <w:tcPr>
            <w:tcW w:w="2185" w:type="dxa"/>
            <w:vMerge w:val="restart"/>
            <w:tcBorders>
              <w:top w:val="single" w:sz="4" w:space="0" w:color="auto"/>
              <w:left w:val="single" w:sz="4" w:space="0" w:color="auto"/>
              <w:bottom w:val="single" w:sz="4" w:space="0" w:color="auto"/>
              <w:right w:val="single" w:sz="4" w:space="0" w:color="auto"/>
            </w:tcBorders>
            <w:hideMark/>
          </w:tcPr>
          <w:p w14:paraId="3E17D9E2" w14:textId="77777777" w:rsidR="001A17A2" w:rsidRPr="001552C0" w:rsidRDefault="001A17A2" w:rsidP="001A17A2">
            <w:pPr>
              <w:spacing w:before="120" w:after="0" w:line="240" w:lineRule="auto"/>
              <w:rPr>
                <w:rFonts w:ascii="Times New Roman" w:hAnsi="Times New Roman" w:cs="Times New Roman"/>
                <w:b/>
                <w:noProof/>
                <w:sz w:val="18"/>
                <w:szCs w:val="18"/>
              </w:rPr>
            </w:pPr>
            <w:r w:rsidRPr="001552C0">
              <w:rPr>
                <w:rFonts w:ascii="Times New Roman" w:hAnsi="Times New Roman" w:cs="Times New Roman"/>
                <w:b/>
                <w:noProof/>
                <w:sz w:val="18"/>
                <w:szCs w:val="18"/>
              </w:rPr>
              <w:t xml:space="preserve">Total </w:t>
            </w:r>
          </w:p>
        </w:tc>
      </w:tr>
      <w:tr w:rsidR="00B96B06" w:rsidRPr="001552C0" w14:paraId="701D4E46" w14:textId="77777777" w:rsidTr="004F32B2">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FBEC1"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5AD9B"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1F5B1"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B4DBC"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1F540"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A4475"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11CC9"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A3485"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DA292" w14:textId="77777777" w:rsidR="001A17A2" w:rsidRPr="001552C0" w:rsidRDefault="001A17A2" w:rsidP="001A17A2">
            <w:pPr>
              <w:spacing w:after="0"/>
              <w:rPr>
                <w:rFonts w:ascii="Times New Roman" w:hAnsi="Times New Roman" w:cs="Times New Roman"/>
                <w:b/>
                <w:noProo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25CC1" w14:textId="77777777" w:rsidR="001A17A2" w:rsidRPr="001552C0" w:rsidRDefault="001A17A2" w:rsidP="001A17A2">
            <w:pPr>
              <w:spacing w:after="0"/>
              <w:rPr>
                <w:rFonts w:ascii="Times New Roman" w:hAnsi="Times New Roman" w:cs="Times New Roman"/>
                <w:b/>
                <w:noProof/>
                <w:sz w:val="18"/>
                <w:szCs w:val="18"/>
              </w:rPr>
            </w:pPr>
          </w:p>
        </w:tc>
      </w:tr>
      <w:tr w:rsidR="00B96B06" w:rsidRPr="001552C0" w14:paraId="448902E8" w14:textId="77777777" w:rsidTr="004F32B2">
        <w:tc>
          <w:tcPr>
            <w:tcW w:w="969" w:type="dxa"/>
            <w:vMerge w:val="restart"/>
            <w:tcBorders>
              <w:top w:val="single" w:sz="4" w:space="0" w:color="auto"/>
              <w:left w:val="single" w:sz="4" w:space="0" w:color="auto"/>
              <w:bottom w:val="single" w:sz="4" w:space="0" w:color="auto"/>
              <w:right w:val="single" w:sz="4" w:space="0" w:color="auto"/>
            </w:tcBorders>
            <w:hideMark/>
          </w:tcPr>
          <w:p w14:paraId="2F50D56E"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ERDF</w:t>
            </w:r>
          </w:p>
        </w:tc>
        <w:tc>
          <w:tcPr>
            <w:tcW w:w="1378" w:type="dxa"/>
            <w:tcBorders>
              <w:top w:val="single" w:sz="4" w:space="0" w:color="auto"/>
              <w:left w:val="single" w:sz="4" w:space="0" w:color="auto"/>
              <w:bottom w:val="single" w:sz="4" w:space="0" w:color="auto"/>
              <w:right w:val="single" w:sz="4" w:space="0" w:color="auto"/>
            </w:tcBorders>
            <w:hideMark/>
          </w:tcPr>
          <w:p w14:paraId="4B18BC7F"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More developed</w:t>
            </w:r>
          </w:p>
        </w:tc>
        <w:tc>
          <w:tcPr>
            <w:tcW w:w="795" w:type="dxa"/>
            <w:tcBorders>
              <w:top w:val="single" w:sz="4" w:space="0" w:color="auto"/>
              <w:left w:val="single" w:sz="4" w:space="0" w:color="auto"/>
              <w:bottom w:val="single" w:sz="4" w:space="0" w:color="auto"/>
              <w:right w:val="single" w:sz="4" w:space="0" w:color="auto"/>
            </w:tcBorders>
          </w:tcPr>
          <w:p w14:paraId="0F041E52"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2C0BDC86"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E17C503"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0EDF71B"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542D99AE"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E00"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7C561"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1EABEBFD"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158229A7"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57414862" w14:textId="77777777" w:rsidR="001A17A2" w:rsidRPr="001552C0"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7E82CA17"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Transition</w:t>
            </w:r>
          </w:p>
        </w:tc>
        <w:tc>
          <w:tcPr>
            <w:tcW w:w="795" w:type="dxa"/>
            <w:tcBorders>
              <w:top w:val="single" w:sz="4" w:space="0" w:color="auto"/>
              <w:left w:val="single" w:sz="4" w:space="0" w:color="auto"/>
              <w:bottom w:val="single" w:sz="4" w:space="0" w:color="auto"/>
              <w:right w:val="single" w:sz="4" w:space="0" w:color="auto"/>
            </w:tcBorders>
          </w:tcPr>
          <w:p w14:paraId="7A8FC32C"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783F61B2"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3293ED77"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7009B52F"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3F78CCCD"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5B0B6"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90099"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1948B631"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72C4C666"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3D84B9D2" w14:textId="77777777" w:rsidR="001A17A2" w:rsidRPr="001552C0"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27D97213"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Less developed</w:t>
            </w:r>
          </w:p>
        </w:tc>
        <w:tc>
          <w:tcPr>
            <w:tcW w:w="795" w:type="dxa"/>
            <w:tcBorders>
              <w:top w:val="single" w:sz="4" w:space="0" w:color="auto"/>
              <w:left w:val="single" w:sz="4" w:space="0" w:color="auto"/>
              <w:bottom w:val="single" w:sz="4" w:space="0" w:color="auto"/>
              <w:right w:val="single" w:sz="4" w:space="0" w:color="auto"/>
            </w:tcBorders>
          </w:tcPr>
          <w:p w14:paraId="5BFA1300"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23B7C782"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C6D9E44"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745D80F3"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4228D9D9"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A1F24"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98298"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31A3C4E1"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3EDE5BE2"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01FC2F05" w14:textId="77777777" w:rsidR="001A17A2" w:rsidRPr="001552C0"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42A47EF3"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Outermost and northern sparsely populated</w:t>
            </w:r>
          </w:p>
        </w:tc>
        <w:tc>
          <w:tcPr>
            <w:tcW w:w="795" w:type="dxa"/>
            <w:tcBorders>
              <w:top w:val="single" w:sz="4" w:space="0" w:color="auto"/>
              <w:left w:val="single" w:sz="4" w:space="0" w:color="auto"/>
              <w:bottom w:val="single" w:sz="4" w:space="0" w:color="auto"/>
              <w:right w:val="single" w:sz="4" w:space="0" w:color="auto"/>
            </w:tcBorders>
          </w:tcPr>
          <w:p w14:paraId="3BA70998"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1227EA7B"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205B377E"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666CA933"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71A3EDDB"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CCB7"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26085"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343DB891"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2973CF0A"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7377B255"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Total</w:t>
            </w:r>
          </w:p>
        </w:tc>
        <w:tc>
          <w:tcPr>
            <w:tcW w:w="1378" w:type="dxa"/>
            <w:tcBorders>
              <w:top w:val="single" w:sz="4" w:space="0" w:color="auto"/>
              <w:left w:val="single" w:sz="4" w:space="0" w:color="auto"/>
              <w:bottom w:val="single" w:sz="4" w:space="0" w:color="auto"/>
              <w:right w:val="single" w:sz="4" w:space="0" w:color="auto"/>
            </w:tcBorders>
          </w:tcPr>
          <w:p w14:paraId="520160C9" w14:textId="77777777" w:rsidR="001A17A2" w:rsidRPr="001552C0" w:rsidRDefault="001A17A2" w:rsidP="001A17A2">
            <w:pPr>
              <w:spacing w:before="120" w:after="120"/>
              <w:rPr>
                <w:rFonts w:ascii="Times New Roman" w:hAnsi="Times New Roman" w:cs="Times New Roman"/>
                <w:noProof/>
                <w:sz w:val="18"/>
                <w:szCs w:val="18"/>
              </w:rPr>
            </w:pPr>
          </w:p>
        </w:tc>
        <w:tc>
          <w:tcPr>
            <w:tcW w:w="795" w:type="dxa"/>
            <w:tcBorders>
              <w:top w:val="single" w:sz="4" w:space="0" w:color="auto"/>
              <w:left w:val="single" w:sz="4" w:space="0" w:color="auto"/>
              <w:bottom w:val="single" w:sz="4" w:space="0" w:color="auto"/>
              <w:right w:val="single" w:sz="4" w:space="0" w:color="auto"/>
            </w:tcBorders>
          </w:tcPr>
          <w:p w14:paraId="19EAED3E"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649C1E6A"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447BFDE"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F988F0C"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7AB4B2AC"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75F3C"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D1FE4"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5DCD5647"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4F35DCF0" w14:textId="77777777" w:rsidTr="004F32B2">
        <w:tc>
          <w:tcPr>
            <w:tcW w:w="969" w:type="dxa"/>
            <w:vMerge w:val="restart"/>
            <w:tcBorders>
              <w:top w:val="single" w:sz="4" w:space="0" w:color="auto"/>
              <w:left w:val="single" w:sz="4" w:space="0" w:color="auto"/>
              <w:bottom w:val="single" w:sz="4" w:space="0" w:color="auto"/>
              <w:right w:val="single" w:sz="4" w:space="0" w:color="auto"/>
            </w:tcBorders>
            <w:hideMark/>
          </w:tcPr>
          <w:p w14:paraId="5ADA8607"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ESF+</w:t>
            </w:r>
          </w:p>
        </w:tc>
        <w:tc>
          <w:tcPr>
            <w:tcW w:w="1378" w:type="dxa"/>
            <w:tcBorders>
              <w:top w:val="single" w:sz="4" w:space="0" w:color="auto"/>
              <w:left w:val="single" w:sz="4" w:space="0" w:color="auto"/>
              <w:bottom w:val="single" w:sz="4" w:space="0" w:color="auto"/>
              <w:right w:val="single" w:sz="4" w:space="0" w:color="auto"/>
            </w:tcBorders>
            <w:hideMark/>
          </w:tcPr>
          <w:p w14:paraId="0C549AC1"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More developed</w:t>
            </w:r>
          </w:p>
        </w:tc>
        <w:tc>
          <w:tcPr>
            <w:tcW w:w="795" w:type="dxa"/>
            <w:tcBorders>
              <w:top w:val="single" w:sz="4" w:space="0" w:color="auto"/>
              <w:left w:val="single" w:sz="4" w:space="0" w:color="auto"/>
              <w:bottom w:val="single" w:sz="4" w:space="0" w:color="auto"/>
              <w:right w:val="single" w:sz="4" w:space="0" w:color="auto"/>
            </w:tcBorders>
          </w:tcPr>
          <w:p w14:paraId="24C19A48"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32489087"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24DD52C0"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9BC6312"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2B3182C8"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2F2F2"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F01E9"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175912E0"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75F8FE81"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6069BA8D" w14:textId="77777777" w:rsidR="001A17A2" w:rsidRPr="001552C0"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5326AB7B"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Transition</w:t>
            </w:r>
          </w:p>
        </w:tc>
        <w:tc>
          <w:tcPr>
            <w:tcW w:w="795" w:type="dxa"/>
            <w:tcBorders>
              <w:top w:val="single" w:sz="4" w:space="0" w:color="auto"/>
              <w:left w:val="single" w:sz="4" w:space="0" w:color="auto"/>
              <w:bottom w:val="single" w:sz="4" w:space="0" w:color="auto"/>
              <w:right w:val="single" w:sz="4" w:space="0" w:color="auto"/>
            </w:tcBorders>
          </w:tcPr>
          <w:p w14:paraId="0D8D7BFB"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07DA0E0D"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5359AF3C"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32A47893"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6AB268D4"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C8D84"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DEE80"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5E336D67"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1381FFC7"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6C487EE4" w14:textId="77777777" w:rsidR="001A17A2" w:rsidRPr="001552C0"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3438DD8D"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Less developed</w:t>
            </w:r>
          </w:p>
        </w:tc>
        <w:tc>
          <w:tcPr>
            <w:tcW w:w="795" w:type="dxa"/>
            <w:tcBorders>
              <w:top w:val="single" w:sz="4" w:space="0" w:color="auto"/>
              <w:left w:val="single" w:sz="4" w:space="0" w:color="auto"/>
              <w:bottom w:val="single" w:sz="4" w:space="0" w:color="auto"/>
              <w:right w:val="single" w:sz="4" w:space="0" w:color="auto"/>
            </w:tcBorders>
          </w:tcPr>
          <w:p w14:paraId="04983348"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5DF40874"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75F525ED"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8BCE27E"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6149DD1B"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42CC6"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68B36"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21B763F2"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31BE0B36" w14:textId="77777777" w:rsidTr="004F32B2">
        <w:tc>
          <w:tcPr>
            <w:tcW w:w="0" w:type="auto"/>
            <w:vMerge/>
            <w:tcBorders>
              <w:top w:val="single" w:sz="4" w:space="0" w:color="auto"/>
              <w:left w:val="single" w:sz="4" w:space="0" w:color="auto"/>
              <w:bottom w:val="single" w:sz="4" w:space="0" w:color="auto"/>
              <w:right w:val="single" w:sz="4" w:space="0" w:color="auto"/>
            </w:tcBorders>
            <w:vAlign w:val="center"/>
            <w:hideMark/>
          </w:tcPr>
          <w:p w14:paraId="7D3E25FE" w14:textId="77777777" w:rsidR="001A17A2" w:rsidRPr="001552C0" w:rsidRDefault="001A17A2" w:rsidP="001A17A2">
            <w:pPr>
              <w:spacing w:after="0"/>
              <w:rPr>
                <w:rFonts w:ascii="Times New Roman" w:hAnsi="Times New Roman" w:cs="Times New Roman"/>
                <w:noProof/>
                <w:sz w:val="18"/>
                <w:szCs w:val="18"/>
              </w:rPr>
            </w:pPr>
          </w:p>
        </w:tc>
        <w:tc>
          <w:tcPr>
            <w:tcW w:w="1378" w:type="dxa"/>
            <w:tcBorders>
              <w:top w:val="single" w:sz="4" w:space="0" w:color="auto"/>
              <w:left w:val="single" w:sz="4" w:space="0" w:color="auto"/>
              <w:bottom w:val="single" w:sz="4" w:space="0" w:color="auto"/>
              <w:right w:val="single" w:sz="4" w:space="0" w:color="auto"/>
            </w:tcBorders>
            <w:hideMark/>
          </w:tcPr>
          <w:p w14:paraId="54448406"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Outermost and northern sparsely populated</w:t>
            </w:r>
          </w:p>
        </w:tc>
        <w:tc>
          <w:tcPr>
            <w:tcW w:w="795" w:type="dxa"/>
            <w:tcBorders>
              <w:top w:val="single" w:sz="4" w:space="0" w:color="auto"/>
              <w:left w:val="single" w:sz="4" w:space="0" w:color="auto"/>
              <w:bottom w:val="single" w:sz="4" w:space="0" w:color="auto"/>
              <w:right w:val="single" w:sz="4" w:space="0" w:color="auto"/>
            </w:tcBorders>
          </w:tcPr>
          <w:p w14:paraId="6389B2AB"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349837D1"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4EA223C4"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3D43040C"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4EFF2523"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09552"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D29F5"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0B2F5434"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51754060"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62C0D28F"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 xml:space="preserve">Total </w:t>
            </w:r>
          </w:p>
        </w:tc>
        <w:tc>
          <w:tcPr>
            <w:tcW w:w="1378" w:type="dxa"/>
            <w:tcBorders>
              <w:top w:val="single" w:sz="4" w:space="0" w:color="auto"/>
              <w:left w:val="single" w:sz="4" w:space="0" w:color="auto"/>
              <w:bottom w:val="single" w:sz="4" w:space="0" w:color="auto"/>
              <w:right w:val="single" w:sz="4" w:space="0" w:color="auto"/>
            </w:tcBorders>
          </w:tcPr>
          <w:p w14:paraId="1A5A9DC8" w14:textId="77777777" w:rsidR="001A17A2" w:rsidRPr="001552C0" w:rsidRDefault="001A17A2" w:rsidP="001A17A2">
            <w:pPr>
              <w:spacing w:before="120" w:after="120"/>
              <w:rPr>
                <w:rFonts w:ascii="Times New Roman" w:hAnsi="Times New Roman" w:cs="Times New Roman"/>
                <w:noProof/>
                <w:sz w:val="18"/>
                <w:szCs w:val="18"/>
              </w:rPr>
            </w:pPr>
          </w:p>
        </w:tc>
        <w:tc>
          <w:tcPr>
            <w:tcW w:w="795" w:type="dxa"/>
            <w:tcBorders>
              <w:top w:val="single" w:sz="4" w:space="0" w:color="auto"/>
              <w:left w:val="single" w:sz="4" w:space="0" w:color="auto"/>
              <w:bottom w:val="single" w:sz="4" w:space="0" w:color="auto"/>
              <w:right w:val="single" w:sz="4" w:space="0" w:color="auto"/>
            </w:tcBorders>
          </w:tcPr>
          <w:p w14:paraId="2163AF5D"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084B54FC"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4D0804FD"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47B435A7"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677B160A"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97DAF"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278CAD"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4B4C841E"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50802C0B"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1A3375AC"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lastRenderedPageBreak/>
              <w:t>Cohesion Fund</w:t>
            </w:r>
          </w:p>
        </w:tc>
        <w:tc>
          <w:tcPr>
            <w:tcW w:w="1378" w:type="dxa"/>
            <w:tcBorders>
              <w:top w:val="single" w:sz="4" w:space="0" w:color="auto"/>
              <w:left w:val="single" w:sz="4" w:space="0" w:color="auto"/>
              <w:bottom w:val="single" w:sz="4" w:space="0" w:color="auto"/>
              <w:right w:val="single" w:sz="4" w:space="0" w:color="auto"/>
            </w:tcBorders>
            <w:hideMark/>
          </w:tcPr>
          <w:p w14:paraId="4336164F" w14:textId="77777777" w:rsidR="001A17A2" w:rsidRPr="001552C0" w:rsidRDefault="001A17A2" w:rsidP="001A17A2">
            <w:pPr>
              <w:spacing w:before="120" w:after="120"/>
              <w:rPr>
                <w:rFonts w:ascii="Times New Roman" w:hAnsi="Times New Roman" w:cs="Times New Roman"/>
                <w:noProof/>
                <w:sz w:val="18"/>
                <w:szCs w:val="18"/>
              </w:rPr>
            </w:pPr>
            <w:r w:rsidRPr="001552C0">
              <w:rPr>
                <w:rFonts w:ascii="Times New Roman" w:hAnsi="Times New Roman" w:cs="Times New Roman"/>
                <w:noProof/>
                <w:sz w:val="18"/>
                <w:szCs w:val="18"/>
              </w:rPr>
              <w:t>N/A</w:t>
            </w:r>
          </w:p>
        </w:tc>
        <w:tc>
          <w:tcPr>
            <w:tcW w:w="795" w:type="dxa"/>
            <w:tcBorders>
              <w:top w:val="single" w:sz="4" w:space="0" w:color="auto"/>
              <w:left w:val="single" w:sz="4" w:space="0" w:color="auto"/>
              <w:bottom w:val="single" w:sz="4" w:space="0" w:color="auto"/>
              <w:right w:val="single" w:sz="4" w:space="0" w:color="auto"/>
            </w:tcBorders>
          </w:tcPr>
          <w:p w14:paraId="0D02B1D7" w14:textId="77777777" w:rsidR="001A17A2" w:rsidRPr="001552C0" w:rsidRDefault="001A17A2" w:rsidP="001A17A2">
            <w:pPr>
              <w:spacing w:before="120" w:after="120"/>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3B6D301D" w14:textId="77777777" w:rsidR="001A17A2" w:rsidRPr="001552C0" w:rsidRDefault="001A17A2" w:rsidP="001A17A2">
            <w:pPr>
              <w:spacing w:before="120" w:after="120"/>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66DBAC6A" w14:textId="77777777" w:rsidR="001A17A2" w:rsidRPr="001552C0" w:rsidRDefault="001A17A2" w:rsidP="001A17A2">
            <w:pPr>
              <w:spacing w:before="120" w:after="120"/>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14723D38" w14:textId="77777777" w:rsidR="001A17A2" w:rsidRPr="001552C0" w:rsidRDefault="001A17A2" w:rsidP="001A17A2">
            <w:pPr>
              <w:spacing w:before="120" w:after="120"/>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7DA35798" w14:textId="77777777" w:rsidR="001A17A2" w:rsidRPr="001552C0" w:rsidRDefault="001A17A2" w:rsidP="001A17A2">
            <w:pPr>
              <w:spacing w:before="120" w:after="120"/>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462A4" w14:textId="77777777" w:rsidR="001A17A2" w:rsidRPr="001552C0" w:rsidRDefault="001A17A2" w:rsidP="001A17A2">
            <w:pPr>
              <w:spacing w:before="120" w:after="120"/>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93AAA" w14:textId="77777777" w:rsidR="001A17A2" w:rsidRPr="001552C0" w:rsidRDefault="001A17A2" w:rsidP="001A17A2">
            <w:pPr>
              <w:spacing w:before="120" w:after="120"/>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04BC8D2A" w14:textId="77777777" w:rsidR="001A17A2" w:rsidRPr="001552C0" w:rsidRDefault="001A17A2" w:rsidP="001A17A2">
            <w:pPr>
              <w:spacing w:before="120" w:after="120"/>
              <w:rPr>
                <w:rFonts w:ascii="Times New Roman" w:hAnsi="Times New Roman" w:cs="Times New Roman"/>
                <w:noProof/>
                <w:sz w:val="18"/>
                <w:szCs w:val="18"/>
              </w:rPr>
            </w:pPr>
          </w:p>
        </w:tc>
      </w:tr>
      <w:tr w:rsidR="00B96B06" w:rsidRPr="001552C0" w14:paraId="345D8808"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60268D24" w14:textId="77777777" w:rsidR="001A17A2" w:rsidRPr="001552C0" w:rsidRDefault="001A17A2" w:rsidP="001A17A2">
            <w:pPr>
              <w:spacing w:before="120" w:after="120" w:line="360" w:lineRule="auto"/>
              <w:rPr>
                <w:rFonts w:ascii="Times New Roman" w:hAnsi="Times New Roman" w:cs="Times New Roman"/>
                <w:noProof/>
                <w:sz w:val="18"/>
                <w:szCs w:val="18"/>
              </w:rPr>
            </w:pPr>
            <w:r w:rsidRPr="001552C0">
              <w:rPr>
                <w:rFonts w:ascii="Times New Roman" w:hAnsi="Times New Roman" w:cs="Times New Roman"/>
                <w:noProof/>
                <w:sz w:val="18"/>
                <w:szCs w:val="18"/>
              </w:rPr>
              <w:t>EMFF</w:t>
            </w:r>
          </w:p>
        </w:tc>
        <w:tc>
          <w:tcPr>
            <w:tcW w:w="1378" w:type="dxa"/>
            <w:tcBorders>
              <w:top w:val="single" w:sz="4" w:space="0" w:color="auto"/>
              <w:left w:val="single" w:sz="4" w:space="0" w:color="auto"/>
              <w:bottom w:val="single" w:sz="4" w:space="0" w:color="auto"/>
              <w:right w:val="single" w:sz="4" w:space="0" w:color="auto"/>
            </w:tcBorders>
            <w:hideMark/>
          </w:tcPr>
          <w:p w14:paraId="4201948A" w14:textId="77777777" w:rsidR="001A17A2" w:rsidRPr="001552C0" w:rsidRDefault="001A17A2" w:rsidP="001A17A2">
            <w:pPr>
              <w:spacing w:before="120" w:after="120" w:line="360" w:lineRule="auto"/>
              <w:rPr>
                <w:rFonts w:ascii="Times New Roman" w:hAnsi="Times New Roman" w:cs="Times New Roman"/>
                <w:noProof/>
                <w:sz w:val="18"/>
                <w:szCs w:val="18"/>
              </w:rPr>
            </w:pPr>
            <w:r w:rsidRPr="001552C0">
              <w:rPr>
                <w:rFonts w:ascii="Times New Roman" w:hAnsi="Times New Roman" w:cs="Times New Roman"/>
                <w:noProof/>
                <w:sz w:val="18"/>
                <w:szCs w:val="18"/>
              </w:rPr>
              <w:t>N/A</w:t>
            </w:r>
          </w:p>
        </w:tc>
        <w:tc>
          <w:tcPr>
            <w:tcW w:w="795" w:type="dxa"/>
            <w:tcBorders>
              <w:top w:val="single" w:sz="4" w:space="0" w:color="auto"/>
              <w:left w:val="single" w:sz="4" w:space="0" w:color="auto"/>
              <w:bottom w:val="single" w:sz="4" w:space="0" w:color="auto"/>
              <w:right w:val="single" w:sz="4" w:space="0" w:color="auto"/>
            </w:tcBorders>
          </w:tcPr>
          <w:p w14:paraId="51AC52A4"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5AEB359E"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0C74D8A6"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79A82182"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421A63D3"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tcPr>
          <w:p w14:paraId="09746933"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tcPr>
          <w:p w14:paraId="51F4914F"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2E775DFD" w14:textId="77777777" w:rsidR="001A17A2" w:rsidRPr="001552C0" w:rsidRDefault="001A17A2" w:rsidP="001A17A2">
            <w:pPr>
              <w:spacing w:before="120" w:after="120" w:line="360" w:lineRule="auto"/>
              <w:rPr>
                <w:rFonts w:ascii="Times New Roman" w:hAnsi="Times New Roman" w:cs="Times New Roman"/>
                <w:noProof/>
                <w:sz w:val="18"/>
                <w:szCs w:val="18"/>
              </w:rPr>
            </w:pPr>
          </w:p>
        </w:tc>
      </w:tr>
      <w:tr w:rsidR="00B96B06" w:rsidRPr="001552C0" w14:paraId="3071C740" w14:textId="77777777" w:rsidTr="004F32B2">
        <w:tc>
          <w:tcPr>
            <w:tcW w:w="969" w:type="dxa"/>
            <w:tcBorders>
              <w:top w:val="single" w:sz="4" w:space="0" w:color="auto"/>
              <w:left w:val="single" w:sz="4" w:space="0" w:color="auto"/>
              <w:bottom w:val="single" w:sz="4" w:space="0" w:color="auto"/>
              <w:right w:val="single" w:sz="4" w:space="0" w:color="auto"/>
            </w:tcBorders>
            <w:hideMark/>
          </w:tcPr>
          <w:p w14:paraId="03385B93" w14:textId="77777777" w:rsidR="001A17A2" w:rsidRPr="001552C0" w:rsidRDefault="001A17A2" w:rsidP="001A17A2">
            <w:pPr>
              <w:spacing w:before="120" w:after="120" w:line="360" w:lineRule="auto"/>
              <w:rPr>
                <w:rFonts w:ascii="Times New Roman" w:hAnsi="Times New Roman" w:cs="Times New Roman"/>
                <w:noProof/>
                <w:sz w:val="18"/>
                <w:szCs w:val="18"/>
              </w:rPr>
            </w:pPr>
            <w:r w:rsidRPr="001552C0">
              <w:rPr>
                <w:rFonts w:ascii="Times New Roman" w:hAnsi="Times New Roman" w:cs="Times New Roman"/>
                <w:noProof/>
                <w:sz w:val="18"/>
                <w:szCs w:val="18"/>
              </w:rPr>
              <w:t xml:space="preserve">Total </w:t>
            </w:r>
          </w:p>
        </w:tc>
        <w:tc>
          <w:tcPr>
            <w:tcW w:w="1378" w:type="dxa"/>
            <w:tcBorders>
              <w:top w:val="single" w:sz="4" w:space="0" w:color="auto"/>
              <w:left w:val="single" w:sz="4" w:space="0" w:color="auto"/>
              <w:bottom w:val="single" w:sz="4" w:space="0" w:color="auto"/>
              <w:right w:val="single" w:sz="4" w:space="0" w:color="auto"/>
            </w:tcBorders>
          </w:tcPr>
          <w:p w14:paraId="241DC084"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795" w:type="dxa"/>
            <w:tcBorders>
              <w:top w:val="single" w:sz="4" w:space="0" w:color="auto"/>
              <w:left w:val="single" w:sz="4" w:space="0" w:color="auto"/>
              <w:bottom w:val="single" w:sz="4" w:space="0" w:color="auto"/>
              <w:right w:val="single" w:sz="4" w:space="0" w:color="auto"/>
            </w:tcBorders>
          </w:tcPr>
          <w:p w14:paraId="246F3E95"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68" w:type="dxa"/>
            <w:tcBorders>
              <w:top w:val="single" w:sz="4" w:space="0" w:color="auto"/>
              <w:left w:val="single" w:sz="4" w:space="0" w:color="auto"/>
              <w:bottom w:val="single" w:sz="4" w:space="0" w:color="auto"/>
              <w:right w:val="single" w:sz="4" w:space="0" w:color="auto"/>
            </w:tcBorders>
          </w:tcPr>
          <w:p w14:paraId="5AC08E34"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77" w:type="dxa"/>
            <w:tcBorders>
              <w:top w:val="single" w:sz="4" w:space="0" w:color="auto"/>
              <w:left w:val="single" w:sz="4" w:space="0" w:color="auto"/>
              <w:bottom w:val="single" w:sz="4" w:space="0" w:color="auto"/>
              <w:right w:val="single" w:sz="4" w:space="0" w:color="auto"/>
            </w:tcBorders>
          </w:tcPr>
          <w:p w14:paraId="281C43F3"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753" w:type="dxa"/>
            <w:tcBorders>
              <w:top w:val="single" w:sz="4" w:space="0" w:color="auto"/>
              <w:left w:val="single" w:sz="4" w:space="0" w:color="auto"/>
              <w:bottom w:val="single" w:sz="4" w:space="0" w:color="auto"/>
              <w:right w:val="single" w:sz="4" w:space="0" w:color="auto"/>
            </w:tcBorders>
          </w:tcPr>
          <w:p w14:paraId="5F6779B2"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01" w:type="dxa"/>
            <w:tcBorders>
              <w:top w:val="single" w:sz="4" w:space="0" w:color="auto"/>
              <w:left w:val="single" w:sz="4" w:space="0" w:color="auto"/>
              <w:bottom w:val="single" w:sz="4" w:space="0" w:color="auto"/>
              <w:right w:val="single" w:sz="4" w:space="0" w:color="auto"/>
            </w:tcBorders>
          </w:tcPr>
          <w:p w14:paraId="1FB49940"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878" w:type="dxa"/>
            <w:tcBorders>
              <w:top w:val="single" w:sz="4" w:space="0" w:color="auto"/>
              <w:left w:val="single" w:sz="4" w:space="0" w:color="auto"/>
              <w:bottom w:val="single" w:sz="4" w:space="0" w:color="auto"/>
              <w:right w:val="single" w:sz="4" w:space="0" w:color="auto"/>
            </w:tcBorders>
          </w:tcPr>
          <w:p w14:paraId="6E680231"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952" w:type="dxa"/>
            <w:tcBorders>
              <w:top w:val="single" w:sz="4" w:space="0" w:color="auto"/>
              <w:left w:val="single" w:sz="4" w:space="0" w:color="auto"/>
              <w:bottom w:val="single" w:sz="4" w:space="0" w:color="auto"/>
              <w:right w:val="single" w:sz="4" w:space="0" w:color="auto"/>
            </w:tcBorders>
          </w:tcPr>
          <w:p w14:paraId="2728F8C1" w14:textId="77777777" w:rsidR="001A17A2" w:rsidRPr="001552C0" w:rsidRDefault="001A17A2" w:rsidP="001A17A2">
            <w:pPr>
              <w:spacing w:before="120" w:after="120" w:line="360" w:lineRule="auto"/>
              <w:rPr>
                <w:rFonts w:ascii="Times New Roman" w:hAnsi="Times New Roman" w:cs="Times New Roman"/>
                <w:noProof/>
                <w:sz w:val="18"/>
                <w:szCs w:val="18"/>
              </w:rPr>
            </w:pPr>
          </w:p>
        </w:tc>
        <w:tc>
          <w:tcPr>
            <w:tcW w:w="2185" w:type="dxa"/>
            <w:tcBorders>
              <w:top w:val="single" w:sz="4" w:space="0" w:color="auto"/>
              <w:left w:val="single" w:sz="4" w:space="0" w:color="auto"/>
              <w:bottom w:val="single" w:sz="4" w:space="0" w:color="auto"/>
              <w:right w:val="single" w:sz="4" w:space="0" w:color="auto"/>
            </w:tcBorders>
          </w:tcPr>
          <w:p w14:paraId="69DBCDC4" w14:textId="77777777" w:rsidR="001A17A2" w:rsidRPr="001552C0" w:rsidRDefault="001A17A2" w:rsidP="001A17A2">
            <w:pPr>
              <w:spacing w:before="120" w:after="120" w:line="360" w:lineRule="auto"/>
              <w:rPr>
                <w:rFonts w:ascii="Times New Roman" w:hAnsi="Times New Roman" w:cs="Times New Roman"/>
                <w:noProof/>
                <w:sz w:val="18"/>
                <w:szCs w:val="18"/>
              </w:rPr>
            </w:pPr>
          </w:p>
        </w:tc>
      </w:tr>
    </w:tbl>
    <w:p w14:paraId="17F59D12" w14:textId="77777777" w:rsidR="001A17A2" w:rsidRPr="001552C0" w:rsidRDefault="001A17A2" w:rsidP="001A17A2">
      <w:pPr>
        <w:spacing w:before="240" w:after="240" w:line="240" w:lineRule="auto"/>
        <w:rPr>
          <w:rFonts w:ascii="Times New Roman" w:eastAsia="Times New Roman" w:hAnsi="Times New Roman" w:cs="Times New Roman"/>
          <w:b/>
          <w:iCs/>
          <w:noProof/>
          <w:sz w:val="24"/>
          <w:szCs w:val="24"/>
        </w:rPr>
      </w:pPr>
      <w:r w:rsidRPr="001552C0">
        <w:rPr>
          <w:rFonts w:ascii="Times New Roman" w:eastAsia="Times New Roman" w:hAnsi="Times New Roman" w:cs="Times New Roman"/>
          <w:b/>
          <w:iCs/>
          <w:noProof/>
          <w:sz w:val="24"/>
          <w:szCs w:val="24"/>
        </w:rPr>
        <w:br w:type="page"/>
      </w:r>
    </w:p>
    <w:p w14:paraId="44978591" w14:textId="77777777" w:rsidR="002C3753" w:rsidRPr="001552C0" w:rsidRDefault="002C3753" w:rsidP="002C3753">
      <w:pPr>
        <w:spacing w:before="120" w:after="120" w:line="240" w:lineRule="auto"/>
        <w:ind w:left="720"/>
        <w:jc w:val="both"/>
        <w:rPr>
          <w:rFonts w:ascii="Times New Roman" w:eastAsia="Times New Roman" w:hAnsi="Times New Roman" w:cs="Times New Roman"/>
          <w:b/>
          <w:iCs/>
          <w:noProof/>
          <w:sz w:val="24"/>
          <w:szCs w:val="24"/>
          <w:vertAlign w:val="superscript"/>
          <w:lang w:eastAsia="en-GB"/>
        </w:rPr>
      </w:pPr>
      <w:r w:rsidRPr="001552C0">
        <w:rPr>
          <w:rFonts w:ascii="Times New Roman" w:eastAsia="Calibri" w:hAnsi="Times New Roman" w:cs="Times New Roman"/>
          <w:b/>
          <w:noProof/>
          <w:sz w:val="24"/>
          <w:szCs w:val="20"/>
          <w:lang w:eastAsia="en-GB"/>
        </w:rPr>
        <w:lastRenderedPageBreak/>
        <w:t>3.2.</w:t>
      </w:r>
      <w:r w:rsidRPr="001552C0">
        <w:rPr>
          <w:rFonts w:ascii="Times New Roman" w:eastAsia="Calibri" w:hAnsi="Times New Roman" w:cs="Times New Roman"/>
          <w:noProof/>
          <w:sz w:val="24"/>
          <w:szCs w:val="20"/>
          <w:lang w:eastAsia="en-GB"/>
        </w:rPr>
        <w:t xml:space="preserve"> </w:t>
      </w:r>
      <w:r w:rsidRPr="001552C0">
        <w:rPr>
          <w:rFonts w:ascii="Times New Roman" w:eastAsia="Times New Roman" w:hAnsi="Times New Roman" w:cs="Times New Roman"/>
          <w:b/>
          <w:iCs/>
          <w:noProof/>
          <w:sz w:val="24"/>
          <w:szCs w:val="24"/>
          <w:lang w:eastAsia="en-GB"/>
        </w:rPr>
        <w:t>Total financial appropriations by fund and national co-financing *</w:t>
      </w:r>
    </w:p>
    <w:p w14:paraId="03EBF734" w14:textId="77777777" w:rsidR="002C3753" w:rsidRPr="001552C0" w:rsidRDefault="002C3753" w:rsidP="002C3753">
      <w:pPr>
        <w:spacing w:before="120" w:after="120" w:line="240" w:lineRule="auto"/>
        <w:ind w:left="720"/>
        <w:jc w:val="both"/>
        <w:rPr>
          <w:rFonts w:ascii="Times New Roman" w:eastAsia="Times New Roman" w:hAnsi="Times New Roman" w:cs="Times New Roman"/>
          <w:i/>
          <w:noProof/>
          <w:sz w:val="24"/>
          <w:szCs w:val="24"/>
          <w:lang w:eastAsia="en-GB"/>
        </w:rPr>
      </w:pPr>
      <w:r w:rsidRPr="001552C0">
        <w:rPr>
          <w:rFonts w:ascii="Times New Roman" w:eastAsia="Times New Roman" w:hAnsi="Times New Roman" w:cs="Times New Roman"/>
          <w:i/>
          <w:noProof/>
          <w:sz w:val="24"/>
          <w:szCs w:val="24"/>
          <w:lang w:eastAsia="en-GB"/>
        </w:rPr>
        <w:t>Reference: Article 17(3)(f)(ii), Article 17(6)</w:t>
      </w:r>
    </w:p>
    <w:p w14:paraId="0E772C1B" w14:textId="77777777" w:rsidR="002C3753" w:rsidRPr="001552C0" w:rsidRDefault="002C3753" w:rsidP="002C3753">
      <w:pPr>
        <w:spacing w:before="120" w:after="120" w:line="240" w:lineRule="auto"/>
        <w:ind w:left="720"/>
        <w:jc w:val="both"/>
        <w:rPr>
          <w:rFonts w:ascii="Times New Roman" w:eastAsia="Times New Roman" w:hAnsi="Times New Roman" w:cs="Times New Roman"/>
          <w:i/>
          <w:noProof/>
          <w:sz w:val="24"/>
          <w:szCs w:val="24"/>
          <w:lang w:eastAsia="en-GB"/>
        </w:rPr>
      </w:pPr>
      <w:r w:rsidRPr="001552C0">
        <w:rPr>
          <w:rFonts w:ascii="Times New Roman" w:eastAsia="Times New Roman" w:hAnsi="Times New Roman" w:cs="Times New Roman"/>
          <w:i/>
          <w:noProof/>
          <w:sz w:val="24"/>
          <w:szCs w:val="24"/>
          <w:lang w:eastAsia="en-GB"/>
        </w:rPr>
        <w:t>For the Investments for Jobs and Growth goal:</w:t>
      </w:r>
    </w:p>
    <w:tbl>
      <w:tblPr>
        <w:tblStyle w:val="TableGrid"/>
        <w:tblW w:w="0" w:type="auto"/>
        <w:jc w:val="center"/>
        <w:tblLayout w:type="fixed"/>
        <w:tblLook w:val="04A0" w:firstRow="1" w:lastRow="0" w:firstColumn="1" w:lastColumn="0" w:noHBand="0" w:noVBand="1"/>
      </w:tblPr>
      <w:tblGrid>
        <w:gridCol w:w="1419"/>
        <w:gridCol w:w="1343"/>
        <w:gridCol w:w="1984"/>
        <w:gridCol w:w="1134"/>
        <w:gridCol w:w="1418"/>
        <w:gridCol w:w="1134"/>
        <w:gridCol w:w="992"/>
        <w:gridCol w:w="709"/>
        <w:gridCol w:w="708"/>
        <w:gridCol w:w="851"/>
        <w:gridCol w:w="2447"/>
      </w:tblGrid>
      <w:tr w:rsidR="00B96B06" w:rsidRPr="001552C0" w14:paraId="1B3DC709" w14:textId="77777777" w:rsidTr="0028272C">
        <w:trPr>
          <w:jc w:val="center"/>
        </w:trPr>
        <w:tc>
          <w:tcPr>
            <w:tcW w:w="14139" w:type="dxa"/>
            <w:gridSpan w:val="11"/>
          </w:tcPr>
          <w:p w14:paraId="0CE3D3B7" w14:textId="77777777" w:rsidR="002C3753" w:rsidRPr="001552C0" w:rsidRDefault="002C3753" w:rsidP="002C3753">
            <w:pPr>
              <w:ind w:left="720"/>
              <w:contextualSpacing/>
              <w:rPr>
                <w:rFonts w:ascii="Times New Roman" w:eastAsia="Calibri" w:hAnsi="Times New Roman" w:cs="Times New Roman"/>
                <w:b/>
                <w:noProof/>
                <w:sz w:val="16"/>
                <w:szCs w:val="16"/>
              </w:rPr>
            </w:pPr>
            <w:r w:rsidRPr="001552C0">
              <w:rPr>
                <w:rFonts w:ascii="Times New Roman" w:eastAsia="Calibri" w:hAnsi="Times New Roman" w:cs="Times New Roman"/>
                <w:b/>
                <w:noProof/>
                <w:sz w:val="16"/>
                <w:szCs w:val="16"/>
              </w:rPr>
              <w:t>Table 11: Total financial appropriations by fund and national co-financing</w:t>
            </w:r>
          </w:p>
        </w:tc>
      </w:tr>
      <w:tr w:rsidR="00B96B06" w:rsidRPr="001552C0" w14:paraId="4504B200" w14:textId="77777777" w:rsidTr="0028272C">
        <w:trPr>
          <w:jc w:val="center"/>
        </w:trPr>
        <w:tc>
          <w:tcPr>
            <w:tcW w:w="1419" w:type="dxa"/>
            <w:vMerge w:val="restart"/>
          </w:tcPr>
          <w:p w14:paraId="2C09568C"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Policy/JTF objective or TA</w:t>
            </w:r>
          </w:p>
        </w:tc>
        <w:tc>
          <w:tcPr>
            <w:tcW w:w="1343" w:type="dxa"/>
            <w:vMerge w:val="restart"/>
          </w:tcPr>
          <w:p w14:paraId="7D4A0E20"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Priority</w:t>
            </w:r>
          </w:p>
        </w:tc>
        <w:tc>
          <w:tcPr>
            <w:tcW w:w="1984" w:type="dxa"/>
            <w:vMerge w:val="restart"/>
          </w:tcPr>
          <w:p w14:paraId="1D0CD697"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Basis for calculation EU support (total or public)</w:t>
            </w:r>
          </w:p>
        </w:tc>
        <w:tc>
          <w:tcPr>
            <w:tcW w:w="1134" w:type="dxa"/>
            <w:vMerge w:val="restart"/>
          </w:tcPr>
          <w:p w14:paraId="1091272A"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Fund</w:t>
            </w:r>
          </w:p>
        </w:tc>
        <w:tc>
          <w:tcPr>
            <w:tcW w:w="1418" w:type="dxa"/>
            <w:vMerge w:val="restart"/>
          </w:tcPr>
          <w:p w14:paraId="2B98349A"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Category of region**</w:t>
            </w:r>
          </w:p>
        </w:tc>
        <w:tc>
          <w:tcPr>
            <w:tcW w:w="1134" w:type="dxa"/>
            <w:vMerge w:val="restart"/>
          </w:tcPr>
          <w:p w14:paraId="0926B038"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EU contribution</w:t>
            </w:r>
          </w:p>
        </w:tc>
        <w:tc>
          <w:tcPr>
            <w:tcW w:w="992" w:type="dxa"/>
            <w:vMerge w:val="restart"/>
          </w:tcPr>
          <w:p w14:paraId="2C4317A2"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National contribution</w:t>
            </w:r>
          </w:p>
        </w:tc>
        <w:tc>
          <w:tcPr>
            <w:tcW w:w="1417" w:type="dxa"/>
            <w:gridSpan w:val="2"/>
          </w:tcPr>
          <w:p w14:paraId="24EE59AD"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Indicative breakdown of national contribution</w:t>
            </w:r>
          </w:p>
        </w:tc>
        <w:tc>
          <w:tcPr>
            <w:tcW w:w="851" w:type="dxa"/>
            <w:vMerge w:val="restart"/>
          </w:tcPr>
          <w:p w14:paraId="66F301AF"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Total</w:t>
            </w:r>
          </w:p>
        </w:tc>
        <w:tc>
          <w:tcPr>
            <w:tcW w:w="2447" w:type="dxa"/>
            <w:vMerge w:val="restart"/>
          </w:tcPr>
          <w:p w14:paraId="13948D7D"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Co-financing rate</w:t>
            </w:r>
          </w:p>
        </w:tc>
      </w:tr>
      <w:tr w:rsidR="00B96B06" w:rsidRPr="001552C0" w14:paraId="031E8073" w14:textId="77777777" w:rsidTr="0028272C">
        <w:trPr>
          <w:trHeight w:val="170"/>
          <w:jc w:val="center"/>
        </w:trPr>
        <w:tc>
          <w:tcPr>
            <w:tcW w:w="1419" w:type="dxa"/>
            <w:vMerge/>
          </w:tcPr>
          <w:p w14:paraId="602D8FAD" w14:textId="77777777" w:rsidR="002C3753" w:rsidRPr="001552C0" w:rsidRDefault="002C3753" w:rsidP="002C3753">
            <w:pPr>
              <w:rPr>
                <w:rFonts w:ascii="Times New Roman" w:eastAsia="Calibri" w:hAnsi="Times New Roman" w:cs="Times New Roman"/>
                <w:noProof/>
                <w:sz w:val="16"/>
                <w:szCs w:val="16"/>
              </w:rPr>
            </w:pPr>
          </w:p>
        </w:tc>
        <w:tc>
          <w:tcPr>
            <w:tcW w:w="1343" w:type="dxa"/>
            <w:vMerge/>
            <w:tcBorders>
              <w:bottom w:val="nil"/>
            </w:tcBorders>
          </w:tcPr>
          <w:p w14:paraId="4EEDCC58" w14:textId="77777777" w:rsidR="002C3753" w:rsidRPr="001552C0" w:rsidRDefault="002C3753" w:rsidP="002C3753">
            <w:pPr>
              <w:rPr>
                <w:rFonts w:ascii="Times New Roman" w:eastAsia="Calibri" w:hAnsi="Times New Roman" w:cs="Times New Roman"/>
                <w:noProof/>
                <w:sz w:val="16"/>
                <w:szCs w:val="16"/>
              </w:rPr>
            </w:pPr>
          </w:p>
        </w:tc>
        <w:tc>
          <w:tcPr>
            <w:tcW w:w="1984" w:type="dxa"/>
            <w:vMerge/>
            <w:tcBorders>
              <w:bottom w:val="nil"/>
            </w:tcBorders>
          </w:tcPr>
          <w:p w14:paraId="13C52669" w14:textId="77777777" w:rsidR="002C3753" w:rsidRPr="001552C0" w:rsidRDefault="002C3753" w:rsidP="002C3753">
            <w:pPr>
              <w:rPr>
                <w:rFonts w:ascii="Times New Roman" w:eastAsia="Calibri" w:hAnsi="Times New Roman" w:cs="Times New Roman"/>
                <w:noProof/>
                <w:sz w:val="16"/>
                <w:szCs w:val="16"/>
              </w:rPr>
            </w:pPr>
          </w:p>
        </w:tc>
        <w:tc>
          <w:tcPr>
            <w:tcW w:w="1134" w:type="dxa"/>
            <w:vMerge/>
            <w:tcBorders>
              <w:bottom w:val="nil"/>
            </w:tcBorders>
          </w:tcPr>
          <w:p w14:paraId="0D5F46D7" w14:textId="77777777" w:rsidR="002C3753" w:rsidRPr="001552C0" w:rsidRDefault="002C3753" w:rsidP="002C3753">
            <w:pPr>
              <w:rPr>
                <w:rFonts w:ascii="Times New Roman" w:eastAsia="Calibri" w:hAnsi="Times New Roman" w:cs="Times New Roman"/>
                <w:noProof/>
                <w:sz w:val="16"/>
                <w:szCs w:val="16"/>
              </w:rPr>
            </w:pPr>
          </w:p>
        </w:tc>
        <w:tc>
          <w:tcPr>
            <w:tcW w:w="1418" w:type="dxa"/>
            <w:vMerge/>
            <w:tcBorders>
              <w:bottom w:val="nil"/>
            </w:tcBorders>
          </w:tcPr>
          <w:p w14:paraId="1B2D5E87" w14:textId="77777777" w:rsidR="002C3753" w:rsidRPr="001552C0" w:rsidRDefault="002C3753" w:rsidP="002C3753">
            <w:pPr>
              <w:rPr>
                <w:rFonts w:ascii="Times New Roman" w:eastAsia="Calibri" w:hAnsi="Times New Roman" w:cs="Times New Roman"/>
                <w:noProof/>
                <w:sz w:val="16"/>
                <w:szCs w:val="16"/>
              </w:rPr>
            </w:pPr>
          </w:p>
        </w:tc>
        <w:tc>
          <w:tcPr>
            <w:tcW w:w="1134" w:type="dxa"/>
            <w:vMerge/>
            <w:tcBorders>
              <w:bottom w:val="nil"/>
            </w:tcBorders>
          </w:tcPr>
          <w:p w14:paraId="36903244" w14:textId="77777777" w:rsidR="002C3753" w:rsidRPr="001552C0" w:rsidRDefault="002C3753" w:rsidP="002C3753">
            <w:pPr>
              <w:rPr>
                <w:rFonts w:ascii="Times New Roman" w:eastAsia="Calibri" w:hAnsi="Times New Roman" w:cs="Times New Roman"/>
                <w:noProof/>
                <w:sz w:val="16"/>
                <w:szCs w:val="16"/>
              </w:rPr>
            </w:pPr>
          </w:p>
        </w:tc>
        <w:tc>
          <w:tcPr>
            <w:tcW w:w="992" w:type="dxa"/>
            <w:vMerge/>
            <w:tcBorders>
              <w:bottom w:val="nil"/>
            </w:tcBorders>
          </w:tcPr>
          <w:p w14:paraId="54E530A5" w14:textId="77777777" w:rsidR="002C3753" w:rsidRPr="001552C0" w:rsidRDefault="002C3753" w:rsidP="002C3753">
            <w:pPr>
              <w:rPr>
                <w:rFonts w:ascii="Times New Roman" w:eastAsia="Calibri" w:hAnsi="Times New Roman" w:cs="Times New Roman"/>
                <w:noProof/>
                <w:sz w:val="16"/>
                <w:szCs w:val="16"/>
              </w:rPr>
            </w:pPr>
          </w:p>
        </w:tc>
        <w:tc>
          <w:tcPr>
            <w:tcW w:w="709" w:type="dxa"/>
            <w:tcBorders>
              <w:bottom w:val="nil"/>
            </w:tcBorders>
          </w:tcPr>
          <w:p w14:paraId="778810E4"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 xml:space="preserve">public </w:t>
            </w:r>
          </w:p>
        </w:tc>
        <w:tc>
          <w:tcPr>
            <w:tcW w:w="708" w:type="dxa"/>
            <w:tcBorders>
              <w:bottom w:val="nil"/>
            </w:tcBorders>
          </w:tcPr>
          <w:p w14:paraId="39FCEAB2"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 xml:space="preserve">private </w:t>
            </w:r>
          </w:p>
        </w:tc>
        <w:tc>
          <w:tcPr>
            <w:tcW w:w="851" w:type="dxa"/>
            <w:vMerge/>
            <w:tcBorders>
              <w:bottom w:val="nil"/>
            </w:tcBorders>
          </w:tcPr>
          <w:p w14:paraId="36C48FD9" w14:textId="77777777" w:rsidR="002C3753" w:rsidRPr="001552C0" w:rsidRDefault="002C3753" w:rsidP="002C3753">
            <w:pPr>
              <w:rPr>
                <w:rFonts w:ascii="Times New Roman" w:eastAsia="Calibri" w:hAnsi="Times New Roman" w:cs="Times New Roman"/>
                <w:noProof/>
                <w:sz w:val="16"/>
                <w:szCs w:val="16"/>
              </w:rPr>
            </w:pPr>
          </w:p>
        </w:tc>
        <w:tc>
          <w:tcPr>
            <w:tcW w:w="2447" w:type="dxa"/>
            <w:vMerge/>
            <w:tcBorders>
              <w:bottom w:val="nil"/>
            </w:tcBorders>
          </w:tcPr>
          <w:p w14:paraId="2DCF41DD"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6CEFD16E" w14:textId="77777777" w:rsidTr="0028272C">
        <w:trPr>
          <w:jc w:val="center"/>
        </w:trPr>
        <w:tc>
          <w:tcPr>
            <w:tcW w:w="1419" w:type="dxa"/>
            <w:vMerge/>
          </w:tcPr>
          <w:p w14:paraId="443261FE" w14:textId="77777777" w:rsidR="002C3753" w:rsidRPr="001552C0" w:rsidRDefault="002C3753" w:rsidP="002C3753">
            <w:pPr>
              <w:jc w:val="center"/>
              <w:rPr>
                <w:rFonts w:ascii="Times New Roman" w:eastAsia="Calibri" w:hAnsi="Times New Roman" w:cs="Times New Roman"/>
                <w:noProof/>
                <w:sz w:val="16"/>
                <w:szCs w:val="16"/>
              </w:rPr>
            </w:pPr>
          </w:p>
        </w:tc>
        <w:tc>
          <w:tcPr>
            <w:tcW w:w="1343" w:type="dxa"/>
            <w:tcBorders>
              <w:top w:val="nil"/>
            </w:tcBorders>
          </w:tcPr>
          <w:p w14:paraId="5BE6192D" w14:textId="77777777" w:rsidR="002C3753" w:rsidRPr="001552C0" w:rsidRDefault="002C3753" w:rsidP="002C3753">
            <w:pPr>
              <w:jc w:val="center"/>
              <w:rPr>
                <w:rFonts w:ascii="Times New Roman" w:eastAsia="Calibri" w:hAnsi="Times New Roman" w:cs="Times New Roman"/>
                <w:noProof/>
                <w:sz w:val="16"/>
                <w:szCs w:val="16"/>
              </w:rPr>
            </w:pPr>
          </w:p>
        </w:tc>
        <w:tc>
          <w:tcPr>
            <w:tcW w:w="1984" w:type="dxa"/>
            <w:tcBorders>
              <w:top w:val="nil"/>
            </w:tcBorders>
          </w:tcPr>
          <w:p w14:paraId="2560C444" w14:textId="77777777" w:rsidR="002C3753" w:rsidRPr="001552C0" w:rsidRDefault="002C3753" w:rsidP="002C3753">
            <w:pPr>
              <w:jc w:val="center"/>
              <w:rPr>
                <w:rFonts w:ascii="Times New Roman" w:eastAsia="Calibri" w:hAnsi="Times New Roman" w:cs="Times New Roman"/>
                <w:noProof/>
                <w:sz w:val="16"/>
                <w:szCs w:val="16"/>
              </w:rPr>
            </w:pPr>
          </w:p>
        </w:tc>
        <w:tc>
          <w:tcPr>
            <w:tcW w:w="1134" w:type="dxa"/>
            <w:tcBorders>
              <w:top w:val="nil"/>
            </w:tcBorders>
          </w:tcPr>
          <w:p w14:paraId="0C563448" w14:textId="77777777" w:rsidR="002C3753" w:rsidRPr="001552C0" w:rsidRDefault="002C3753" w:rsidP="002C3753">
            <w:pPr>
              <w:jc w:val="center"/>
              <w:rPr>
                <w:rFonts w:ascii="Times New Roman" w:eastAsia="Calibri" w:hAnsi="Times New Roman" w:cs="Times New Roman"/>
                <w:noProof/>
                <w:sz w:val="16"/>
                <w:szCs w:val="16"/>
              </w:rPr>
            </w:pPr>
          </w:p>
        </w:tc>
        <w:tc>
          <w:tcPr>
            <w:tcW w:w="1418" w:type="dxa"/>
            <w:tcBorders>
              <w:top w:val="nil"/>
            </w:tcBorders>
          </w:tcPr>
          <w:p w14:paraId="62205DE2" w14:textId="77777777" w:rsidR="002C3753" w:rsidRPr="001552C0" w:rsidRDefault="002C3753" w:rsidP="002C3753">
            <w:pPr>
              <w:jc w:val="center"/>
              <w:rPr>
                <w:rFonts w:ascii="Times New Roman" w:eastAsia="Calibri" w:hAnsi="Times New Roman" w:cs="Times New Roman"/>
                <w:noProof/>
                <w:sz w:val="16"/>
                <w:szCs w:val="16"/>
              </w:rPr>
            </w:pPr>
          </w:p>
        </w:tc>
        <w:tc>
          <w:tcPr>
            <w:tcW w:w="1134" w:type="dxa"/>
            <w:tcBorders>
              <w:top w:val="nil"/>
            </w:tcBorders>
          </w:tcPr>
          <w:p w14:paraId="0EBE9BFE" w14:textId="77777777" w:rsidR="002C3753" w:rsidRPr="001552C0" w:rsidRDefault="002C3753" w:rsidP="002C3753">
            <w:pPr>
              <w:jc w:val="cente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(a)</w:t>
            </w:r>
          </w:p>
        </w:tc>
        <w:tc>
          <w:tcPr>
            <w:tcW w:w="992" w:type="dxa"/>
            <w:tcBorders>
              <w:top w:val="nil"/>
            </w:tcBorders>
          </w:tcPr>
          <w:p w14:paraId="41732089" w14:textId="77777777" w:rsidR="002C3753" w:rsidRPr="001552C0" w:rsidRDefault="002C3753" w:rsidP="002C3753">
            <w:pPr>
              <w:jc w:val="cente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(b)=(c)+(d)</w:t>
            </w:r>
          </w:p>
        </w:tc>
        <w:tc>
          <w:tcPr>
            <w:tcW w:w="709" w:type="dxa"/>
            <w:tcBorders>
              <w:top w:val="nil"/>
            </w:tcBorders>
          </w:tcPr>
          <w:p w14:paraId="78B4099F" w14:textId="77777777" w:rsidR="002C3753" w:rsidRPr="001552C0" w:rsidRDefault="002C3753" w:rsidP="002C3753">
            <w:pPr>
              <w:jc w:val="cente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(c)</w:t>
            </w:r>
          </w:p>
        </w:tc>
        <w:tc>
          <w:tcPr>
            <w:tcW w:w="708" w:type="dxa"/>
            <w:tcBorders>
              <w:top w:val="nil"/>
            </w:tcBorders>
          </w:tcPr>
          <w:p w14:paraId="2DE22182" w14:textId="77777777" w:rsidR="002C3753" w:rsidRPr="001552C0" w:rsidRDefault="002C3753" w:rsidP="002C3753">
            <w:pPr>
              <w:jc w:val="cente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(d)</w:t>
            </w:r>
          </w:p>
        </w:tc>
        <w:tc>
          <w:tcPr>
            <w:tcW w:w="851" w:type="dxa"/>
            <w:tcBorders>
              <w:top w:val="nil"/>
            </w:tcBorders>
          </w:tcPr>
          <w:p w14:paraId="572C3EBC" w14:textId="77777777" w:rsidR="002C3753" w:rsidRPr="001552C0" w:rsidRDefault="002C3753" w:rsidP="002C3753">
            <w:pPr>
              <w:jc w:val="cente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(e)=(a)+ (b)***</w:t>
            </w:r>
          </w:p>
        </w:tc>
        <w:tc>
          <w:tcPr>
            <w:tcW w:w="2447" w:type="dxa"/>
            <w:tcBorders>
              <w:top w:val="nil"/>
            </w:tcBorders>
          </w:tcPr>
          <w:p w14:paraId="576F8936" w14:textId="77777777" w:rsidR="002C3753" w:rsidRPr="001552C0" w:rsidRDefault="002C3753" w:rsidP="002C3753">
            <w:pPr>
              <w:jc w:val="cente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(f)=(a)/(e)***</w:t>
            </w:r>
          </w:p>
        </w:tc>
      </w:tr>
      <w:tr w:rsidR="00B96B06" w:rsidRPr="001552C0" w14:paraId="048D1BBD" w14:textId="77777777" w:rsidTr="0028272C">
        <w:trPr>
          <w:jc w:val="center"/>
        </w:trPr>
        <w:tc>
          <w:tcPr>
            <w:tcW w:w="1419" w:type="dxa"/>
            <w:vMerge w:val="restart"/>
          </w:tcPr>
          <w:p w14:paraId="4742499E" w14:textId="77777777" w:rsidR="002C3753" w:rsidRPr="001552C0" w:rsidRDefault="002C3753" w:rsidP="002C3753">
            <w:pPr>
              <w:rPr>
                <w:rFonts w:ascii="Times New Roman" w:eastAsia="Calibri" w:hAnsi="Times New Roman" w:cs="Times New Roman"/>
                <w:noProof/>
                <w:sz w:val="16"/>
                <w:szCs w:val="16"/>
              </w:rPr>
            </w:pPr>
          </w:p>
        </w:tc>
        <w:tc>
          <w:tcPr>
            <w:tcW w:w="1343" w:type="dxa"/>
            <w:vMerge w:val="restart"/>
          </w:tcPr>
          <w:p w14:paraId="550F1886"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Priority 1</w:t>
            </w:r>
          </w:p>
        </w:tc>
        <w:tc>
          <w:tcPr>
            <w:tcW w:w="1984" w:type="dxa"/>
            <w:vMerge w:val="restart"/>
          </w:tcPr>
          <w:p w14:paraId="3F2CBC9F"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P/T</w:t>
            </w:r>
          </w:p>
        </w:tc>
        <w:tc>
          <w:tcPr>
            <w:tcW w:w="1134" w:type="dxa"/>
            <w:vMerge w:val="restart"/>
          </w:tcPr>
          <w:p w14:paraId="324D07D7"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ERDF</w:t>
            </w:r>
          </w:p>
        </w:tc>
        <w:tc>
          <w:tcPr>
            <w:tcW w:w="1418" w:type="dxa"/>
          </w:tcPr>
          <w:p w14:paraId="5032820B"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Less developed</w:t>
            </w:r>
          </w:p>
        </w:tc>
        <w:tc>
          <w:tcPr>
            <w:tcW w:w="1134" w:type="dxa"/>
          </w:tcPr>
          <w:p w14:paraId="3CB3D004"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593FF222"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0538E38A"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727DC8CC"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5E8D25A1"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67E98480"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02D04914" w14:textId="77777777" w:rsidTr="0028272C">
        <w:trPr>
          <w:jc w:val="center"/>
        </w:trPr>
        <w:tc>
          <w:tcPr>
            <w:tcW w:w="1419" w:type="dxa"/>
            <w:vMerge/>
          </w:tcPr>
          <w:p w14:paraId="346DD117"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73FB385E"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07AE6643"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4895D269"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36B5D738"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More developed</w:t>
            </w:r>
          </w:p>
        </w:tc>
        <w:tc>
          <w:tcPr>
            <w:tcW w:w="1134" w:type="dxa"/>
          </w:tcPr>
          <w:p w14:paraId="790E4759"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33D41087"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698AD3CC"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0DEC2143"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36C4CD40"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3702D5C9"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6D0273A9" w14:textId="77777777" w:rsidTr="0028272C">
        <w:trPr>
          <w:jc w:val="center"/>
        </w:trPr>
        <w:tc>
          <w:tcPr>
            <w:tcW w:w="1419" w:type="dxa"/>
            <w:vMerge/>
          </w:tcPr>
          <w:p w14:paraId="0B903B91"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3749DF1A"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2800C679"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40CAD8F0"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40F145E1"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Transition</w:t>
            </w:r>
          </w:p>
        </w:tc>
        <w:tc>
          <w:tcPr>
            <w:tcW w:w="1134" w:type="dxa"/>
          </w:tcPr>
          <w:p w14:paraId="0312A8A7"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7DDCAEF5"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1630F83A"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6FAF7FFD"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3ACE1295"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0EABB9C5"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000E61A9" w14:textId="77777777" w:rsidTr="0028272C">
        <w:trPr>
          <w:jc w:val="center"/>
        </w:trPr>
        <w:tc>
          <w:tcPr>
            <w:tcW w:w="1419" w:type="dxa"/>
            <w:vMerge/>
          </w:tcPr>
          <w:p w14:paraId="121C03F9"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57D11862"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0BA158E6"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47DC153E"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6127D35F"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Special allocation for outermost and northern sparsely populated regions</w:t>
            </w:r>
          </w:p>
        </w:tc>
        <w:tc>
          <w:tcPr>
            <w:tcW w:w="1134" w:type="dxa"/>
          </w:tcPr>
          <w:p w14:paraId="4FE4DA46"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19968573"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3E8A5456"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5BD22CA0"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2906D79C"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068A3B37"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0B387F4C" w14:textId="77777777" w:rsidTr="0028272C">
        <w:trPr>
          <w:jc w:val="center"/>
        </w:trPr>
        <w:tc>
          <w:tcPr>
            <w:tcW w:w="1419" w:type="dxa"/>
            <w:vMerge w:val="restart"/>
          </w:tcPr>
          <w:p w14:paraId="42C5381B" w14:textId="77777777" w:rsidR="002C3753" w:rsidRPr="001552C0" w:rsidRDefault="002C3753" w:rsidP="002C3753">
            <w:pPr>
              <w:rPr>
                <w:rFonts w:ascii="Times New Roman" w:eastAsia="Calibri" w:hAnsi="Times New Roman" w:cs="Times New Roman"/>
                <w:noProof/>
                <w:sz w:val="16"/>
                <w:szCs w:val="16"/>
              </w:rPr>
            </w:pPr>
          </w:p>
        </w:tc>
        <w:tc>
          <w:tcPr>
            <w:tcW w:w="1343" w:type="dxa"/>
            <w:vMerge w:val="restart"/>
          </w:tcPr>
          <w:p w14:paraId="230647FE"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Priority 2</w:t>
            </w:r>
          </w:p>
        </w:tc>
        <w:tc>
          <w:tcPr>
            <w:tcW w:w="1984" w:type="dxa"/>
            <w:vMerge w:val="restart"/>
          </w:tcPr>
          <w:p w14:paraId="430496C4" w14:textId="77777777" w:rsidR="002C3753" w:rsidRPr="001552C0" w:rsidRDefault="002C3753" w:rsidP="002C3753">
            <w:pPr>
              <w:rPr>
                <w:rFonts w:ascii="Times New Roman" w:eastAsia="Calibri" w:hAnsi="Times New Roman" w:cs="Times New Roman"/>
                <w:noProof/>
                <w:sz w:val="16"/>
                <w:szCs w:val="16"/>
              </w:rPr>
            </w:pPr>
          </w:p>
        </w:tc>
        <w:tc>
          <w:tcPr>
            <w:tcW w:w="1134" w:type="dxa"/>
            <w:vMerge w:val="restart"/>
          </w:tcPr>
          <w:p w14:paraId="2218BF96"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ESF+</w:t>
            </w:r>
          </w:p>
        </w:tc>
        <w:tc>
          <w:tcPr>
            <w:tcW w:w="1418" w:type="dxa"/>
          </w:tcPr>
          <w:p w14:paraId="2A7AA3ED"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Less developed</w:t>
            </w:r>
          </w:p>
        </w:tc>
        <w:tc>
          <w:tcPr>
            <w:tcW w:w="1134" w:type="dxa"/>
          </w:tcPr>
          <w:p w14:paraId="3DEF8B0C"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29B61DEF"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4AA713BE"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06AD498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40EA69EE"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7BEE978A"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7FFAC9A7" w14:textId="77777777" w:rsidTr="0028272C">
        <w:trPr>
          <w:jc w:val="center"/>
        </w:trPr>
        <w:tc>
          <w:tcPr>
            <w:tcW w:w="1419" w:type="dxa"/>
            <w:vMerge/>
          </w:tcPr>
          <w:p w14:paraId="11784B52"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4EEE51EB"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27C98900"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79999CAA"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151C1388"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More developed</w:t>
            </w:r>
          </w:p>
        </w:tc>
        <w:tc>
          <w:tcPr>
            <w:tcW w:w="1134" w:type="dxa"/>
          </w:tcPr>
          <w:p w14:paraId="7125FFED"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59D817CA"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5215816A"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1E12A1F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4BDC4E22"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5DAE3A2D"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636AABB4" w14:textId="77777777" w:rsidTr="0028272C">
        <w:trPr>
          <w:jc w:val="center"/>
        </w:trPr>
        <w:tc>
          <w:tcPr>
            <w:tcW w:w="1419" w:type="dxa"/>
            <w:vMerge/>
          </w:tcPr>
          <w:p w14:paraId="53170ECB"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369F56CA"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19D16372"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10E0BAA6"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1865288E"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Transition</w:t>
            </w:r>
          </w:p>
        </w:tc>
        <w:tc>
          <w:tcPr>
            <w:tcW w:w="1134" w:type="dxa"/>
          </w:tcPr>
          <w:p w14:paraId="7BD1968A"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32892CDC"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538AD028"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0F607F60"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04034E7C"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0DE69EE7"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715BEA12" w14:textId="77777777" w:rsidTr="0028272C">
        <w:trPr>
          <w:jc w:val="center"/>
        </w:trPr>
        <w:tc>
          <w:tcPr>
            <w:tcW w:w="1419" w:type="dxa"/>
            <w:vMerge/>
          </w:tcPr>
          <w:p w14:paraId="0E4A038B"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4876953B"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0847D8F2"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475A6D97"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732B241A"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Outermost and northern sparsely populated regions</w:t>
            </w:r>
          </w:p>
        </w:tc>
        <w:tc>
          <w:tcPr>
            <w:tcW w:w="1134" w:type="dxa"/>
          </w:tcPr>
          <w:p w14:paraId="5914E903"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123C03C4"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23692A5B"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148AA8B9"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26777582"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4FE3CDD3"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601C8E91" w14:textId="77777777" w:rsidTr="0028272C">
        <w:trPr>
          <w:jc w:val="center"/>
        </w:trPr>
        <w:tc>
          <w:tcPr>
            <w:tcW w:w="1419" w:type="dxa"/>
            <w:vMerge w:val="restart"/>
          </w:tcPr>
          <w:p w14:paraId="6E2FAD3F" w14:textId="77777777" w:rsidR="002C3753" w:rsidRPr="001552C0" w:rsidRDefault="002C3753" w:rsidP="002C3753">
            <w:pPr>
              <w:rPr>
                <w:rFonts w:ascii="Times New Roman" w:eastAsia="Calibri" w:hAnsi="Times New Roman" w:cs="Times New Roman"/>
                <w:noProof/>
                <w:sz w:val="16"/>
                <w:szCs w:val="16"/>
              </w:rPr>
            </w:pPr>
          </w:p>
        </w:tc>
        <w:tc>
          <w:tcPr>
            <w:tcW w:w="1343" w:type="dxa"/>
            <w:vMerge w:val="restart"/>
          </w:tcPr>
          <w:p w14:paraId="36163BB4"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Priority 3</w:t>
            </w:r>
          </w:p>
        </w:tc>
        <w:tc>
          <w:tcPr>
            <w:tcW w:w="1984" w:type="dxa"/>
            <w:vMerge w:val="restart"/>
          </w:tcPr>
          <w:p w14:paraId="0DFD3EF0" w14:textId="77777777" w:rsidR="002C3753" w:rsidRPr="001552C0" w:rsidRDefault="002C3753" w:rsidP="002C3753">
            <w:pPr>
              <w:rPr>
                <w:rFonts w:ascii="Times New Roman" w:eastAsia="Calibri" w:hAnsi="Times New Roman" w:cs="Times New Roman"/>
                <w:noProof/>
                <w:sz w:val="16"/>
                <w:szCs w:val="16"/>
              </w:rPr>
            </w:pPr>
          </w:p>
        </w:tc>
        <w:tc>
          <w:tcPr>
            <w:tcW w:w="1134" w:type="dxa"/>
            <w:vMerge w:val="restart"/>
          </w:tcPr>
          <w:p w14:paraId="476428CC"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JTF****</w:t>
            </w:r>
          </w:p>
        </w:tc>
        <w:tc>
          <w:tcPr>
            <w:tcW w:w="1418" w:type="dxa"/>
          </w:tcPr>
          <w:p w14:paraId="687DE902"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Less developed</w:t>
            </w:r>
          </w:p>
        </w:tc>
        <w:tc>
          <w:tcPr>
            <w:tcW w:w="1134" w:type="dxa"/>
          </w:tcPr>
          <w:p w14:paraId="4160D5D5"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3AF819A1"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5AFC19BE"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1474693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50F518A1"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65BEB46C"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7EEE3119" w14:textId="77777777" w:rsidTr="0028272C">
        <w:trPr>
          <w:jc w:val="center"/>
        </w:trPr>
        <w:tc>
          <w:tcPr>
            <w:tcW w:w="1419" w:type="dxa"/>
            <w:vMerge/>
          </w:tcPr>
          <w:p w14:paraId="429629C4"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15CD1CEC"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78DB3F9B"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0E240E27"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183FB6ED"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More developed</w:t>
            </w:r>
          </w:p>
        </w:tc>
        <w:tc>
          <w:tcPr>
            <w:tcW w:w="1134" w:type="dxa"/>
          </w:tcPr>
          <w:p w14:paraId="5F5963E2"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0359C161"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255C4569"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5FDF9633"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1F920031"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3F1E0D3A"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1485DD3C" w14:textId="77777777" w:rsidTr="0028272C">
        <w:trPr>
          <w:jc w:val="center"/>
        </w:trPr>
        <w:tc>
          <w:tcPr>
            <w:tcW w:w="1419" w:type="dxa"/>
            <w:vMerge/>
          </w:tcPr>
          <w:p w14:paraId="12DE93C8" w14:textId="77777777" w:rsidR="002C3753" w:rsidRPr="001552C0" w:rsidRDefault="002C3753" w:rsidP="002C3753">
            <w:pPr>
              <w:rPr>
                <w:rFonts w:ascii="Times New Roman" w:eastAsia="Calibri" w:hAnsi="Times New Roman" w:cs="Times New Roman"/>
                <w:noProof/>
                <w:sz w:val="16"/>
                <w:szCs w:val="16"/>
              </w:rPr>
            </w:pPr>
          </w:p>
        </w:tc>
        <w:tc>
          <w:tcPr>
            <w:tcW w:w="1343" w:type="dxa"/>
            <w:vMerge/>
          </w:tcPr>
          <w:p w14:paraId="7FD81155" w14:textId="77777777" w:rsidR="002C3753" w:rsidRPr="001552C0" w:rsidRDefault="002C3753" w:rsidP="002C3753">
            <w:pPr>
              <w:rPr>
                <w:rFonts w:ascii="Times New Roman" w:eastAsia="Calibri" w:hAnsi="Times New Roman" w:cs="Times New Roman"/>
                <w:noProof/>
                <w:sz w:val="16"/>
                <w:szCs w:val="16"/>
              </w:rPr>
            </w:pPr>
          </w:p>
        </w:tc>
        <w:tc>
          <w:tcPr>
            <w:tcW w:w="1984" w:type="dxa"/>
            <w:vMerge/>
          </w:tcPr>
          <w:p w14:paraId="1F1DD421" w14:textId="77777777" w:rsidR="002C3753" w:rsidRPr="001552C0" w:rsidRDefault="002C3753" w:rsidP="002C3753">
            <w:pPr>
              <w:rPr>
                <w:rFonts w:ascii="Times New Roman" w:eastAsia="Calibri" w:hAnsi="Times New Roman" w:cs="Times New Roman"/>
                <w:noProof/>
                <w:sz w:val="16"/>
                <w:szCs w:val="16"/>
              </w:rPr>
            </w:pPr>
          </w:p>
        </w:tc>
        <w:tc>
          <w:tcPr>
            <w:tcW w:w="1134" w:type="dxa"/>
            <w:vMerge/>
          </w:tcPr>
          <w:p w14:paraId="565FBF58"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323C6624"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Transition</w:t>
            </w:r>
          </w:p>
        </w:tc>
        <w:tc>
          <w:tcPr>
            <w:tcW w:w="1134" w:type="dxa"/>
          </w:tcPr>
          <w:p w14:paraId="52273E61"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4690FE22"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43723199"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0EE58CDB"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175971F9"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5D760AB6"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5C3E6ABA" w14:textId="77777777" w:rsidTr="0028272C">
        <w:trPr>
          <w:jc w:val="center"/>
        </w:trPr>
        <w:tc>
          <w:tcPr>
            <w:tcW w:w="1419" w:type="dxa"/>
          </w:tcPr>
          <w:p w14:paraId="6E84F699" w14:textId="77777777" w:rsidR="002C3753" w:rsidRPr="001552C0" w:rsidRDefault="002C3753" w:rsidP="002C3753">
            <w:pPr>
              <w:rPr>
                <w:rFonts w:ascii="Times New Roman" w:eastAsia="Calibri" w:hAnsi="Times New Roman" w:cs="Times New Roman"/>
                <w:noProof/>
                <w:sz w:val="16"/>
                <w:szCs w:val="16"/>
              </w:rPr>
            </w:pPr>
          </w:p>
        </w:tc>
        <w:tc>
          <w:tcPr>
            <w:tcW w:w="1343" w:type="dxa"/>
          </w:tcPr>
          <w:p w14:paraId="7DF5476F"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Priority 4</w:t>
            </w:r>
          </w:p>
        </w:tc>
        <w:tc>
          <w:tcPr>
            <w:tcW w:w="1984" w:type="dxa"/>
          </w:tcPr>
          <w:p w14:paraId="45C27744"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506654FA"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CF</w:t>
            </w:r>
          </w:p>
        </w:tc>
        <w:tc>
          <w:tcPr>
            <w:tcW w:w="1418" w:type="dxa"/>
          </w:tcPr>
          <w:p w14:paraId="00D6DC88"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4DD6FB7D"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4B7AB916"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3E1B5BA8"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3A980DA1"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764FABE8"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6982DBFD"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7BC6ED07" w14:textId="77777777" w:rsidTr="0028272C">
        <w:trPr>
          <w:jc w:val="center"/>
        </w:trPr>
        <w:tc>
          <w:tcPr>
            <w:tcW w:w="1419" w:type="dxa"/>
          </w:tcPr>
          <w:p w14:paraId="61913809"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TA</w:t>
            </w:r>
          </w:p>
        </w:tc>
        <w:tc>
          <w:tcPr>
            <w:tcW w:w="1343" w:type="dxa"/>
          </w:tcPr>
          <w:p w14:paraId="1B1FA2A3"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TA Art. 29 CPR</w:t>
            </w:r>
          </w:p>
        </w:tc>
        <w:tc>
          <w:tcPr>
            <w:tcW w:w="1984" w:type="dxa"/>
          </w:tcPr>
          <w:p w14:paraId="27AF1A3D"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038E5388"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ERDF or ESF+ or CF or JTF</w:t>
            </w:r>
          </w:p>
        </w:tc>
        <w:tc>
          <w:tcPr>
            <w:tcW w:w="1418" w:type="dxa"/>
          </w:tcPr>
          <w:p w14:paraId="062732D2"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28D54E6C"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1A2E5E8D"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7FEE0E7A"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6AAE548E"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3CEEBDB4"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2DF06E5F"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4A1887A2" w14:textId="77777777" w:rsidTr="0028272C">
        <w:trPr>
          <w:jc w:val="center"/>
        </w:trPr>
        <w:tc>
          <w:tcPr>
            <w:tcW w:w="1419" w:type="dxa"/>
          </w:tcPr>
          <w:p w14:paraId="1980206E" w14:textId="77777777" w:rsidR="002C3753" w:rsidRPr="001552C0" w:rsidRDefault="002C3753" w:rsidP="002C3753">
            <w:pPr>
              <w:rPr>
                <w:rFonts w:ascii="Times New Roman" w:eastAsia="Calibri" w:hAnsi="Times New Roman" w:cs="Times New Roman"/>
                <w:noProof/>
                <w:sz w:val="16"/>
                <w:szCs w:val="16"/>
              </w:rPr>
            </w:pPr>
          </w:p>
        </w:tc>
        <w:tc>
          <w:tcPr>
            <w:tcW w:w="1343" w:type="dxa"/>
          </w:tcPr>
          <w:p w14:paraId="6368CB3D"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TA Art. 30 CPR</w:t>
            </w:r>
          </w:p>
        </w:tc>
        <w:tc>
          <w:tcPr>
            <w:tcW w:w="1984" w:type="dxa"/>
            <w:tcBorders>
              <w:bottom w:val="single" w:sz="4" w:space="0" w:color="auto"/>
            </w:tcBorders>
          </w:tcPr>
          <w:p w14:paraId="4649D49A" w14:textId="77777777" w:rsidR="002C3753" w:rsidRPr="001552C0" w:rsidRDefault="002C3753" w:rsidP="002C3753">
            <w:pPr>
              <w:rPr>
                <w:rFonts w:ascii="Times New Roman" w:eastAsia="Calibri" w:hAnsi="Times New Roman" w:cs="Times New Roman"/>
                <w:noProof/>
                <w:sz w:val="16"/>
                <w:szCs w:val="16"/>
              </w:rPr>
            </w:pPr>
          </w:p>
        </w:tc>
        <w:tc>
          <w:tcPr>
            <w:tcW w:w="1134" w:type="dxa"/>
            <w:tcBorders>
              <w:bottom w:val="single" w:sz="4" w:space="0" w:color="auto"/>
            </w:tcBorders>
          </w:tcPr>
          <w:p w14:paraId="196DF1F0"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ERDF or ESF+ or CF or JTF</w:t>
            </w:r>
          </w:p>
        </w:tc>
        <w:tc>
          <w:tcPr>
            <w:tcW w:w="1418" w:type="dxa"/>
          </w:tcPr>
          <w:p w14:paraId="29E73D6F"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272C9C79"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757B9CEE"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22404189"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161EEDFA"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3B9C550E"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7777CDA1"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43DA8724" w14:textId="77777777" w:rsidTr="0028272C">
        <w:trPr>
          <w:jc w:val="center"/>
        </w:trPr>
        <w:tc>
          <w:tcPr>
            <w:tcW w:w="2762" w:type="dxa"/>
            <w:gridSpan w:val="2"/>
            <w:vMerge w:val="restart"/>
          </w:tcPr>
          <w:p w14:paraId="2A182C4B"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Total ERDF</w:t>
            </w:r>
          </w:p>
          <w:p w14:paraId="7C67F5EF"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3B52D6F9"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740DDFC0"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534DCC06"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More developed</w:t>
            </w:r>
          </w:p>
        </w:tc>
        <w:tc>
          <w:tcPr>
            <w:tcW w:w="1134" w:type="dxa"/>
          </w:tcPr>
          <w:p w14:paraId="6A98E502"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06966DF9"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5405A0AE"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76F2080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3E2AE60F"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0EC8AE7C"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3D4EA321" w14:textId="77777777" w:rsidTr="0028272C">
        <w:trPr>
          <w:jc w:val="center"/>
        </w:trPr>
        <w:tc>
          <w:tcPr>
            <w:tcW w:w="2762" w:type="dxa"/>
            <w:gridSpan w:val="2"/>
            <w:vMerge/>
          </w:tcPr>
          <w:p w14:paraId="317F3D7B"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79666382"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68046B89"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0C9E439C"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Transition</w:t>
            </w:r>
          </w:p>
        </w:tc>
        <w:tc>
          <w:tcPr>
            <w:tcW w:w="1134" w:type="dxa"/>
          </w:tcPr>
          <w:p w14:paraId="2E946D2C"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0F2CFEFD"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4C3EE6C2"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242778D2"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1952C9B0"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18101DA9"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4B116638" w14:textId="77777777" w:rsidTr="0028272C">
        <w:trPr>
          <w:jc w:val="center"/>
        </w:trPr>
        <w:tc>
          <w:tcPr>
            <w:tcW w:w="2762" w:type="dxa"/>
            <w:gridSpan w:val="2"/>
            <w:vMerge/>
          </w:tcPr>
          <w:p w14:paraId="0CD4EE73"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5FCC73DD"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4185C711"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4432B297"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Less developed</w:t>
            </w:r>
          </w:p>
        </w:tc>
        <w:tc>
          <w:tcPr>
            <w:tcW w:w="1134" w:type="dxa"/>
          </w:tcPr>
          <w:p w14:paraId="67FA1568"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00142CB9"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210464F0"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40A119B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7F645060"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466C7D58"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53E4AE18" w14:textId="77777777" w:rsidTr="0028272C">
        <w:trPr>
          <w:jc w:val="center"/>
        </w:trPr>
        <w:tc>
          <w:tcPr>
            <w:tcW w:w="2762" w:type="dxa"/>
            <w:gridSpan w:val="2"/>
            <w:vMerge/>
          </w:tcPr>
          <w:p w14:paraId="758B5698"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7D8606C4"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19BE8FA8"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3E99DCA6"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Special allocation for outermost and northern sparsely populated regions</w:t>
            </w:r>
          </w:p>
        </w:tc>
        <w:tc>
          <w:tcPr>
            <w:tcW w:w="1134" w:type="dxa"/>
          </w:tcPr>
          <w:p w14:paraId="2FB2A41F"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734F0E9A"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3AF025E1"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29E9ED00"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0E35DEB0"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43ACB691"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24D64C71" w14:textId="77777777" w:rsidTr="0028272C">
        <w:trPr>
          <w:jc w:val="center"/>
        </w:trPr>
        <w:tc>
          <w:tcPr>
            <w:tcW w:w="2762" w:type="dxa"/>
            <w:gridSpan w:val="2"/>
            <w:vMerge w:val="restart"/>
          </w:tcPr>
          <w:p w14:paraId="06F7AB42"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Total ESF+</w:t>
            </w:r>
          </w:p>
          <w:p w14:paraId="6671C2F7"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35515C37"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0D4B85B2"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2554BDBB"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More developed</w:t>
            </w:r>
          </w:p>
        </w:tc>
        <w:tc>
          <w:tcPr>
            <w:tcW w:w="1134" w:type="dxa"/>
          </w:tcPr>
          <w:p w14:paraId="3EFF6E06"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682CB3C5"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15F9735F"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1DCBBF15"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2C6E4B9E"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1E57AEB6"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25E60778" w14:textId="77777777" w:rsidTr="0028272C">
        <w:trPr>
          <w:jc w:val="center"/>
        </w:trPr>
        <w:tc>
          <w:tcPr>
            <w:tcW w:w="2762" w:type="dxa"/>
            <w:gridSpan w:val="2"/>
            <w:vMerge/>
          </w:tcPr>
          <w:p w14:paraId="4C3F5A1A"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35706320"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339787A3"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573B36DB"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Transition</w:t>
            </w:r>
          </w:p>
        </w:tc>
        <w:tc>
          <w:tcPr>
            <w:tcW w:w="1134" w:type="dxa"/>
          </w:tcPr>
          <w:p w14:paraId="15B443B5"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3F96298E"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7EC50C44"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68748B2E"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5A0C54ED"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2622F38C"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4ED6A98F" w14:textId="77777777" w:rsidTr="0028272C">
        <w:trPr>
          <w:jc w:val="center"/>
        </w:trPr>
        <w:tc>
          <w:tcPr>
            <w:tcW w:w="2762" w:type="dxa"/>
            <w:gridSpan w:val="2"/>
            <w:vMerge/>
          </w:tcPr>
          <w:p w14:paraId="04B9569F"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553CC4F0"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175C075A"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4092CB35"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Less developed</w:t>
            </w:r>
          </w:p>
        </w:tc>
        <w:tc>
          <w:tcPr>
            <w:tcW w:w="1134" w:type="dxa"/>
          </w:tcPr>
          <w:p w14:paraId="5A8A7CFB"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0DE98307"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52544EDA"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0761DA9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500B7AB7"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636FB098"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53CFF672" w14:textId="77777777" w:rsidTr="0028272C">
        <w:trPr>
          <w:jc w:val="center"/>
        </w:trPr>
        <w:tc>
          <w:tcPr>
            <w:tcW w:w="2762" w:type="dxa"/>
            <w:gridSpan w:val="2"/>
            <w:vMerge/>
          </w:tcPr>
          <w:p w14:paraId="1C33B3D6"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0686C6E7"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7B893B32"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5AB0DE9B"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Outermost and northern sparsely populated regions</w:t>
            </w:r>
          </w:p>
        </w:tc>
        <w:tc>
          <w:tcPr>
            <w:tcW w:w="1134" w:type="dxa"/>
          </w:tcPr>
          <w:p w14:paraId="4E58BA72"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3CF594F6"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34606A46"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71D9CF27"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4BECEF32"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5BA13DE2"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0DEBE96C" w14:textId="77777777" w:rsidTr="0028272C">
        <w:trPr>
          <w:jc w:val="center"/>
        </w:trPr>
        <w:tc>
          <w:tcPr>
            <w:tcW w:w="2762" w:type="dxa"/>
            <w:gridSpan w:val="2"/>
            <w:vMerge w:val="restart"/>
          </w:tcPr>
          <w:p w14:paraId="6C2E4A1B"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Total JTF</w:t>
            </w:r>
          </w:p>
          <w:p w14:paraId="46DDCDB7"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4629D280"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4D7D5D5A"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5D733244"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More developed</w:t>
            </w:r>
          </w:p>
        </w:tc>
        <w:tc>
          <w:tcPr>
            <w:tcW w:w="1134" w:type="dxa"/>
          </w:tcPr>
          <w:p w14:paraId="275C3C1D"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187ADD1C"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3C8133F8"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43B37ECB"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58141972"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1621133E"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675549F0" w14:textId="77777777" w:rsidTr="0028272C">
        <w:trPr>
          <w:jc w:val="center"/>
        </w:trPr>
        <w:tc>
          <w:tcPr>
            <w:tcW w:w="2762" w:type="dxa"/>
            <w:gridSpan w:val="2"/>
            <w:vMerge/>
          </w:tcPr>
          <w:p w14:paraId="2E669B0B"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3156C16D"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68473090"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0E1EE679"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Transition</w:t>
            </w:r>
          </w:p>
        </w:tc>
        <w:tc>
          <w:tcPr>
            <w:tcW w:w="1134" w:type="dxa"/>
          </w:tcPr>
          <w:p w14:paraId="527C617C"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08B4AE5D"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1691D0DF"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7306BF7E"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64ED45B9"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7D98BB45"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5769DDC6" w14:textId="77777777" w:rsidTr="0028272C">
        <w:trPr>
          <w:jc w:val="center"/>
        </w:trPr>
        <w:tc>
          <w:tcPr>
            <w:tcW w:w="2762" w:type="dxa"/>
            <w:gridSpan w:val="2"/>
            <w:vMerge/>
          </w:tcPr>
          <w:p w14:paraId="4E027067" w14:textId="77777777" w:rsidR="002C3753" w:rsidRPr="001552C0" w:rsidRDefault="002C3753" w:rsidP="002C3753">
            <w:pPr>
              <w:rPr>
                <w:rFonts w:ascii="Times New Roman" w:eastAsia="Calibri" w:hAnsi="Times New Roman" w:cs="Times New Roman"/>
                <w:noProof/>
                <w:sz w:val="16"/>
                <w:szCs w:val="16"/>
              </w:rPr>
            </w:pPr>
          </w:p>
        </w:tc>
        <w:tc>
          <w:tcPr>
            <w:tcW w:w="1984" w:type="dxa"/>
            <w:shd w:val="clear" w:color="auto" w:fill="7F7F7F" w:themeFill="text1" w:themeFillTint="80"/>
          </w:tcPr>
          <w:p w14:paraId="4E9EEEB1" w14:textId="77777777" w:rsidR="002C3753" w:rsidRPr="001552C0" w:rsidRDefault="002C3753" w:rsidP="002C3753">
            <w:pPr>
              <w:rPr>
                <w:rFonts w:ascii="Times New Roman" w:eastAsia="Calibri" w:hAnsi="Times New Roman" w:cs="Times New Roman"/>
                <w:noProof/>
                <w:sz w:val="16"/>
                <w:szCs w:val="16"/>
              </w:rPr>
            </w:pPr>
          </w:p>
        </w:tc>
        <w:tc>
          <w:tcPr>
            <w:tcW w:w="1134" w:type="dxa"/>
            <w:shd w:val="clear" w:color="auto" w:fill="7F7F7F" w:themeFill="text1" w:themeFillTint="80"/>
          </w:tcPr>
          <w:p w14:paraId="4237DCE2"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7421A91C"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Less developed</w:t>
            </w:r>
          </w:p>
        </w:tc>
        <w:tc>
          <w:tcPr>
            <w:tcW w:w="1134" w:type="dxa"/>
          </w:tcPr>
          <w:p w14:paraId="4A617D4D"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1910BCA1"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3221352B"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3F0193CE"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3A900FDE"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43BD7CCF"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7A4B4313" w14:textId="77777777" w:rsidTr="0028272C">
        <w:trPr>
          <w:gridAfter w:val="9"/>
          <w:wAfter w:w="11377" w:type="dxa"/>
          <w:trHeight w:val="230"/>
          <w:jc w:val="center"/>
        </w:trPr>
        <w:tc>
          <w:tcPr>
            <w:tcW w:w="2762" w:type="dxa"/>
            <w:gridSpan w:val="2"/>
            <w:vMerge/>
          </w:tcPr>
          <w:p w14:paraId="136DE733"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1230BAA9" w14:textId="77777777" w:rsidTr="0028272C">
        <w:trPr>
          <w:jc w:val="center"/>
        </w:trPr>
        <w:tc>
          <w:tcPr>
            <w:tcW w:w="2762" w:type="dxa"/>
            <w:gridSpan w:val="2"/>
          </w:tcPr>
          <w:p w14:paraId="34592EE8"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Total CF</w:t>
            </w:r>
          </w:p>
        </w:tc>
        <w:tc>
          <w:tcPr>
            <w:tcW w:w="1984" w:type="dxa"/>
            <w:tcBorders>
              <w:bottom w:val="single" w:sz="4" w:space="0" w:color="auto"/>
            </w:tcBorders>
            <w:shd w:val="clear" w:color="auto" w:fill="7F7F7F" w:themeFill="text1" w:themeFillTint="80"/>
          </w:tcPr>
          <w:p w14:paraId="5C694FA0"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4F2082B1"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N/A</w:t>
            </w:r>
          </w:p>
        </w:tc>
        <w:tc>
          <w:tcPr>
            <w:tcW w:w="1418" w:type="dxa"/>
          </w:tcPr>
          <w:p w14:paraId="2D42AAC6"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719E4C09"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60D7FADD"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58BFEB64"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55B645E0"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4CA38774"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38904841" w14:textId="77777777" w:rsidR="002C3753" w:rsidRPr="001552C0" w:rsidRDefault="002C3753" w:rsidP="002C3753">
            <w:pPr>
              <w:rPr>
                <w:rFonts w:ascii="Times New Roman" w:eastAsia="Calibri" w:hAnsi="Times New Roman" w:cs="Times New Roman"/>
                <w:noProof/>
                <w:sz w:val="16"/>
                <w:szCs w:val="16"/>
              </w:rPr>
            </w:pPr>
          </w:p>
        </w:tc>
      </w:tr>
      <w:tr w:rsidR="00B96B06" w:rsidRPr="001552C0" w14:paraId="21121969" w14:textId="77777777" w:rsidTr="0028272C">
        <w:trPr>
          <w:jc w:val="center"/>
        </w:trPr>
        <w:tc>
          <w:tcPr>
            <w:tcW w:w="2762" w:type="dxa"/>
            <w:gridSpan w:val="2"/>
          </w:tcPr>
          <w:p w14:paraId="72759F16" w14:textId="77777777" w:rsidR="002C3753" w:rsidRPr="001552C0" w:rsidRDefault="002C3753" w:rsidP="002C3753">
            <w:pPr>
              <w:rPr>
                <w:rFonts w:ascii="Times New Roman" w:eastAsia="Calibri" w:hAnsi="Times New Roman" w:cs="Times New Roman"/>
                <w:noProof/>
                <w:sz w:val="16"/>
                <w:szCs w:val="16"/>
              </w:rPr>
            </w:pPr>
            <w:r w:rsidRPr="001552C0">
              <w:rPr>
                <w:rFonts w:ascii="Times New Roman" w:eastAsia="Calibri" w:hAnsi="Times New Roman" w:cs="Times New Roman"/>
                <w:noProof/>
                <w:sz w:val="16"/>
                <w:szCs w:val="16"/>
              </w:rPr>
              <w:t>Grand total</w:t>
            </w:r>
          </w:p>
        </w:tc>
        <w:tc>
          <w:tcPr>
            <w:tcW w:w="1984" w:type="dxa"/>
            <w:shd w:val="clear" w:color="auto" w:fill="7F7F7F" w:themeFill="text1" w:themeFillTint="80"/>
          </w:tcPr>
          <w:p w14:paraId="256509F4"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303B8BF7" w14:textId="77777777" w:rsidR="002C3753" w:rsidRPr="001552C0" w:rsidRDefault="002C3753" w:rsidP="002C3753">
            <w:pPr>
              <w:rPr>
                <w:rFonts w:ascii="Times New Roman" w:eastAsia="Calibri" w:hAnsi="Times New Roman" w:cs="Times New Roman"/>
                <w:noProof/>
                <w:sz w:val="16"/>
                <w:szCs w:val="16"/>
              </w:rPr>
            </w:pPr>
          </w:p>
        </w:tc>
        <w:tc>
          <w:tcPr>
            <w:tcW w:w="1418" w:type="dxa"/>
          </w:tcPr>
          <w:p w14:paraId="777550A7" w14:textId="77777777" w:rsidR="002C3753" w:rsidRPr="001552C0" w:rsidRDefault="002C3753" w:rsidP="002C3753">
            <w:pPr>
              <w:rPr>
                <w:rFonts w:ascii="Times New Roman" w:eastAsia="Calibri" w:hAnsi="Times New Roman" w:cs="Times New Roman"/>
                <w:noProof/>
                <w:sz w:val="16"/>
                <w:szCs w:val="16"/>
              </w:rPr>
            </w:pPr>
          </w:p>
        </w:tc>
        <w:tc>
          <w:tcPr>
            <w:tcW w:w="1134" w:type="dxa"/>
          </w:tcPr>
          <w:p w14:paraId="6AA41345" w14:textId="77777777" w:rsidR="002C3753" w:rsidRPr="001552C0" w:rsidRDefault="002C3753" w:rsidP="002C3753">
            <w:pPr>
              <w:rPr>
                <w:rFonts w:ascii="Times New Roman" w:eastAsia="Calibri" w:hAnsi="Times New Roman" w:cs="Times New Roman"/>
                <w:noProof/>
                <w:sz w:val="16"/>
                <w:szCs w:val="16"/>
              </w:rPr>
            </w:pPr>
          </w:p>
        </w:tc>
        <w:tc>
          <w:tcPr>
            <w:tcW w:w="992" w:type="dxa"/>
          </w:tcPr>
          <w:p w14:paraId="338440F8" w14:textId="77777777" w:rsidR="002C3753" w:rsidRPr="001552C0" w:rsidRDefault="002C3753" w:rsidP="002C3753">
            <w:pPr>
              <w:rPr>
                <w:rFonts w:ascii="Times New Roman" w:eastAsia="Calibri" w:hAnsi="Times New Roman" w:cs="Times New Roman"/>
                <w:noProof/>
                <w:sz w:val="16"/>
                <w:szCs w:val="16"/>
              </w:rPr>
            </w:pPr>
          </w:p>
        </w:tc>
        <w:tc>
          <w:tcPr>
            <w:tcW w:w="709" w:type="dxa"/>
          </w:tcPr>
          <w:p w14:paraId="73BD2A14" w14:textId="77777777" w:rsidR="002C3753" w:rsidRPr="001552C0" w:rsidRDefault="002C3753" w:rsidP="002C3753">
            <w:pPr>
              <w:rPr>
                <w:rFonts w:ascii="Times New Roman" w:eastAsia="Calibri" w:hAnsi="Times New Roman" w:cs="Times New Roman"/>
                <w:noProof/>
                <w:sz w:val="16"/>
                <w:szCs w:val="16"/>
              </w:rPr>
            </w:pPr>
          </w:p>
        </w:tc>
        <w:tc>
          <w:tcPr>
            <w:tcW w:w="708" w:type="dxa"/>
          </w:tcPr>
          <w:p w14:paraId="3B04461D" w14:textId="77777777" w:rsidR="002C3753" w:rsidRPr="001552C0" w:rsidRDefault="002C3753" w:rsidP="002C3753">
            <w:pPr>
              <w:rPr>
                <w:rFonts w:ascii="Times New Roman" w:eastAsia="Calibri" w:hAnsi="Times New Roman" w:cs="Times New Roman"/>
                <w:noProof/>
                <w:sz w:val="16"/>
                <w:szCs w:val="16"/>
              </w:rPr>
            </w:pPr>
          </w:p>
        </w:tc>
        <w:tc>
          <w:tcPr>
            <w:tcW w:w="851" w:type="dxa"/>
          </w:tcPr>
          <w:p w14:paraId="2E02A253" w14:textId="77777777" w:rsidR="002C3753" w:rsidRPr="001552C0" w:rsidRDefault="002C3753" w:rsidP="002C3753">
            <w:pPr>
              <w:rPr>
                <w:rFonts w:ascii="Times New Roman" w:eastAsia="Calibri" w:hAnsi="Times New Roman" w:cs="Times New Roman"/>
                <w:noProof/>
                <w:sz w:val="16"/>
                <w:szCs w:val="16"/>
              </w:rPr>
            </w:pPr>
          </w:p>
        </w:tc>
        <w:tc>
          <w:tcPr>
            <w:tcW w:w="2447" w:type="dxa"/>
          </w:tcPr>
          <w:p w14:paraId="361A112F" w14:textId="77777777" w:rsidR="002C3753" w:rsidRPr="001552C0" w:rsidRDefault="002C3753" w:rsidP="002C3753">
            <w:pPr>
              <w:rPr>
                <w:rFonts w:ascii="Times New Roman" w:eastAsia="Calibri" w:hAnsi="Times New Roman" w:cs="Times New Roman"/>
                <w:noProof/>
                <w:sz w:val="16"/>
                <w:szCs w:val="16"/>
              </w:rPr>
            </w:pPr>
          </w:p>
        </w:tc>
      </w:tr>
    </w:tbl>
    <w:p w14:paraId="4E6582BF" w14:textId="77777777" w:rsidR="002C3753" w:rsidRPr="001552C0" w:rsidRDefault="002C3753" w:rsidP="002C3753">
      <w:pPr>
        <w:spacing w:after="0"/>
        <w:rPr>
          <w:rFonts w:ascii="Times New Roman" w:hAnsi="Times New Roman" w:cs="Times New Roman"/>
          <w:noProof/>
          <w:sz w:val="16"/>
          <w:szCs w:val="16"/>
        </w:rPr>
      </w:pPr>
      <w:r w:rsidRPr="001552C0">
        <w:rPr>
          <w:rFonts w:ascii="Times New Roman" w:hAnsi="Times New Roman" w:cs="Times New Roman"/>
          <w:noProof/>
          <w:sz w:val="16"/>
          <w:szCs w:val="16"/>
        </w:rPr>
        <w:t>* Prior to the mid-term review in 2025 for the ERDF, the ESF+, the CF and the JTF, financial appropriations for the years 2021 to 2025 only.</w:t>
      </w:r>
    </w:p>
    <w:p w14:paraId="2755BCAB" w14:textId="77777777" w:rsidR="002C3753" w:rsidRPr="001552C0" w:rsidRDefault="002C3753" w:rsidP="002C3753">
      <w:pPr>
        <w:spacing w:after="0"/>
        <w:rPr>
          <w:rFonts w:ascii="Times New Roman" w:hAnsi="Times New Roman" w:cs="Times New Roman"/>
          <w:noProof/>
          <w:sz w:val="16"/>
          <w:szCs w:val="16"/>
        </w:rPr>
      </w:pPr>
      <w:r w:rsidRPr="001552C0">
        <w:rPr>
          <w:rFonts w:ascii="Times New Roman" w:hAnsi="Times New Roman" w:cs="Times New Roman"/>
          <w:noProof/>
          <w:sz w:val="16"/>
          <w:szCs w:val="16"/>
        </w:rPr>
        <w:t>**For ERDF: less developed, transition, more developed, and, where applicable special allocation for outermost and northern sparsely populated regions. For ESF+: less developed, transition, more developed and, where applicable, additional allocation for outermost and northern sparsely populated regions. For CF: not applicable. For technical assistance, application of categories of region depends on selection of a fund.</w:t>
      </w:r>
    </w:p>
    <w:p w14:paraId="1F33B973" w14:textId="77777777" w:rsidR="002C3753" w:rsidRPr="001552C0" w:rsidRDefault="002C3753" w:rsidP="002C3753">
      <w:pPr>
        <w:spacing w:after="0"/>
        <w:rPr>
          <w:rFonts w:ascii="Times New Roman" w:hAnsi="Times New Roman" w:cs="Times New Roman"/>
          <w:noProof/>
          <w:sz w:val="16"/>
          <w:szCs w:val="16"/>
        </w:rPr>
      </w:pPr>
      <w:r w:rsidRPr="001552C0">
        <w:rPr>
          <w:rFonts w:ascii="Times New Roman" w:hAnsi="Times New Roman" w:cs="Times New Roman"/>
          <w:noProof/>
          <w:sz w:val="16"/>
          <w:szCs w:val="16"/>
        </w:rPr>
        <w:t>*** Where relevant for all categories of region.</w:t>
      </w:r>
    </w:p>
    <w:p w14:paraId="1E5E35A4" w14:textId="77777777" w:rsidR="002C3753" w:rsidRPr="001552C0" w:rsidRDefault="002C3753" w:rsidP="002C3753">
      <w:pPr>
        <w:spacing w:after="0"/>
        <w:rPr>
          <w:rFonts w:ascii="Times New Roman" w:hAnsi="Times New Roman" w:cs="Times New Roman"/>
          <w:noProof/>
          <w:sz w:val="16"/>
          <w:szCs w:val="16"/>
        </w:rPr>
      </w:pPr>
      <w:r w:rsidRPr="001552C0">
        <w:rPr>
          <w:rFonts w:ascii="Times New Roman" w:hAnsi="Times New Roman" w:cs="Times New Roman"/>
          <w:noProof/>
          <w:sz w:val="16"/>
          <w:szCs w:val="16"/>
        </w:rPr>
        <w:t>**** Indicate the total JTF resources as a result of Table 18 (i.e. a JTF allocation and the complementary support transferred from the ERDF and the ESF+).</w:t>
      </w:r>
      <w:r w:rsidRPr="001552C0">
        <w:rPr>
          <w:rFonts w:ascii="Times New Roman" w:hAnsi="Times New Roman" w:cs="Times New Roman"/>
          <w:noProof/>
          <w:sz w:val="20"/>
          <w:szCs w:val="16"/>
        </w:rPr>
        <w:t>”</w:t>
      </w:r>
    </w:p>
    <w:p w14:paraId="73365E53" w14:textId="77777777" w:rsidR="005328E5" w:rsidRPr="001552C0" w:rsidRDefault="005328E5" w:rsidP="005328E5">
      <w:pPr>
        <w:rPr>
          <w:rFonts w:ascii="Times New Roman" w:hAnsi="Times New Roman" w:cs="Times New Roman"/>
          <w:noProof/>
          <w:sz w:val="24"/>
          <w:szCs w:val="24"/>
        </w:rPr>
      </w:pPr>
    </w:p>
    <w:p w14:paraId="710C62F6" w14:textId="77777777" w:rsidR="005328E5" w:rsidRPr="001552C0" w:rsidRDefault="005328E5" w:rsidP="002C3753">
      <w:pPr>
        <w:rPr>
          <w:rFonts w:ascii="Times New Roman" w:hAnsi="Times New Roman" w:cs="Times New Roman"/>
          <w:noProof/>
          <w:sz w:val="24"/>
          <w:szCs w:val="24"/>
        </w:rPr>
        <w:sectPr w:rsidR="005328E5" w:rsidRPr="001552C0">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20"/>
          <w:docGrid w:linePitch="360"/>
        </w:sectPr>
      </w:pPr>
    </w:p>
    <w:p w14:paraId="6FD1F78A" w14:textId="77777777" w:rsidR="002C3753" w:rsidRPr="001552C0" w:rsidRDefault="002C3753" w:rsidP="001A17A2">
      <w:pPr>
        <w:spacing w:before="240" w:after="240" w:line="360" w:lineRule="auto"/>
        <w:rPr>
          <w:rFonts w:ascii="Times New Roman" w:eastAsia="Times New Roman" w:hAnsi="Times New Roman" w:cs="Times New Roman"/>
          <w:i/>
          <w:iCs/>
          <w:noProof/>
          <w:sz w:val="24"/>
          <w:szCs w:val="24"/>
        </w:rPr>
      </w:pPr>
    </w:p>
    <w:p w14:paraId="640DE7CF" w14:textId="77777777" w:rsidR="001A17A2" w:rsidRPr="001552C0" w:rsidRDefault="001A17A2" w:rsidP="001A17A2">
      <w:pPr>
        <w:spacing w:before="120" w:after="120" w:line="360" w:lineRule="auto"/>
        <w:rPr>
          <w:rFonts w:ascii="Times New Roman" w:hAnsi="Times New Roman" w:cs="Times New Roman"/>
          <w:b/>
          <w:bCs/>
          <w:noProof/>
          <w:sz w:val="24"/>
        </w:rPr>
      </w:pPr>
      <w:r w:rsidRPr="001552C0">
        <w:rPr>
          <w:rFonts w:ascii="Times New Roman" w:hAnsi="Times New Roman" w:cs="Times New Roman"/>
          <w:b/>
          <w:bCs/>
          <w:noProof/>
          <w:sz w:val="24"/>
        </w:rPr>
        <w:t>4.</w:t>
      </w:r>
      <w:r w:rsidRPr="001552C0">
        <w:rPr>
          <w:rFonts w:ascii="Times New Roman" w:hAnsi="Times New Roman" w:cs="Times New Roman"/>
          <w:b/>
          <w:bCs/>
          <w:noProof/>
          <w:sz w:val="24"/>
        </w:rPr>
        <w:tab/>
        <w:t>Enabling conditions</w:t>
      </w:r>
    </w:p>
    <w:p w14:paraId="0482EBFC" w14:textId="77777777" w:rsidR="001A17A2" w:rsidRPr="001552C0" w:rsidRDefault="001A17A2" w:rsidP="001A17A2">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t>Reference: Article 17(3)(h)CPR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99"/>
        <w:gridCol w:w="1738"/>
        <w:gridCol w:w="1156"/>
        <w:gridCol w:w="1637"/>
        <w:gridCol w:w="1156"/>
        <w:gridCol w:w="3173"/>
        <w:gridCol w:w="2716"/>
      </w:tblGrid>
      <w:tr w:rsidR="006D49B0" w:rsidRPr="001552C0" w14:paraId="01BDF133" w14:textId="77777777" w:rsidTr="006D49B0">
        <w:tc>
          <w:tcPr>
            <w:tcW w:w="14391" w:type="dxa"/>
            <w:gridSpan w:val="8"/>
            <w:tcBorders>
              <w:top w:val="single" w:sz="4" w:space="0" w:color="auto"/>
              <w:left w:val="single" w:sz="4" w:space="0" w:color="auto"/>
              <w:bottom w:val="single" w:sz="4" w:space="0" w:color="auto"/>
              <w:right w:val="single" w:sz="4" w:space="0" w:color="auto"/>
            </w:tcBorders>
            <w:hideMark/>
          </w:tcPr>
          <w:p w14:paraId="2DA3D8B9"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Table 12: Enabling conditions</w:t>
            </w:r>
          </w:p>
        </w:tc>
      </w:tr>
      <w:tr w:rsidR="0062719B" w:rsidRPr="001552C0" w14:paraId="15DB5008" w14:textId="77777777" w:rsidTr="006D49B0">
        <w:tc>
          <w:tcPr>
            <w:tcW w:w="1416" w:type="dxa"/>
            <w:tcBorders>
              <w:top w:val="single" w:sz="4" w:space="0" w:color="auto"/>
              <w:left w:val="single" w:sz="4" w:space="0" w:color="auto"/>
              <w:bottom w:val="single" w:sz="4" w:space="0" w:color="auto"/>
              <w:right w:val="single" w:sz="4" w:space="0" w:color="auto"/>
            </w:tcBorders>
            <w:hideMark/>
          </w:tcPr>
          <w:p w14:paraId="6EDAE9A5"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Enabling conditions</w:t>
            </w:r>
          </w:p>
        </w:tc>
        <w:tc>
          <w:tcPr>
            <w:tcW w:w="1399" w:type="dxa"/>
            <w:tcBorders>
              <w:top w:val="single" w:sz="4" w:space="0" w:color="auto"/>
              <w:left w:val="single" w:sz="4" w:space="0" w:color="auto"/>
              <w:bottom w:val="single" w:sz="4" w:space="0" w:color="auto"/>
              <w:right w:val="single" w:sz="4" w:space="0" w:color="auto"/>
            </w:tcBorders>
            <w:hideMark/>
          </w:tcPr>
          <w:p w14:paraId="5F426105"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Fund</w:t>
            </w:r>
          </w:p>
        </w:tc>
        <w:tc>
          <w:tcPr>
            <w:tcW w:w="1738" w:type="dxa"/>
            <w:tcBorders>
              <w:top w:val="single" w:sz="4" w:space="0" w:color="auto"/>
              <w:left w:val="single" w:sz="4" w:space="0" w:color="auto"/>
              <w:bottom w:val="single" w:sz="4" w:space="0" w:color="auto"/>
              <w:right w:val="single" w:sz="4" w:space="0" w:color="auto"/>
            </w:tcBorders>
            <w:hideMark/>
          </w:tcPr>
          <w:p w14:paraId="1090D3F6"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Selected specific objective</w:t>
            </w:r>
          </w:p>
          <w:p w14:paraId="1F20415C" w14:textId="77777777" w:rsidR="001A17A2" w:rsidRPr="001552C0" w:rsidRDefault="001A17A2" w:rsidP="001A17A2">
            <w:pPr>
              <w:spacing w:before="120" w:after="120"/>
              <w:rPr>
                <w:rFonts w:ascii="Times New Roman" w:eastAsia="Times New Roman" w:hAnsi="Times New Roman" w:cs="Times New Roman"/>
                <w:bCs/>
                <w:iCs/>
                <w:noProof/>
                <w:sz w:val="20"/>
              </w:rPr>
            </w:pPr>
            <w:r w:rsidRPr="001552C0">
              <w:rPr>
                <w:rFonts w:ascii="Times New Roman" w:eastAsia="Times New Roman" w:hAnsi="Times New Roman" w:cs="Times New Roman"/>
                <w:bCs/>
                <w:iCs/>
                <w:noProof/>
                <w:sz w:val="20"/>
              </w:rPr>
              <w:t>(N/A to the EMFF)</w:t>
            </w:r>
          </w:p>
        </w:tc>
        <w:tc>
          <w:tcPr>
            <w:tcW w:w="1156" w:type="dxa"/>
            <w:tcBorders>
              <w:top w:val="single" w:sz="4" w:space="0" w:color="auto"/>
              <w:left w:val="single" w:sz="4" w:space="0" w:color="auto"/>
              <w:bottom w:val="single" w:sz="4" w:space="0" w:color="auto"/>
              <w:right w:val="single" w:sz="4" w:space="0" w:color="auto"/>
            </w:tcBorders>
            <w:hideMark/>
          </w:tcPr>
          <w:p w14:paraId="33783AB8"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Fulfilment of enabling condition</w:t>
            </w:r>
          </w:p>
        </w:tc>
        <w:tc>
          <w:tcPr>
            <w:tcW w:w="1637" w:type="dxa"/>
            <w:tcBorders>
              <w:top w:val="single" w:sz="4" w:space="0" w:color="auto"/>
              <w:left w:val="single" w:sz="4" w:space="0" w:color="auto"/>
              <w:bottom w:val="single" w:sz="4" w:space="0" w:color="auto"/>
              <w:right w:val="single" w:sz="4" w:space="0" w:color="auto"/>
            </w:tcBorders>
            <w:hideMark/>
          </w:tcPr>
          <w:p w14:paraId="26716595"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 xml:space="preserve">Criteria </w:t>
            </w:r>
          </w:p>
        </w:tc>
        <w:tc>
          <w:tcPr>
            <w:tcW w:w="1156" w:type="dxa"/>
            <w:tcBorders>
              <w:top w:val="single" w:sz="4" w:space="0" w:color="auto"/>
              <w:left w:val="single" w:sz="4" w:space="0" w:color="auto"/>
              <w:bottom w:val="single" w:sz="4" w:space="0" w:color="auto"/>
              <w:right w:val="single" w:sz="4" w:space="0" w:color="auto"/>
            </w:tcBorders>
            <w:hideMark/>
          </w:tcPr>
          <w:p w14:paraId="6752DC91"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Fulfilment of criteria</w:t>
            </w:r>
          </w:p>
        </w:tc>
        <w:tc>
          <w:tcPr>
            <w:tcW w:w="3173" w:type="dxa"/>
            <w:tcBorders>
              <w:top w:val="single" w:sz="4" w:space="0" w:color="auto"/>
              <w:left w:val="single" w:sz="4" w:space="0" w:color="auto"/>
              <w:bottom w:val="single" w:sz="4" w:space="0" w:color="auto"/>
              <w:right w:val="single" w:sz="4" w:space="0" w:color="auto"/>
            </w:tcBorders>
            <w:hideMark/>
          </w:tcPr>
          <w:p w14:paraId="70E4A5E7"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 xml:space="preserve">Reference to relevant documents </w:t>
            </w:r>
          </w:p>
        </w:tc>
        <w:tc>
          <w:tcPr>
            <w:tcW w:w="2716" w:type="dxa"/>
            <w:tcBorders>
              <w:top w:val="single" w:sz="4" w:space="0" w:color="auto"/>
              <w:left w:val="single" w:sz="4" w:space="0" w:color="auto"/>
              <w:bottom w:val="single" w:sz="4" w:space="0" w:color="auto"/>
              <w:right w:val="single" w:sz="4" w:space="0" w:color="auto"/>
            </w:tcBorders>
            <w:hideMark/>
          </w:tcPr>
          <w:p w14:paraId="0EBD7918" w14:textId="77777777" w:rsidR="001A17A2" w:rsidRPr="001552C0" w:rsidRDefault="001A17A2" w:rsidP="001A17A2">
            <w:pPr>
              <w:spacing w:before="120" w:after="120"/>
              <w:rPr>
                <w:rFonts w:ascii="Times New Roman" w:eastAsia="Times New Roman" w:hAnsi="Times New Roman" w:cs="Times New Roman"/>
                <w:b/>
                <w:iCs/>
                <w:noProof/>
                <w:sz w:val="20"/>
              </w:rPr>
            </w:pPr>
            <w:r w:rsidRPr="001552C0">
              <w:rPr>
                <w:rFonts w:ascii="Times New Roman" w:eastAsia="Times New Roman" w:hAnsi="Times New Roman" w:cs="Times New Roman"/>
                <w:b/>
                <w:iCs/>
                <w:noProof/>
                <w:sz w:val="20"/>
              </w:rPr>
              <w:t xml:space="preserve">Justification </w:t>
            </w:r>
          </w:p>
        </w:tc>
      </w:tr>
      <w:tr w:rsidR="0062719B" w:rsidRPr="001552C0" w14:paraId="1989004C" w14:textId="77777777" w:rsidTr="006D49B0">
        <w:tc>
          <w:tcPr>
            <w:tcW w:w="1416" w:type="dxa"/>
            <w:tcBorders>
              <w:top w:val="single" w:sz="4" w:space="0" w:color="auto"/>
              <w:left w:val="single" w:sz="4" w:space="0" w:color="auto"/>
              <w:bottom w:val="single" w:sz="4" w:space="0" w:color="auto"/>
              <w:right w:val="single" w:sz="4" w:space="0" w:color="auto"/>
            </w:tcBorders>
          </w:tcPr>
          <w:p w14:paraId="199A133B" w14:textId="7539C72D" w:rsidR="001A17A2" w:rsidRPr="001552C0" w:rsidRDefault="00A13422" w:rsidP="00A13422">
            <w:pPr>
              <w:spacing w:after="0"/>
              <w:rPr>
                <w:noProof/>
              </w:rPr>
            </w:pPr>
            <w:r w:rsidRPr="001552C0">
              <w:rPr>
                <w:noProof/>
              </w:rPr>
              <w:t>Guvernanța în sectorul energetic</w:t>
            </w:r>
          </w:p>
        </w:tc>
        <w:tc>
          <w:tcPr>
            <w:tcW w:w="1399" w:type="dxa"/>
            <w:tcBorders>
              <w:top w:val="single" w:sz="4" w:space="0" w:color="auto"/>
              <w:left w:val="single" w:sz="4" w:space="0" w:color="auto"/>
              <w:bottom w:val="single" w:sz="4" w:space="0" w:color="auto"/>
              <w:right w:val="single" w:sz="4" w:space="0" w:color="auto"/>
            </w:tcBorders>
          </w:tcPr>
          <w:p w14:paraId="46E08D7C" w14:textId="449AF877" w:rsidR="001A17A2" w:rsidRPr="001552C0" w:rsidRDefault="00A13422" w:rsidP="00A13422">
            <w:pPr>
              <w:spacing w:after="0"/>
              <w:rPr>
                <w:noProof/>
              </w:rPr>
            </w:pPr>
            <w:r w:rsidRPr="001552C0">
              <w:rPr>
                <w:noProof/>
              </w:rPr>
              <w:t>ERDF, CF</w:t>
            </w:r>
          </w:p>
        </w:tc>
        <w:tc>
          <w:tcPr>
            <w:tcW w:w="1738" w:type="dxa"/>
            <w:tcBorders>
              <w:top w:val="single" w:sz="4" w:space="0" w:color="auto"/>
              <w:left w:val="single" w:sz="4" w:space="0" w:color="auto"/>
              <w:bottom w:val="single" w:sz="4" w:space="0" w:color="auto"/>
              <w:right w:val="single" w:sz="4" w:space="0" w:color="auto"/>
            </w:tcBorders>
          </w:tcPr>
          <w:p w14:paraId="2FA099BA" w14:textId="575B701D" w:rsidR="001A17A2" w:rsidRPr="001552C0" w:rsidRDefault="005328E5" w:rsidP="005328E5">
            <w:pPr>
              <w:spacing w:after="0"/>
              <w:rPr>
                <w:rFonts w:ascii="Times New Roman" w:hAnsi="Times New Roman" w:cs="Times New Roman"/>
                <w:noProof/>
                <w:sz w:val="24"/>
                <w:szCs w:val="24"/>
              </w:rPr>
            </w:pPr>
            <w:r w:rsidRPr="001552C0">
              <w:rPr>
                <w:noProof/>
              </w:rPr>
              <w:t>(i) Promovarea eficienței energetice și reducerea emisiilor de gaze cu efect de seră</w:t>
            </w:r>
          </w:p>
        </w:tc>
        <w:tc>
          <w:tcPr>
            <w:tcW w:w="1156" w:type="dxa"/>
            <w:tcBorders>
              <w:top w:val="single" w:sz="4" w:space="0" w:color="auto"/>
              <w:left w:val="single" w:sz="4" w:space="0" w:color="auto"/>
              <w:bottom w:val="single" w:sz="4" w:space="0" w:color="auto"/>
              <w:right w:val="single" w:sz="4" w:space="0" w:color="auto"/>
            </w:tcBorders>
            <w:hideMark/>
          </w:tcPr>
          <w:p w14:paraId="3F363994" w14:textId="77777777" w:rsidR="001A17A2" w:rsidRPr="001552C0" w:rsidRDefault="001A17A2" w:rsidP="001A17A2">
            <w:pPr>
              <w:spacing w:before="120" w:after="120"/>
              <w:rPr>
                <w:rFonts w:ascii="Times New Roman" w:eastAsia="Times New Roman" w:hAnsi="Times New Roman" w:cs="Times New Roman"/>
                <w:iCs/>
                <w:noProof/>
                <w:sz w:val="20"/>
              </w:rPr>
            </w:pPr>
            <w:r w:rsidRPr="001552C0">
              <w:rPr>
                <w:rFonts w:ascii="Times New Roman" w:eastAsia="Times New Roman" w:hAnsi="Times New Roman" w:cs="Times New Roman"/>
                <w:iCs/>
                <w:noProof/>
                <w:sz w:val="20"/>
              </w:rPr>
              <w:t>Yes/No</w:t>
            </w:r>
          </w:p>
        </w:tc>
        <w:tc>
          <w:tcPr>
            <w:tcW w:w="1637" w:type="dxa"/>
            <w:tcBorders>
              <w:top w:val="single" w:sz="4" w:space="0" w:color="auto"/>
              <w:left w:val="single" w:sz="4" w:space="0" w:color="auto"/>
              <w:bottom w:val="single" w:sz="4" w:space="0" w:color="auto"/>
              <w:right w:val="single" w:sz="4" w:space="0" w:color="auto"/>
            </w:tcBorders>
            <w:hideMark/>
          </w:tcPr>
          <w:p w14:paraId="034EE1E1" w14:textId="77777777" w:rsidR="00A13422" w:rsidRPr="001552C0" w:rsidRDefault="00A13422" w:rsidP="00A13422">
            <w:pPr>
              <w:spacing w:after="0"/>
              <w:rPr>
                <w:noProof/>
              </w:rPr>
            </w:pPr>
            <w:r w:rsidRPr="001552C0">
              <w:rPr>
                <w:noProof/>
              </w:rPr>
              <w:t>Sunt adoptate planuri naționale în domeniul energiei și al climei, care includ:</w:t>
            </w:r>
          </w:p>
          <w:p w14:paraId="1E4BC7C5" w14:textId="22454FD8" w:rsidR="001A17A2" w:rsidRPr="001552C0" w:rsidRDefault="00A13422" w:rsidP="00A13422">
            <w:pPr>
              <w:spacing w:before="120" w:after="120"/>
              <w:rPr>
                <w:rFonts w:eastAsia="Times New Roman" w:cs="Times New Roman"/>
                <w:iCs/>
                <w:noProof/>
              </w:rPr>
            </w:pPr>
            <w:r w:rsidRPr="001552C0">
              <w:t xml:space="preserve">1. Toate elementele prevăzute de modelul din anexa I la Regulamentul privind guvernanța uniunii </w:t>
            </w:r>
            <w:r w:rsidRPr="001552C0">
              <w:lastRenderedPageBreak/>
              <w:t>energetice </w:t>
            </w:r>
          </w:p>
        </w:tc>
        <w:tc>
          <w:tcPr>
            <w:tcW w:w="1156" w:type="dxa"/>
            <w:tcBorders>
              <w:top w:val="single" w:sz="4" w:space="0" w:color="auto"/>
              <w:left w:val="single" w:sz="4" w:space="0" w:color="auto"/>
              <w:bottom w:val="single" w:sz="4" w:space="0" w:color="auto"/>
              <w:right w:val="single" w:sz="4" w:space="0" w:color="auto"/>
            </w:tcBorders>
            <w:hideMark/>
          </w:tcPr>
          <w:p w14:paraId="5C3BA4B6" w14:textId="77777777" w:rsidR="001A17A2" w:rsidRPr="001552C0" w:rsidRDefault="001A17A2" w:rsidP="001A17A2">
            <w:pPr>
              <w:spacing w:before="120" w:after="120"/>
              <w:rPr>
                <w:rFonts w:ascii="Times New Roman" w:eastAsia="Times New Roman" w:hAnsi="Times New Roman" w:cs="Times New Roman"/>
                <w:iCs/>
                <w:noProof/>
                <w:sz w:val="20"/>
              </w:rPr>
            </w:pPr>
            <w:r w:rsidRPr="001552C0">
              <w:rPr>
                <w:rFonts w:ascii="Times New Roman" w:eastAsia="Times New Roman" w:hAnsi="Times New Roman" w:cs="Times New Roman"/>
                <w:iCs/>
                <w:noProof/>
                <w:sz w:val="20"/>
              </w:rPr>
              <w:lastRenderedPageBreak/>
              <w:t>Y/N</w:t>
            </w:r>
          </w:p>
        </w:tc>
        <w:tc>
          <w:tcPr>
            <w:tcW w:w="3173" w:type="dxa"/>
            <w:tcBorders>
              <w:top w:val="single" w:sz="4" w:space="0" w:color="auto"/>
              <w:left w:val="single" w:sz="4" w:space="0" w:color="auto"/>
              <w:bottom w:val="single" w:sz="4" w:space="0" w:color="auto"/>
              <w:right w:val="single" w:sz="4" w:space="0" w:color="auto"/>
            </w:tcBorders>
            <w:hideMark/>
          </w:tcPr>
          <w:p w14:paraId="772AB347" w14:textId="77777777" w:rsidR="001A17A2" w:rsidRPr="001552C0" w:rsidRDefault="001A17A2" w:rsidP="001A17A2">
            <w:pPr>
              <w:spacing w:before="120" w:after="120"/>
              <w:rPr>
                <w:rFonts w:ascii="Times New Roman" w:eastAsia="Times New Roman" w:hAnsi="Times New Roman" w:cs="Times New Roman"/>
                <w:iCs/>
                <w:noProof/>
                <w:sz w:val="20"/>
              </w:rPr>
            </w:pPr>
            <w:r w:rsidRPr="001552C0">
              <w:rPr>
                <w:rFonts w:ascii="Times New Roman" w:eastAsia="Times New Roman" w:hAnsi="Times New Roman" w:cs="Times New Roman"/>
                <w:iCs/>
                <w:noProof/>
                <w:sz w:val="20"/>
              </w:rPr>
              <w:t>[500]</w:t>
            </w:r>
          </w:p>
        </w:tc>
        <w:tc>
          <w:tcPr>
            <w:tcW w:w="2716" w:type="dxa"/>
            <w:tcBorders>
              <w:top w:val="single" w:sz="4" w:space="0" w:color="auto"/>
              <w:left w:val="single" w:sz="4" w:space="0" w:color="auto"/>
              <w:bottom w:val="single" w:sz="4" w:space="0" w:color="auto"/>
              <w:right w:val="single" w:sz="4" w:space="0" w:color="auto"/>
            </w:tcBorders>
            <w:hideMark/>
          </w:tcPr>
          <w:p w14:paraId="1EF720D7" w14:textId="77777777" w:rsidR="001A17A2" w:rsidRDefault="001A17A2" w:rsidP="001A17A2">
            <w:pPr>
              <w:spacing w:before="120" w:after="120"/>
              <w:rPr>
                <w:rFonts w:ascii="Times New Roman" w:eastAsia="Times New Roman" w:hAnsi="Times New Roman" w:cs="Times New Roman"/>
                <w:iCs/>
                <w:noProof/>
                <w:sz w:val="20"/>
              </w:rPr>
            </w:pPr>
            <w:r w:rsidRPr="001552C0">
              <w:rPr>
                <w:rFonts w:ascii="Times New Roman" w:eastAsia="Times New Roman" w:hAnsi="Times New Roman" w:cs="Times New Roman"/>
                <w:iCs/>
                <w:noProof/>
                <w:sz w:val="20"/>
              </w:rPr>
              <w:t>[1 000]</w:t>
            </w:r>
          </w:p>
          <w:p w14:paraId="61E0B82A" w14:textId="77777777" w:rsidR="008E65C6" w:rsidRDefault="008E65C6" w:rsidP="001A17A2">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 xml:space="preserve">Planul Național în domeniul Energiei și al Climei (PNIESC) a fost elaborat în conformitate cu </w:t>
            </w:r>
            <w:r w:rsidRPr="008E65C6">
              <w:rPr>
                <w:rFonts w:ascii="Times New Roman" w:eastAsia="Times New Roman" w:hAnsi="Times New Roman" w:cs="Times New Roman"/>
                <w:iCs/>
                <w:noProof/>
                <w:sz w:val="20"/>
              </w:rPr>
              <w:t>modelul din anexa I la Regulamentul privind guvernanța uniunii energetice</w:t>
            </w:r>
            <w:r>
              <w:rPr>
                <w:rFonts w:ascii="Times New Roman" w:eastAsia="Times New Roman" w:hAnsi="Times New Roman" w:cs="Times New Roman"/>
                <w:iCs/>
                <w:noProof/>
                <w:sz w:val="20"/>
              </w:rPr>
              <w:t>.</w:t>
            </w:r>
          </w:p>
          <w:p w14:paraId="44F1385C" w14:textId="77777777" w:rsidR="00296DAD" w:rsidRDefault="00296DAD" w:rsidP="00296DAD">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 xml:space="preserve">Varianta finala a </w:t>
            </w:r>
            <w:r w:rsidR="008E65C6">
              <w:rPr>
                <w:rFonts w:ascii="Times New Roman" w:eastAsia="Times New Roman" w:hAnsi="Times New Roman" w:cs="Times New Roman"/>
                <w:iCs/>
                <w:noProof/>
                <w:sz w:val="20"/>
              </w:rPr>
              <w:t xml:space="preserve">PNIESC a fost </w:t>
            </w:r>
            <w:r>
              <w:rPr>
                <w:rFonts w:ascii="Times New Roman" w:eastAsia="Times New Roman" w:hAnsi="Times New Roman" w:cs="Times New Roman"/>
                <w:iCs/>
                <w:noProof/>
                <w:sz w:val="20"/>
              </w:rPr>
              <w:t>catre C</w:t>
            </w:r>
            <w:r w:rsidR="008E65C6">
              <w:rPr>
                <w:rFonts w:ascii="Times New Roman" w:eastAsia="Times New Roman" w:hAnsi="Times New Roman" w:cs="Times New Roman"/>
                <w:iCs/>
                <w:noProof/>
                <w:sz w:val="20"/>
              </w:rPr>
              <w:t xml:space="preserve">OM </w:t>
            </w:r>
            <w:r>
              <w:rPr>
                <w:rFonts w:ascii="Times New Roman" w:eastAsia="Times New Roman" w:hAnsi="Times New Roman" w:cs="Times New Roman"/>
                <w:iCs/>
                <w:noProof/>
                <w:sz w:val="20"/>
              </w:rPr>
              <w:t xml:space="preserve">in aprilie 2020. </w:t>
            </w:r>
          </w:p>
          <w:p w14:paraId="3C2CB0D7" w14:textId="0C4B6C4B" w:rsidR="008E65C6" w:rsidRPr="001552C0" w:rsidRDefault="00296DAD" w:rsidP="00296DAD">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Procedura SEA se află în derulare, urmand ca PNIESC</w:t>
            </w:r>
            <w:r w:rsidR="008E65C6">
              <w:rPr>
                <w:rFonts w:ascii="Times New Roman" w:eastAsia="Times New Roman" w:hAnsi="Times New Roman" w:cs="Times New Roman"/>
                <w:iCs/>
                <w:noProof/>
                <w:sz w:val="20"/>
              </w:rPr>
              <w:t xml:space="preserve"> </w:t>
            </w:r>
            <w:r>
              <w:rPr>
                <w:rFonts w:ascii="Times New Roman" w:eastAsia="Times New Roman" w:hAnsi="Times New Roman" w:cs="Times New Roman"/>
                <w:iCs/>
                <w:noProof/>
                <w:sz w:val="20"/>
              </w:rPr>
              <w:t>să</w:t>
            </w:r>
            <w:r w:rsidR="008E65C6">
              <w:rPr>
                <w:rFonts w:ascii="Times New Roman" w:eastAsia="Times New Roman" w:hAnsi="Times New Roman" w:cs="Times New Roman"/>
                <w:iCs/>
                <w:noProof/>
                <w:sz w:val="20"/>
              </w:rPr>
              <w:t xml:space="preserve"> fi</w:t>
            </w:r>
            <w:r>
              <w:rPr>
                <w:rFonts w:ascii="Times New Roman" w:eastAsia="Times New Roman" w:hAnsi="Times New Roman" w:cs="Times New Roman"/>
                <w:iCs/>
                <w:noProof/>
                <w:sz w:val="20"/>
              </w:rPr>
              <w:t>e</w:t>
            </w:r>
            <w:r w:rsidR="008E65C6">
              <w:rPr>
                <w:rFonts w:ascii="Times New Roman" w:eastAsia="Times New Roman" w:hAnsi="Times New Roman" w:cs="Times New Roman"/>
                <w:iCs/>
                <w:noProof/>
                <w:sz w:val="20"/>
              </w:rPr>
              <w:t xml:space="preserve"> aprobat prin</w:t>
            </w:r>
            <w:r>
              <w:rPr>
                <w:rFonts w:ascii="Times New Roman" w:eastAsia="Times New Roman" w:hAnsi="Times New Roman" w:cs="Times New Roman"/>
                <w:iCs/>
                <w:noProof/>
                <w:sz w:val="20"/>
              </w:rPr>
              <w:t xml:space="preserve"> act normativ la nivel național.</w:t>
            </w:r>
          </w:p>
        </w:tc>
      </w:tr>
      <w:tr w:rsidR="0062719B" w:rsidRPr="001552C0" w14:paraId="572E6562" w14:textId="77777777" w:rsidTr="006D49B0">
        <w:tc>
          <w:tcPr>
            <w:tcW w:w="1416" w:type="dxa"/>
            <w:tcBorders>
              <w:top w:val="single" w:sz="4" w:space="0" w:color="auto"/>
              <w:left w:val="single" w:sz="4" w:space="0" w:color="auto"/>
              <w:bottom w:val="single" w:sz="4" w:space="0" w:color="auto"/>
              <w:right w:val="single" w:sz="4" w:space="0" w:color="auto"/>
            </w:tcBorders>
          </w:tcPr>
          <w:p w14:paraId="37DD356F" w14:textId="05061D52" w:rsidR="001A17A2" w:rsidRPr="001552C0" w:rsidRDefault="001A17A2"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3C57A44A" w14:textId="77777777" w:rsidR="001A17A2" w:rsidRPr="001552C0" w:rsidRDefault="001A17A2"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094670DF" w14:textId="77777777" w:rsidR="001A17A2" w:rsidRPr="001552C0" w:rsidRDefault="001A17A2"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6E64C126" w14:textId="77777777" w:rsidR="001A17A2" w:rsidRPr="001552C0" w:rsidRDefault="001A17A2"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2A52BA1B" w14:textId="3260CC3B" w:rsidR="001A17A2" w:rsidRPr="001552C0" w:rsidRDefault="00A13422" w:rsidP="00AA03F3">
            <w:pPr>
              <w:spacing w:before="120" w:after="120"/>
              <w:rPr>
                <w:rFonts w:eastAsia="Times New Roman" w:cs="Times New Roman"/>
                <w:iCs/>
                <w:noProof/>
              </w:rPr>
            </w:pPr>
            <w:r w:rsidRPr="001552C0">
              <w:rPr>
                <w:rFonts w:eastAsia="Times New Roman" w:cs="Times New Roman"/>
                <w:iCs/>
                <w:noProof/>
              </w:rPr>
              <w:t>2.O descriere orientativă a resurselor și mecanismele de finanțare avute în vedere pentru măsurile de promovare a energiei cu emisii scăzute de carbon</w:t>
            </w:r>
          </w:p>
        </w:tc>
        <w:tc>
          <w:tcPr>
            <w:tcW w:w="1156" w:type="dxa"/>
            <w:tcBorders>
              <w:top w:val="single" w:sz="4" w:space="0" w:color="auto"/>
              <w:left w:val="single" w:sz="4" w:space="0" w:color="auto"/>
              <w:bottom w:val="single" w:sz="4" w:space="0" w:color="auto"/>
              <w:right w:val="single" w:sz="4" w:space="0" w:color="auto"/>
            </w:tcBorders>
            <w:hideMark/>
          </w:tcPr>
          <w:p w14:paraId="42BA557B" w14:textId="77777777" w:rsidR="001A17A2" w:rsidRPr="001552C0" w:rsidRDefault="001A17A2" w:rsidP="001A17A2">
            <w:pPr>
              <w:spacing w:before="120" w:after="120"/>
              <w:rPr>
                <w:rFonts w:ascii="Times New Roman" w:eastAsia="Times New Roman" w:hAnsi="Times New Roman" w:cs="Times New Roman"/>
                <w:iCs/>
                <w:noProof/>
                <w:sz w:val="20"/>
              </w:rPr>
            </w:pPr>
            <w:r w:rsidRPr="001552C0">
              <w:rPr>
                <w:rFonts w:ascii="Times New Roman" w:eastAsia="Times New Roman" w:hAnsi="Times New Roman" w:cs="Times New Roman"/>
                <w:iCs/>
                <w:noProof/>
                <w:sz w:val="20"/>
              </w:rPr>
              <w:t>Y/N</w:t>
            </w:r>
          </w:p>
        </w:tc>
        <w:tc>
          <w:tcPr>
            <w:tcW w:w="3173" w:type="dxa"/>
            <w:tcBorders>
              <w:top w:val="single" w:sz="4" w:space="0" w:color="auto"/>
              <w:left w:val="single" w:sz="4" w:space="0" w:color="auto"/>
              <w:bottom w:val="single" w:sz="4" w:space="0" w:color="auto"/>
              <w:right w:val="single" w:sz="4" w:space="0" w:color="auto"/>
            </w:tcBorders>
          </w:tcPr>
          <w:p w14:paraId="016E27F4" w14:textId="77777777" w:rsidR="001A17A2" w:rsidRPr="001552C0" w:rsidRDefault="001A17A2"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125F29BC" w14:textId="2923AB83" w:rsidR="001A17A2" w:rsidRDefault="008E65C6" w:rsidP="001A17A2">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PNIESC conține</w:t>
            </w:r>
            <w:r w:rsidR="00296DAD">
              <w:rPr>
                <w:rFonts w:ascii="Times New Roman" w:eastAsia="Times New Roman" w:hAnsi="Times New Roman" w:cs="Times New Roman"/>
                <w:iCs/>
                <w:noProof/>
                <w:sz w:val="20"/>
              </w:rPr>
              <w:t xml:space="preserve"> un capitol referitor la aspectele financiare </w:t>
            </w:r>
            <w:r w:rsidR="00161C44">
              <w:rPr>
                <w:rFonts w:ascii="Times New Roman" w:eastAsia="Times New Roman" w:hAnsi="Times New Roman" w:cs="Times New Roman"/>
                <w:iCs/>
                <w:noProof/>
                <w:sz w:val="20"/>
              </w:rPr>
              <w:t>care abordează 2 paliere:</w:t>
            </w:r>
          </w:p>
          <w:p w14:paraId="448629BA" w14:textId="304FA71E" w:rsidR="008E65C6" w:rsidRDefault="00161C44" w:rsidP="008E65C6">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 xml:space="preserve">1. </w:t>
            </w:r>
            <w:r w:rsidR="008E65C6" w:rsidRPr="008E65C6">
              <w:rPr>
                <w:rFonts w:ascii="Times New Roman" w:eastAsia="Times New Roman" w:hAnsi="Times New Roman" w:cs="Times New Roman"/>
                <w:iCs/>
                <w:noProof/>
                <w:sz w:val="20"/>
              </w:rPr>
              <w:t>Fluxurile de investiții existente și ipotezele privind investițiile anticipate</w:t>
            </w:r>
            <w:r>
              <w:rPr>
                <w:rFonts w:ascii="Times New Roman" w:eastAsia="Times New Roman" w:hAnsi="Times New Roman" w:cs="Times New Roman"/>
                <w:iCs/>
                <w:noProof/>
                <w:sz w:val="20"/>
              </w:rPr>
              <w:t xml:space="preserve"> </w:t>
            </w:r>
            <w:r w:rsidR="008E65C6" w:rsidRPr="008E65C6">
              <w:rPr>
                <w:rFonts w:ascii="Times New Roman" w:eastAsia="Times New Roman" w:hAnsi="Times New Roman" w:cs="Times New Roman"/>
                <w:iCs/>
                <w:noProof/>
                <w:sz w:val="20"/>
              </w:rPr>
              <w:t>legate de politicile și măsurile planificate</w:t>
            </w:r>
          </w:p>
          <w:p w14:paraId="4568C066" w14:textId="7ACAF62C" w:rsidR="00296DAD" w:rsidRPr="00296DAD" w:rsidRDefault="00161C44" w:rsidP="00296DAD">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 xml:space="preserve">2. </w:t>
            </w:r>
            <w:r w:rsidR="00296DAD" w:rsidRPr="00296DAD">
              <w:rPr>
                <w:rFonts w:ascii="Times New Roman" w:eastAsia="Times New Roman" w:hAnsi="Times New Roman" w:cs="Times New Roman"/>
                <w:iCs/>
                <w:noProof/>
                <w:sz w:val="20"/>
              </w:rPr>
              <w:t>Factorii de risc sau barierele la nivelul sectorului sau al pieței în contextul</w:t>
            </w:r>
          </w:p>
          <w:p w14:paraId="79FF6E10" w14:textId="5EA9E0CC" w:rsidR="00296DAD" w:rsidRPr="001552C0" w:rsidRDefault="00296DAD" w:rsidP="00296DAD">
            <w:pPr>
              <w:spacing w:before="120" w:after="120"/>
              <w:rPr>
                <w:rFonts w:ascii="Times New Roman" w:eastAsia="Times New Roman" w:hAnsi="Times New Roman" w:cs="Times New Roman"/>
                <w:iCs/>
                <w:noProof/>
                <w:sz w:val="20"/>
              </w:rPr>
            </w:pPr>
            <w:r w:rsidRPr="00296DAD">
              <w:rPr>
                <w:rFonts w:ascii="Times New Roman" w:eastAsia="Times New Roman" w:hAnsi="Times New Roman" w:cs="Times New Roman"/>
                <w:iCs/>
                <w:noProof/>
                <w:sz w:val="20"/>
              </w:rPr>
              <w:t>național sau regional</w:t>
            </w:r>
          </w:p>
        </w:tc>
      </w:tr>
      <w:tr w:rsidR="0062719B" w:rsidRPr="001552C0" w14:paraId="286CDDA7" w14:textId="77777777" w:rsidTr="006D49B0">
        <w:tc>
          <w:tcPr>
            <w:tcW w:w="1416" w:type="dxa"/>
            <w:tcBorders>
              <w:top w:val="single" w:sz="4" w:space="0" w:color="auto"/>
              <w:left w:val="single" w:sz="4" w:space="0" w:color="auto"/>
              <w:bottom w:val="single" w:sz="4" w:space="0" w:color="auto"/>
              <w:right w:val="single" w:sz="4" w:space="0" w:color="auto"/>
            </w:tcBorders>
          </w:tcPr>
          <w:p w14:paraId="4603082C" w14:textId="72D0047A" w:rsidR="0004627F" w:rsidRPr="001552C0" w:rsidRDefault="00A13422" w:rsidP="001A17A2">
            <w:pPr>
              <w:spacing w:before="120" w:after="120"/>
              <w:rPr>
                <w:rFonts w:ascii="Times New Roman" w:eastAsia="Times New Roman" w:hAnsi="Times New Roman" w:cs="Times New Roman"/>
                <w:iCs/>
                <w:noProof/>
                <w:sz w:val="20"/>
              </w:rPr>
            </w:pPr>
            <w:r w:rsidRPr="001552C0">
              <w:rPr>
                <w:rFonts w:eastAsia="Times New Roman" w:cs="Times New Roman"/>
                <w:iCs/>
                <w:noProof/>
              </w:rPr>
              <w:t>Cadru eficace de management al riscului de dezastre.</w:t>
            </w:r>
          </w:p>
        </w:tc>
        <w:tc>
          <w:tcPr>
            <w:tcW w:w="1399" w:type="dxa"/>
            <w:tcBorders>
              <w:top w:val="single" w:sz="4" w:space="0" w:color="auto"/>
              <w:left w:val="single" w:sz="4" w:space="0" w:color="auto"/>
              <w:bottom w:val="single" w:sz="4" w:space="0" w:color="auto"/>
              <w:right w:val="single" w:sz="4" w:space="0" w:color="auto"/>
            </w:tcBorders>
          </w:tcPr>
          <w:p w14:paraId="7D5D4CB5" w14:textId="14BFBA01" w:rsidR="0004627F" w:rsidRPr="001552C0" w:rsidRDefault="00A13422" w:rsidP="001A17A2">
            <w:pPr>
              <w:spacing w:before="120" w:after="120"/>
              <w:rPr>
                <w:rFonts w:eastAsia="Times New Roman" w:cs="Times New Roman"/>
                <w:iCs/>
                <w:noProof/>
              </w:rPr>
            </w:pPr>
            <w:r w:rsidRPr="001552C0">
              <w:rPr>
                <w:rFonts w:eastAsia="Times New Roman" w:cs="Times New Roman"/>
                <w:iCs/>
                <w:noProof/>
              </w:rPr>
              <w:t>ERDF, CF</w:t>
            </w:r>
          </w:p>
        </w:tc>
        <w:tc>
          <w:tcPr>
            <w:tcW w:w="1738" w:type="dxa"/>
            <w:tcBorders>
              <w:top w:val="single" w:sz="4" w:space="0" w:color="auto"/>
              <w:left w:val="single" w:sz="4" w:space="0" w:color="auto"/>
              <w:bottom w:val="single" w:sz="4" w:space="0" w:color="auto"/>
              <w:right w:val="single" w:sz="4" w:space="0" w:color="auto"/>
            </w:tcBorders>
          </w:tcPr>
          <w:p w14:paraId="029C8FEB" w14:textId="6B76FE9C" w:rsidR="005328E5" w:rsidRPr="001552C0" w:rsidRDefault="005328E5" w:rsidP="005328E5">
            <w:pPr>
              <w:spacing w:before="120" w:after="120"/>
              <w:rPr>
                <w:rFonts w:eastAsia="Times New Roman" w:cs="Times New Roman"/>
                <w:iCs/>
                <w:noProof/>
              </w:rPr>
            </w:pPr>
            <w:r w:rsidRPr="001552C0">
              <w:rPr>
                <w:rFonts w:eastAsia="Times New Roman" w:cs="Times New Roman"/>
                <w:iCs/>
                <w:noProof/>
              </w:rPr>
              <w:t xml:space="preserve"> (iv) Promovarea adaptării la schimbările climatice, a preveni</w:t>
            </w:r>
          </w:p>
          <w:p w14:paraId="7F54BBF4" w14:textId="4B49E8B6" w:rsidR="0004627F" w:rsidRPr="001552C0" w:rsidRDefault="005328E5" w:rsidP="005328E5">
            <w:pPr>
              <w:spacing w:before="120" w:after="120"/>
              <w:rPr>
                <w:rFonts w:ascii="Times New Roman" w:eastAsia="Times New Roman" w:hAnsi="Times New Roman" w:cs="Times New Roman"/>
                <w:iCs/>
                <w:noProof/>
                <w:sz w:val="20"/>
              </w:rPr>
            </w:pPr>
            <w:r w:rsidRPr="001552C0">
              <w:rPr>
                <w:rFonts w:eastAsia="Times New Roman" w:cs="Times New Roman"/>
                <w:iCs/>
                <w:noProof/>
              </w:rPr>
              <w:t>ii riscurilor și a rezilienței în urma dezastrelor</w:t>
            </w:r>
          </w:p>
        </w:tc>
        <w:tc>
          <w:tcPr>
            <w:tcW w:w="1156" w:type="dxa"/>
            <w:tcBorders>
              <w:top w:val="single" w:sz="4" w:space="0" w:color="auto"/>
              <w:left w:val="single" w:sz="4" w:space="0" w:color="auto"/>
              <w:bottom w:val="single" w:sz="4" w:space="0" w:color="auto"/>
              <w:right w:val="single" w:sz="4" w:space="0" w:color="auto"/>
            </w:tcBorders>
          </w:tcPr>
          <w:p w14:paraId="70BB77BF" w14:textId="77777777" w:rsidR="0004627F" w:rsidRPr="001552C0" w:rsidRDefault="0004627F"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62EDE12E" w14:textId="5B945E5F" w:rsidR="0004627F" w:rsidRPr="001552C0" w:rsidRDefault="00A13422" w:rsidP="001A17A2">
            <w:pPr>
              <w:spacing w:before="120" w:after="120"/>
              <w:rPr>
                <w:rFonts w:eastAsia="Times New Roman" w:cs="Times New Roman"/>
                <w:iCs/>
                <w:noProof/>
              </w:rPr>
            </w:pPr>
            <w:r w:rsidRPr="001552C0">
              <w:rPr>
                <w:rFonts w:eastAsia="Times New Roman" w:cs="Times New Roman"/>
                <w:iCs/>
                <w:noProof/>
              </w:rPr>
              <w:t>Existența unui plan național sau regional de management al riscului de dezastre, coerent cu actualele strategii de adaptare la schimbările climatice, care cuprinde:</w:t>
            </w:r>
          </w:p>
        </w:tc>
        <w:tc>
          <w:tcPr>
            <w:tcW w:w="1156" w:type="dxa"/>
            <w:tcBorders>
              <w:top w:val="single" w:sz="4" w:space="0" w:color="auto"/>
              <w:left w:val="single" w:sz="4" w:space="0" w:color="auto"/>
              <w:bottom w:val="single" w:sz="4" w:space="0" w:color="auto"/>
              <w:right w:val="single" w:sz="4" w:space="0" w:color="auto"/>
            </w:tcBorders>
          </w:tcPr>
          <w:p w14:paraId="5AE49938" w14:textId="77777777" w:rsidR="0004627F" w:rsidRPr="001552C0" w:rsidRDefault="0004627F"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0ED6EEAF" w14:textId="77777777" w:rsidR="0004627F" w:rsidRPr="001552C0" w:rsidRDefault="0004627F"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668F7448" w14:textId="744F9ABA" w:rsidR="00D36B8A" w:rsidRPr="001552C0" w:rsidRDefault="0075511B" w:rsidP="00D36B8A">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România are un proiect de Plan Național de Management al Riscului de Dezastre</w:t>
            </w:r>
            <w:r w:rsidR="00F27CD7">
              <w:rPr>
                <w:rFonts w:ascii="Times New Roman" w:eastAsia="Times New Roman" w:hAnsi="Times New Roman" w:cs="Times New Roman"/>
                <w:iCs/>
                <w:noProof/>
                <w:sz w:val="20"/>
              </w:rPr>
              <w:t xml:space="preserve"> (PNMRD)</w:t>
            </w:r>
            <w:r>
              <w:rPr>
                <w:rFonts w:ascii="Times New Roman" w:eastAsia="Times New Roman" w:hAnsi="Times New Roman" w:cs="Times New Roman"/>
                <w:iCs/>
                <w:noProof/>
                <w:sz w:val="20"/>
              </w:rPr>
              <w:t xml:space="preserve">, elaborat ținându-se seama </w:t>
            </w:r>
            <w:r w:rsidR="00F27CD7">
              <w:rPr>
                <w:rFonts w:ascii="Times New Roman" w:eastAsia="Times New Roman" w:hAnsi="Times New Roman" w:cs="Times New Roman"/>
                <w:iCs/>
                <w:noProof/>
                <w:sz w:val="20"/>
              </w:rPr>
              <w:t>de aspectele privind schimbările climatice. Planul conținele ele</w:t>
            </w:r>
            <w:r w:rsidR="00D36B8A">
              <w:rPr>
                <w:rFonts w:ascii="Times New Roman" w:eastAsia="Times New Roman" w:hAnsi="Times New Roman" w:cs="Times New Roman"/>
                <w:iCs/>
                <w:noProof/>
                <w:sz w:val="20"/>
              </w:rPr>
              <w:t xml:space="preserve">menetele menționate în criterii, iar în prezent este </w:t>
            </w:r>
            <w:r w:rsidR="00D36B8A" w:rsidRPr="00D36B8A">
              <w:rPr>
                <w:rFonts w:ascii="Times New Roman" w:eastAsia="Times New Roman" w:hAnsi="Times New Roman" w:cs="Times New Roman"/>
                <w:iCs/>
                <w:noProof/>
                <w:sz w:val="20"/>
              </w:rPr>
              <w:t>proces de consultare cu ministerele și părțile interesate relevante. După aceea, va fi supus aprobării Comitetului Național p</w:t>
            </w:r>
            <w:r w:rsidR="00D36B8A">
              <w:rPr>
                <w:rFonts w:ascii="Times New Roman" w:eastAsia="Times New Roman" w:hAnsi="Times New Roman" w:cs="Times New Roman"/>
                <w:iCs/>
                <w:noProof/>
                <w:sz w:val="20"/>
              </w:rPr>
              <w:t>entru Situații de Urgență</w:t>
            </w:r>
            <w:r w:rsidR="00D36B8A" w:rsidRPr="00D36B8A">
              <w:rPr>
                <w:rFonts w:ascii="Times New Roman" w:eastAsia="Times New Roman" w:hAnsi="Times New Roman" w:cs="Times New Roman"/>
                <w:iCs/>
                <w:noProof/>
                <w:sz w:val="20"/>
              </w:rPr>
              <w:t xml:space="preserve"> și va intra în vigoare.</w:t>
            </w:r>
          </w:p>
        </w:tc>
      </w:tr>
      <w:tr w:rsidR="0062719B" w:rsidRPr="001552C0" w14:paraId="4C46073D" w14:textId="77777777" w:rsidTr="006D49B0">
        <w:tc>
          <w:tcPr>
            <w:tcW w:w="1416" w:type="dxa"/>
            <w:tcBorders>
              <w:top w:val="single" w:sz="4" w:space="0" w:color="auto"/>
              <w:left w:val="single" w:sz="4" w:space="0" w:color="auto"/>
              <w:bottom w:val="single" w:sz="4" w:space="0" w:color="auto"/>
              <w:right w:val="single" w:sz="4" w:space="0" w:color="auto"/>
            </w:tcBorders>
          </w:tcPr>
          <w:p w14:paraId="716C6772" w14:textId="77777777" w:rsidR="00A13422" w:rsidRPr="001552C0" w:rsidRDefault="00A13422" w:rsidP="001A17A2">
            <w:pPr>
              <w:spacing w:before="120" w:after="120"/>
              <w:rPr>
                <w:rFonts w:eastAsia="Times New Roman" w:cs="Times New Roman"/>
                <w:iCs/>
                <w:noProof/>
              </w:rPr>
            </w:pPr>
          </w:p>
        </w:tc>
        <w:tc>
          <w:tcPr>
            <w:tcW w:w="1399" w:type="dxa"/>
            <w:tcBorders>
              <w:top w:val="single" w:sz="4" w:space="0" w:color="auto"/>
              <w:left w:val="single" w:sz="4" w:space="0" w:color="auto"/>
              <w:bottom w:val="single" w:sz="4" w:space="0" w:color="auto"/>
              <w:right w:val="single" w:sz="4" w:space="0" w:color="auto"/>
            </w:tcBorders>
          </w:tcPr>
          <w:p w14:paraId="66C971DA"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5921B8B2"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7DB77235"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01A54A87" w14:textId="2A6154CF" w:rsidR="00A13422" w:rsidRPr="001552C0" w:rsidRDefault="00AA03F3" w:rsidP="001A17A2">
            <w:pPr>
              <w:spacing w:before="120" w:after="120"/>
              <w:rPr>
                <w:rFonts w:eastAsia="Times New Roman" w:cs="Times New Roman"/>
                <w:iCs/>
                <w:noProof/>
              </w:rPr>
            </w:pPr>
            <w:r w:rsidRPr="001552C0">
              <w:rPr>
                <w:rFonts w:eastAsia="Times New Roman" w:cs="Times New Roman"/>
                <w:iCs/>
                <w:noProof/>
              </w:rPr>
              <w:t xml:space="preserve">1. </w:t>
            </w:r>
            <w:r w:rsidR="00A13422" w:rsidRPr="001552C0">
              <w:rPr>
                <w:rFonts w:eastAsia="Times New Roman" w:cs="Times New Roman"/>
                <w:iCs/>
                <w:noProof/>
              </w:rPr>
              <w:t>o descriere a principalelor riscuri, evaluate în conformitate cu dispozițiile articolului 6 litera (a) din Decizia nr. 1313/2013/UE, care reflectă amenințările curente și cele pe termen lung (25-35 ani). În ceea ce privește riscurile legate de schimbările climatice, evaluarea se bazează pe previziunile și scenariile în materie de schimbări climatice</w:t>
            </w:r>
          </w:p>
        </w:tc>
        <w:tc>
          <w:tcPr>
            <w:tcW w:w="1156" w:type="dxa"/>
            <w:tcBorders>
              <w:top w:val="single" w:sz="4" w:space="0" w:color="auto"/>
              <w:left w:val="single" w:sz="4" w:space="0" w:color="auto"/>
              <w:bottom w:val="single" w:sz="4" w:space="0" w:color="auto"/>
              <w:right w:val="single" w:sz="4" w:space="0" w:color="auto"/>
            </w:tcBorders>
          </w:tcPr>
          <w:p w14:paraId="3D28C67B"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60532151"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707D02CF" w14:textId="77777777" w:rsidR="00F27CD7" w:rsidRDefault="00F27CD7" w:rsidP="001A17A2">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PNMRD conține o descriere a principaelor riscuri la nivel național în conformitate cu art.</w:t>
            </w:r>
            <w:r w:rsidRPr="00F27CD7">
              <w:rPr>
                <w:rFonts w:ascii="Times New Roman" w:eastAsia="Times New Roman" w:hAnsi="Times New Roman" w:cs="Times New Roman"/>
                <w:iCs/>
                <w:noProof/>
                <w:sz w:val="20"/>
              </w:rPr>
              <w:t xml:space="preserve"> 6 litera (a) din Decizia nr. 1313/2013/UE</w:t>
            </w:r>
            <w:r>
              <w:rPr>
                <w:rFonts w:ascii="Times New Roman" w:eastAsia="Times New Roman" w:hAnsi="Times New Roman" w:cs="Times New Roman"/>
                <w:iCs/>
                <w:noProof/>
                <w:sz w:val="20"/>
              </w:rPr>
              <w:t>. Evaluarea riscurilor s-a realizat în concordanță cu Metodologia Naționalaă de Evaluare Unitara a Riscurilor, instrument utilizat și pentru îndeplinirea condiționalității ex-ante specifi ce perioadei de programare 2014-2020.</w:t>
            </w:r>
          </w:p>
          <w:p w14:paraId="7032146A" w14:textId="64CD3556" w:rsidR="00F27CD7" w:rsidRPr="001552C0" w:rsidRDefault="00F27CD7" w:rsidP="001A17A2">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Totodastă PNMRD face corelarea cu aspectele privind schimbările climatice în descrierea tipurilor de riscuri.</w:t>
            </w:r>
          </w:p>
        </w:tc>
      </w:tr>
      <w:tr w:rsidR="0062719B" w:rsidRPr="001552C0" w14:paraId="6D4CD079" w14:textId="77777777" w:rsidTr="006D49B0">
        <w:tc>
          <w:tcPr>
            <w:tcW w:w="1416" w:type="dxa"/>
            <w:tcBorders>
              <w:top w:val="single" w:sz="4" w:space="0" w:color="auto"/>
              <w:left w:val="single" w:sz="4" w:space="0" w:color="auto"/>
              <w:bottom w:val="single" w:sz="4" w:space="0" w:color="auto"/>
              <w:right w:val="single" w:sz="4" w:space="0" w:color="auto"/>
            </w:tcBorders>
          </w:tcPr>
          <w:p w14:paraId="420D9681" w14:textId="35B9303A" w:rsidR="00A13422" w:rsidRPr="001552C0" w:rsidRDefault="00A13422"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1E53A0B7"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09495BC2"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5E51DBB2"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05661AAD" w14:textId="2A9C1C36" w:rsidR="00A13422" w:rsidRPr="001552C0" w:rsidRDefault="00AA03F3" w:rsidP="001A17A2">
            <w:pPr>
              <w:spacing w:before="120" w:after="120"/>
              <w:rPr>
                <w:rFonts w:eastAsia="Times New Roman" w:cs="Times New Roman"/>
                <w:iCs/>
                <w:noProof/>
              </w:rPr>
            </w:pPr>
            <w:r w:rsidRPr="001552C0">
              <w:rPr>
                <w:rFonts w:eastAsia="Times New Roman" w:cs="Times New Roman"/>
                <w:iCs/>
                <w:noProof/>
              </w:rPr>
              <w:t xml:space="preserve">2. </w:t>
            </w:r>
            <w:r w:rsidR="0082345A" w:rsidRPr="001552C0">
              <w:rPr>
                <w:rFonts w:eastAsia="Times New Roman" w:cs="Times New Roman"/>
                <w:iCs/>
                <w:noProof/>
              </w:rPr>
              <w:t xml:space="preserve">o descrierea </w:t>
            </w:r>
            <w:r w:rsidR="0082345A" w:rsidRPr="001552C0">
              <w:rPr>
                <w:rFonts w:eastAsia="Times New Roman" w:cs="Times New Roman"/>
                <w:iCs/>
                <w:noProof/>
              </w:rPr>
              <w:lastRenderedPageBreak/>
              <w:t>a măsurilor de prevenire, pregătire și reacție la dezastre, prin care să se abordeze principalele riscuri identificate. Măsurile sunt ierarhizate în funcție de riscuri și de impactul economic al acestora, de lacunele în materie de capacități, precum și de eficiența și eficacitatea lor, ținând-se cont de alternativele posibile</w:t>
            </w:r>
          </w:p>
        </w:tc>
        <w:tc>
          <w:tcPr>
            <w:tcW w:w="1156" w:type="dxa"/>
            <w:tcBorders>
              <w:top w:val="single" w:sz="4" w:space="0" w:color="auto"/>
              <w:left w:val="single" w:sz="4" w:space="0" w:color="auto"/>
              <w:bottom w:val="single" w:sz="4" w:space="0" w:color="auto"/>
              <w:right w:val="single" w:sz="4" w:space="0" w:color="auto"/>
            </w:tcBorders>
          </w:tcPr>
          <w:p w14:paraId="391A1E9D"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3A15369E"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6343C10C" w14:textId="322DB8F8" w:rsidR="005F65B1" w:rsidRPr="005F65B1" w:rsidRDefault="00D36B8A" w:rsidP="006B186E">
            <w:pPr>
              <w:spacing w:before="120" w:after="120"/>
              <w:rPr>
                <w:rFonts w:ascii="Times New Roman" w:eastAsia="Times New Roman" w:hAnsi="Times New Roman" w:cs="Times New Roman"/>
                <w:iCs/>
                <w:noProof/>
                <w:sz w:val="20"/>
              </w:rPr>
            </w:pPr>
            <w:r w:rsidRPr="00D36B8A">
              <w:rPr>
                <w:rFonts w:ascii="Times New Roman" w:eastAsia="Times New Roman" w:hAnsi="Times New Roman" w:cs="Times New Roman"/>
                <w:iCs/>
                <w:noProof/>
                <w:sz w:val="20"/>
              </w:rPr>
              <w:t>PNMRD</w:t>
            </w:r>
            <w:r>
              <w:rPr>
                <w:rFonts w:ascii="Times New Roman" w:eastAsia="Times New Roman" w:hAnsi="Times New Roman" w:cs="Times New Roman"/>
                <w:iCs/>
                <w:noProof/>
                <w:sz w:val="20"/>
              </w:rPr>
              <w:t xml:space="preserve"> are un capitol dedicat </w:t>
            </w:r>
            <w:r>
              <w:rPr>
                <w:rFonts w:ascii="Times New Roman" w:eastAsia="Times New Roman" w:hAnsi="Times New Roman" w:cs="Times New Roman"/>
                <w:iCs/>
                <w:noProof/>
                <w:sz w:val="20"/>
              </w:rPr>
              <w:lastRenderedPageBreak/>
              <w:t xml:space="preserve">măsurilor de </w:t>
            </w:r>
            <w:r w:rsidRPr="00D36B8A">
              <w:rPr>
                <w:rFonts w:ascii="Times New Roman" w:eastAsia="Times New Roman" w:hAnsi="Times New Roman" w:cs="Times New Roman"/>
                <w:iCs/>
                <w:noProof/>
                <w:sz w:val="20"/>
              </w:rPr>
              <w:t>prevenire, pregătire și reacție la dezastre</w:t>
            </w:r>
            <w:r>
              <w:rPr>
                <w:rFonts w:ascii="Times New Roman" w:eastAsia="Times New Roman" w:hAnsi="Times New Roman" w:cs="Times New Roman"/>
                <w:iCs/>
                <w:noProof/>
                <w:sz w:val="20"/>
              </w:rPr>
              <w:t xml:space="preserve">. </w:t>
            </w:r>
            <w:r w:rsidR="005F65B1">
              <w:rPr>
                <w:rFonts w:ascii="Times New Roman" w:eastAsia="Times New Roman" w:hAnsi="Times New Roman" w:cs="Times New Roman"/>
                <w:iCs/>
                <w:noProof/>
                <w:sz w:val="20"/>
              </w:rPr>
              <w:t xml:space="preserve">A </w:t>
            </w:r>
            <w:r w:rsidR="005F65B1" w:rsidRPr="005F65B1">
              <w:rPr>
                <w:rFonts w:ascii="Times New Roman" w:eastAsia="Times New Roman" w:hAnsi="Times New Roman" w:cs="Times New Roman"/>
                <w:iCs/>
                <w:noProof/>
                <w:sz w:val="20"/>
              </w:rPr>
              <w:t xml:space="preserve">fost efectuată o analiză a rezultatelor evaluărilor sectoriale, în urma căreia s-au stabilit direcțiile de acțiune și măsurile </w:t>
            </w:r>
            <w:r w:rsidR="005F65B1">
              <w:rPr>
                <w:rFonts w:ascii="Times New Roman" w:eastAsia="Times New Roman" w:hAnsi="Times New Roman" w:cs="Times New Roman"/>
                <w:iCs/>
                <w:noProof/>
                <w:sz w:val="20"/>
              </w:rPr>
              <w:t xml:space="preserve">de prevebire </w:t>
            </w:r>
            <w:r w:rsidR="005F65B1" w:rsidRPr="005F65B1">
              <w:rPr>
                <w:rFonts w:ascii="Times New Roman" w:eastAsia="Times New Roman" w:hAnsi="Times New Roman" w:cs="Times New Roman"/>
                <w:iCs/>
                <w:noProof/>
                <w:sz w:val="20"/>
              </w:rPr>
              <w:t xml:space="preserve">necesar a fi implementate în vederea creșterii performanței managementului riscurilor de dezastre. </w:t>
            </w:r>
          </w:p>
          <w:p w14:paraId="5ADD0D1C" w14:textId="2CCD293D" w:rsidR="005F65B1" w:rsidRPr="001552C0" w:rsidRDefault="005F65B1" w:rsidP="001A17A2">
            <w:pPr>
              <w:spacing w:before="120" w:after="120"/>
              <w:rPr>
                <w:rFonts w:ascii="Times New Roman" w:eastAsia="Times New Roman" w:hAnsi="Times New Roman" w:cs="Times New Roman"/>
                <w:iCs/>
                <w:noProof/>
                <w:sz w:val="20"/>
              </w:rPr>
            </w:pPr>
          </w:p>
        </w:tc>
      </w:tr>
      <w:tr w:rsidR="0062719B" w:rsidRPr="001552C0" w14:paraId="63EC7577" w14:textId="77777777" w:rsidTr="006D49B0">
        <w:tc>
          <w:tcPr>
            <w:tcW w:w="1416" w:type="dxa"/>
            <w:tcBorders>
              <w:top w:val="single" w:sz="4" w:space="0" w:color="auto"/>
              <w:left w:val="single" w:sz="4" w:space="0" w:color="auto"/>
              <w:bottom w:val="single" w:sz="4" w:space="0" w:color="auto"/>
              <w:right w:val="single" w:sz="4" w:space="0" w:color="auto"/>
            </w:tcBorders>
          </w:tcPr>
          <w:p w14:paraId="7F7AFF24"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2C9B019D"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5199AF7D"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0FEE24E1"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3E0996BE" w14:textId="7AD2C826" w:rsidR="00A13422" w:rsidRPr="001552C0" w:rsidRDefault="00AA03F3" w:rsidP="0082345A">
            <w:pPr>
              <w:spacing w:before="120" w:after="120"/>
              <w:rPr>
                <w:rFonts w:eastAsia="Times New Roman" w:cs="Times New Roman"/>
                <w:iCs/>
                <w:noProof/>
              </w:rPr>
            </w:pPr>
            <w:r w:rsidRPr="001552C0">
              <w:rPr>
                <w:rFonts w:eastAsia="Times New Roman" w:cs="Times New Roman"/>
                <w:iCs/>
                <w:noProof/>
              </w:rPr>
              <w:t>3.</w:t>
            </w:r>
            <w:r w:rsidR="0082345A" w:rsidRPr="001552C0">
              <w:rPr>
                <w:rFonts w:eastAsia="Times New Roman" w:cs="Times New Roman"/>
                <w:iCs/>
                <w:noProof/>
              </w:rPr>
              <w:t xml:space="preserve">informații privind </w:t>
            </w:r>
            <w:r w:rsidR="0082345A" w:rsidRPr="001552C0">
              <w:rPr>
                <w:rFonts w:eastAsia="Times New Roman" w:cs="Times New Roman"/>
                <w:iCs/>
                <w:noProof/>
              </w:rPr>
              <w:lastRenderedPageBreak/>
              <w:t>resursele și mecanismele bugetare și de finanțare disponibile pentru a acoperi costurile de exploatare și de întreținere legate de prevenire, pregătire și reacție</w:t>
            </w:r>
          </w:p>
        </w:tc>
        <w:tc>
          <w:tcPr>
            <w:tcW w:w="1156" w:type="dxa"/>
            <w:tcBorders>
              <w:top w:val="single" w:sz="4" w:space="0" w:color="auto"/>
              <w:left w:val="single" w:sz="4" w:space="0" w:color="auto"/>
              <w:bottom w:val="single" w:sz="4" w:space="0" w:color="auto"/>
              <w:right w:val="single" w:sz="4" w:space="0" w:color="auto"/>
            </w:tcBorders>
          </w:tcPr>
          <w:p w14:paraId="10E8CA0C"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4D9BEBBA" w14:textId="77777777" w:rsidR="00A13422" w:rsidRPr="001552C0" w:rsidRDefault="00A13422"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79BBDA0D" w14:textId="77CD67C3" w:rsidR="00A13422" w:rsidRDefault="005F65B1" w:rsidP="006B186E">
            <w:pPr>
              <w:spacing w:before="120" w:after="120"/>
              <w:jc w:val="both"/>
              <w:rPr>
                <w:rFonts w:ascii="Times New Roman" w:eastAsia="Times New Roman" w:hAnsi="Times New Roman" w:cs="Times New Roman"/>
                <w:iCs/>
                <w:noProof/>
                <w:sz w:val="20"/>
              </w:rPr>
            </w:pPr>
            <w:r>
              <w:rPr>
                <w:rFonts w:ascii="Times New Roman" w:eastAsia="Times New Roman" w:hAnsi="Times New Roman" w:cs="Times New Roman"/>
                <w:iCs/>
                <w:noProof/>
                <w:sz w:val="20"/>
              </w:rPr>
              <w:t xml:space="preserve">Proiectul de Plan de management </w:t>
            </w:r>
            <w:r w:rsidRPr="005F65B1">
              <w:rPr>
                <w:rFonts w:ascii="Times New Roman" w:eastAsia="Times New Roman" w:hAnsi="Times New Roman" w:cs="Times New Roman"/>
                <w:iCs/>
                <w:noProof/>
                <w:sz w:val="20"/>
              </w:rPr>
              <w:t xml:space="preserve"> a</w:t>
            </w:r>
            <w:r>
              <w:rPr>
                <w:rFonts w:ascii="Times New Roman" w:eastAsia="Times New Roman" w:hAnsi="Times New Roman" w:cs="Times New Roman"/>
                <w:iCs/>
                <w:noProof/>
                <w:sz w:val="20"/>
              </w:rPr>
              <w:t>l</w:t>
            </w:r>
            <w:r w:rsidRPr="005F65B1">
              <w:rPr>
                <w:rFonts w:ascii="Times New Roman" w:eastAsia="Times New Roman" w:hAnsi="Times New Roman" w:cs="Times New Roman"/>
                <w:iCs/>
                <w:noProof/>
                <w:sz w:val="20"/>
              </w:rPr>
              <w:t xml:space="preserve"> riscurilor </w:t>
            </w:r>
            <w:r>
              <w:rPr>
                <w:rFonts w:ascii="Times New Roman" w:eastAsia="Times New Roman" w:hAnsi="Times New Roman" w:cs="Times New Roman"/>
                <w:iCs/>
                <w:noProof/>
                <w:sz w:val="20"/>
              </w:rPr>
              <w:t xml:space="preserve">la dezastre </w:t>
            </w:r>
            <w:r w:rsidRPr="005F65B1">
              <w:rPr>
                <w:rFonts w:ascii="Times New Roman" w:eastAsia="Times New Roman" w:hAnsi="Times New Roman" w:cs="Times New Roman"/>
                <w:iCs/>
                <w:noProof/>
                <w:sz w:val="20"/>
              </w:rPr>
              <w:t xml:space="preserve">include toate </w:t>
            </w:r>
            <w:r w:rsidRPr="005F65B1">
              <w:rPr>
                <w:rFonts w:ascii="Times New Roman" w:eastAsia="Times New Roman" w:hAnsi="Times New Roman" w:cs="Times New Roman"/>
                <w:iCs/>
                <w:noProof/>
                <w:sz w:val="20"/>
              </w:rPr>
              <w:lastRenderedPageBreak/>
              <w:t>informațiile privind resursele și mecanismele de finanțare care sunt identificate de autoritățile naționale pentru a aborda riscurile specifice pentru 2020-2030</w:t>
            </w:r>
            <w:r>
              <w:rPr>
                <w:rFonts w:ascii="Times New Roman" w:eastAsia="Times New Roman" w:hAnsi="Times New Roman" w:cs="Times New Roman"/>
                <w:iCs/>
                <w:noProof/>
                <w:sz w:val="20"/>
              </w:rPr>
              <w:t>.</w:t>
            </w:r>
          </w:p>
          <w:p w14:paraId="71AF0F57" w14:textId="55C9711C" w:rsidR="005F65B1" w:rsidRPr="001552C0" w:rsidRDefault="005F65B1" w:rsidP="00C52B2C">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Acest capitol</w:t>
            </w:r>
            <w:r w:rsidR="00C52B2C">
              <w:rPr>
                <w:rFonts w:ascii="Times New Roman" w:eastAsia="Times New Roman" w:hAnsi="Times New Roman" w:cs="Times New Roman"/>
                <w:iCs/>
                <w:noProof/>
                <w:sz w:val="20"/>
              </w:rPr>
              <w:t xml:space="preserve"> </w:t>
            </w:r>
            <w:r>
              <w:rPr>
                <w:rFonts w:ascii="Times New Roman" w:eastAsia="Times New Roman" w:hAnsi="Times New Roman" w:cs="Times New Roman"/>
                <w:iCs/>
                <w:noProof/>
                <w:sz w:val="20"/>
              </w:rPr>
              <w:t>se afla in curs de finalizare</w:t>
            </w:r>
            <w:r w:rsidR="00C52B2C">
              <w:rPr>
                <w:rFonts w:ascii="Times New Roman" w:eastAsia="Times New Roman" w:hAnsi="Times New Roman" w:cs="Times New Roman"/>
                <w:iCs/>
                <w:noProof/>
                <w:sz w:val="20"/>
              </w:rPr>
              <w:t xml:space="preserve"> cu sprijinul ministrelor de linie implicate.</w:t>
            </w:r>
          </w:p>
        </w:tc>
      </w:tr>
      <w:tr w:rsidR="0062719B" w:rsidRPr="001552C0" w14:paraId="32CF1C1B" w14:textId="77777777" w:rsidTr="006D49B0">
        <w:tc>
          <w:tcPr>
            <w:tcW w:w="1416" w:type="dxa"/>
            <w:tcBorders>
              <w:top w:val="single" w:sz="4" w:space="0" w:color="auto"/>
              <w:left w:val="single" w:sz="4" w:space="0" w:color="auto"/>
              <w:bottom w:val="single" w:sz="4" w:space="0" w:color="auto"/>
              <w:right w:val="single" w:sz="4" w:space="0" w:color="auto"/>
            </w:tcBorders>
          </w:tcPr>
          <w:p w14:paraId="3797BA93" w14:textId="36A92081" w:rsidR="0082345A" w:rsidRPr="001552C0" w:rsidRDefault="0082345A" w:rsidP="001A17A2">
            <w:pPr>
              <w:spacing w:before="120" w:after="120"/>
              <w:rPr>
                <w:rFonts w:eastAsia="Times New Roman" w:cs="Times New Roman"/>
                <w:iCs/>
                <w:noProof/>
              </w:rPr>
            </w:pPr>
            <w:r w:rsidRPr="001552C0">
              <w:rPr>
                <w:rFonts w:eastAsia="Times New Roman" w:cs="Times New Roman"/>
                <w:iCs/>
                <w:noProof/>
              </w:rPr>
              <w:lastRenderedPageBreak/>
              <w:t>Planificarea actualizată pentru investițiile necesare în sectorul apei și cel al apelor uzate</w:t>
            </w:r>
          </w:p>
        </w:tc>
        <w:tc>
          <w:tcPr>
            <w:tcW w:w="1399" w:type="dxa"/>
            <w:tcBorders>
              <w:top w:val="single" w:sz="4" w:space="0" w:color="auto"/>
              <w:left w:val="single" w:sz="4" w:space="0" w:color="auto"/>
              <w:bottom w:val="single" w:sz="4" w:space="0" w:color="auto"/>
              <w:right w:val="single" w:sz="4" w:space="0" w:color="auto"/>
            </w:tcBorders>
          </w:tcPr>
          <w:p w14:paraId="52DD6AD9" w14:textId="44CE517C"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ERDF, CF</w:t>
            </w:r>
          </w:p>
        </w:tc>
        <w:tc>
          <w:tcPr>
            <w:tcW w:w="1738" w:type="dxa"/>
            <w:tcBorders>
              <w:top w:val="single" w:sz="4" w:space="0" w:color="auto"/>
              <w:left w:val="single" w:sz="4" w:space="0" w:color="auto"/>
              <w:bottom w:val="single" w:sz="4" w:space="0" w:color="auto"/>
              <w:right w:val="single" w:sz="4" w:space="0" w:color="auto"/>
            </w:tcBorders>
          </w:tcPr>
          <w:p w14:paraId="70C81D4A" w14:textId="4A347941" w:rsidR="005328E5" w:rsidRPr="001552C0" w:rsidRDefault="005328E5" w:rsidP="005328E5">
            <w:pPr>
              <w:spacing w:before="120" w:after="120"/>
              <w:rPr>
                <w:rFonts w:eastAsia="Times New Roman" w:cs="Times New Roman"/>
                <w:iCs/>
                <w:noProof/>
              </w:rPr>
            </w:pPr>
            <w:r w:rsidRPr="001552C0">
              <w:rPr>
                <w:rFonts w:eastAsia="Times New Roman" w:cs="Times New Roman"/>
                <w:iCs/>
                <w:noProof/>
              </w:rPr>
              <w:t>(v) Promovarea managementului durabil al apei</w:t>
            </w:r>
          </w:p>
          <w:p w14:paraId="1358F1AF" w14:textId="6BE63706" w:rsidR="005328E5" w:rsidRPr="001552C0" w:rsidRDefault="005328E5" w:rsidP="005328E5">
            <w:pPr>
              <w:spacing w:before="120" w:after="120"/>
              <w:rPr>
                <w:rFonts w:eastAsia="Times New Roman" w:cs="Times New Roman"/>
                <w:iCs/>
                <w:noProof/>
              </w:rPr>
            </w:pPr>
          </w:p>
        </w:tc>
        <w:tc>
          <w:tcPr>
            <w:tcW w:w="1156" w:type="dxa"/>
            <w:tcBorders>
              <w:top w:val="single" w:sz="4" w:space="0" w:color="auto"/>
              <w:left w:val="single" w:sz="4" w:space="0" w:color="auto"/>
              <w:bottom w:val="single" w:sz="4" w:space="0" w:color="auto"/>
              <w:right w:val="single" w:sz="4" w:space="0" w:color="auto"/>
            </w:tcBorders>
          </w:tcPr>
          <w:p w14:paraId="563C7ACC"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4AB8E19C" w14:textId="77777777"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Pentru fiecare dintre cele 2 sectoare, există un plan național de investiții care cuprinde:</w:t>
            </w:r>
          </w:p>
          <w:p w14:paraId="693FD519" w14:textId="79116C22"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 xml:space="preserve">1. Evaluarea stadiului actual de punere în aplicare a Directivei privind epurarea </w:t>
            </w:r>
            <w:r w:rsidRPr="001552C0">
              <w:rPr>
                <w:rFonts w:eastAsia="Times New Roman" w:cs="Times New Roman"/>
                <w:iCs/>
                <w:noProof/>
              </w:rPr>
              <w:lastRenderedPageBreak/>
              <w:t>apelor uzate urbane (DEAUU), 91/271/CEE c [și a Directivei privind apa potabilă (DAP) 98/83/CE]</w:t>
            </w:r>
          </w:p>
        </w:tc>
        <w:tc>
          <w:tcPr>
            <w:tcW w:w="1156" w:type="dxa"/>
            <w:tcBorders>
              <w:top w:val="single" w:sz="4" w:space="0" w:color="auto"/>
              <w:left w:val="single" w:sz="4" w:space="0" w:color="auto"/>
              <w:bottom w:val="single" w:sz="4" w:space="0" w:color="auto"/>
              <w:right w:val="single" w:sz="4" w:space="0" w:color="auto"/>
            </w:tcBorders>
          </w:tcPr>
          <w:p w14:paraId="50DF1CFD"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1A67E7E2"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7658A031" w14:textId="77777777" w:rsidR="0018015E" w:rsidRDefault="0018015E" w:rsidP="001A17A2">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P</w:t>
            </w:r>
            <w:r w:rsidRPr="0018015E">
              <w:rPr>
                <w:rFonts w:ascii="Times New Roman" w:eastAsia="Times New Roman" w:hAnsi="Times New Roman" w:cs="Times New Roman"/>
                <w:iCs/>
                <w:noProof/>
                <w:sz w:val="20"/>
              </w:rPr>
              <w:t>lan național de investiții</w:t>
            </w:r>
            <w:r>
              <w:rPr>
                <w:rFonts w:ascii="Times New Roman" w:eastAsia="Times New Roman" w:hAnsi="Times New Roman" w:cs="Times New Roman"/>
                <w:iCs/>
                <w:noProof/>
                <w:sz w:val="20"/>
              </w:rPr>
              <w:t xml:space="preserve"> urmează a fi realizat pe baza a 2 proiecte de AT</w:t>
            </w:r>
            <w:r w:rsidRPr="0018015E">
              <w:rPr>
                <w:rFonts w:ascii="Times New Roman" w:eastAsia="Times New Roman" w:hAnsi="Times New Roman" w:cs="Times New Roman"/>
                <w:iCs/>
                <w:noProof/>
                <w:sz w:val="20"/>
              </w:rPr>
              <w:t xml:space="preserve"> cu B</w:t>
            </w:r>
            <w:r>
              <w:rPr>
                <w:rFonts w:ascii="Times New Roman" w:eastAsia="Times New Roman" w:hAnsi="Times New Roman" w:cs="Times New Roman"/>
                <w:iCs/>
                <w:noProof/>
                <w:sz w:val="20"/>
              </w:rPr>
              <w:t>anaca Mondială si BERD.</w:t>
            </w:r>
          </w:p>
          <w:p w14:paraId="3D9E7014" w14:textId="77777777" w:rsidR="009C6BDF" w:rsidRDefault="0018015E" w:rsidP="009C6BDF">
            <w:pPr>
              <w:spacing w:before="120" w:after="120"/>
              <w:rPr>
                <w:rFonts w:ascii="Times New Roman" w:eastAsia="Times New Roman" w:hAnsi="Times New Roman" w:cs="Times New Roman"/>
                <w:iCs/>
                <w:noProof/>
                <w:sz w:val="20"/>
              </w:rPr>
            </w:pPr>
            <w:r w:rsidRPr="0018015E">
              <w:rPr>
                <w:rFonts w:ascii="Times New Roman" w:eastAsia="Times New Roman" w:hAnsi="Times New Roman" w:cs="Times New Roman"/>
                <w:iCs/>
                <w:noProof/>
                <w:sz w:val="20"/>
              </w:rPr>
              <w:t>Analiza detaliată a stadiului actual de conectare la sisteme de canalizare și epurare a apelor uzate urbane la nivelul fiecărei aglomerări din fiecare județ și a stadiului actual de conectare la sisteme de alimentare cu apa potabilă din fiecare județ, s-a realizat în cadrul</w:t>
            </w:r>
            <w:r>
              <w:rPr>
                <w:rFonts w:ascii="Times New Roman" w:eastAsia="Times New Roman" w:hAnsi="Times New Roman" w:cs="Times New Roman"/>
                <w:iCs/>
                <w:noProof/>
                <w:sz w:val="20"/>
              </w:rPr>
              <w:t xml:space="preserve"> proiectului cu BERD</w:t>
            </w:r>
            <w:r w:rsidRPr="0018015E">
              <w:rPr>
                <w:rFonts w:ascii="Times New Roman" w:eastAsia="Times New Roman" w:hAnsi="Times New Roman" w:cs="Times New Roman"/>
                <w:iCs/>
                <w:noProof/>
                <w:sz w:val="20"/>
              </w:rPr>
              <w:t>.</w:t>
            </w:r>
            <w:r w:rsidR="009C6BDF">
              <w:rPr>
                <w:rFonts w:ascii="Times New Roman" w:eastAsia="Times New Roman" w:hAnsi="Times New Roman" w:cs="Times New Roman"/>
                <w:iCs/>
                <w:noProof/>
                <w:sz w:val="20"/>
              </w:rPr>
              <w:t xml:space="preserve"> </w:t>
            </w:r>
            <w:r w:rsidR="009C6BDF" w:rsidRPr="009C6BDF">
              <w:rPr>
                <w:rFonts w:ascii="Times New Roman" w:eastAsia="Times New Roman" w:hAnsi="Times New Roman" w:cs="Times New Roman"/>
                <w:iCs/>
                <w:noProof/>
                <w:sz w:val="20"/>
              </w:rPr>
              <w:t xml:space="preserve">Evaluarea finală a stadiului actual de punere în aplicare a </w:t>
            </w:r>
            <w:r w:rsidR="009C6BDF">
              <w:rPr>
                <w:rFonts w:ascii="Times New Roman" w:eastAsia="Times New Roman" w:hAnsi="Times New Roman" w:cs="Times New Roman"/>
                <w:iCs/>
                <w:noProof/>
                <w:sz w:val="20"/>
              </w:rPr>
              <w:lastRenderedPageBreak/>
              <w:t>DEAUU</w:t>
            </w:r>
            <w:r w:rsidR="009C6BDF" w:rsidRPr="009C6BDF">
              <w:rPr>
                <w:rFonts w:ascii="Times New Roman" w:eastAsia="Times New Roman" w:hAnsi="Times New Roman" w:cs="Times New Roman"/>
                <w:iCs/>
                <w:noProof/>
                <w:sz w:val="20"/>
              </w:rPr>
              <w:t xml:space="preserve"> se va realiza</w:t>
            </w:r>
            <w:r w:rsidR="009C6BDF">
              <w:rPr>
                <w:rFonts w:ascii="Times New Roman" w:eastAsia="Times New Roman" w:hAnsi="Times New Roman" w:cs="Times New Roman"/>
                <w:iCs/>
                <w:noProof/>
                <w:sz w:val="20"/>
              </w:rPr>
              <w:t xml:space="preserve"> in cadrul proiectului cu BM </w:t>
            </w:r>
            <w:r w:rsidR="009C6BDF" w:rsidRPr="009C6BDF">
              <w:rPr>
                <w:rFonts w:ascii="Times New Roman" w:eastAsia="Times New Roman" w:hAnsi="Times New Roman" w:cs="Times New Roman"/>
                <w:iCs/>
                <w:noProof/>
                <w:sz w:val="20"/>
              </w:rPr>
              <w:t xml:space="preserve">pornind de la analiza </w:t>
            </w:r>
            <w:r w:rsidR="009C6BDF">
              <w:rPr>
                <w:rFonts w:ascii="Times New Roman" w:eastAsia="Times New Roman" w:hAnsi="Times New Roman" w:cs="Times New Roman"/>
                <w:iCs/>
                <w:noProof/>
                <w:sz w:val="20"/>
              </w:rPr>
              <w:t>BERD.</w:t>
            </w:r>
          </w:p>
          <w:p w14:paraId="1F379801" w14:textId="44043553" w:rsidR="009C6BDF" w:rsidRPr="001552C0" w:rsidRDefault="009C6BDF" w:rsidP="009C6BDF">
            <w:pPr>
              <w:spacing w:before="120" w:after="120"/>
              <w:rPr>
                <w:rFonts w:ascii="Times New Roman" w:eastAsia="Times New Roman" w:hAnsi="Times New Roman" w:cs="Times New Roman"/>
                <w:iCs/>
                <w:noProof/>
                <w:sz w:val="20"/>
              </w:rPr>
            </w:pPr>
            <w:r w:rsidRPr="009C6BDF">
              <w:rPr>
                <w:rFonts w:ascii="Times New Roman" w:eastAsia="Times New Roman" w:hAnsi="Times New Roman" w:cs="Times New Roman"/>
                <w:iCs/>
                <w:noProof/>
                <w:sz w:val="20"/>
              </w:rPr>
              <w:t xml:space="preserve"> </w:t>
            </w:r>
            <w:r w:rsidRPr="009C6BDF">
              <w:rPr>
                <w:rFonts w:ascii="Times New Roman" w:eastAsia="Times New Roman" w:hAnsi="Times New Roman" w:cs="Times New Roman"/>
                <w:iCs/>
                <w:noProof/>
                <w:sz w:val="20"/>
              </w:rPr>
              <w:t xml:space="preserve">Evaluarea finală a stadiului actual de punere în aplicare a DAP pornind de la analiza elaborată de </w:t>
            </w:r>
            <w:r>
              <w:rPr>
                <w:rFonts w:ascii="Times New Roman" w:eastAsia="Times New Roman" w:hAnsi="Times New Roman" w:cs="Times New Roman"/>
                <w:iCs/>
                <w:noProof/>
                <w:sz w:val="20"/>
              </w:rPr>
              <w:t>BERD</w:t>
            </w:r>
          </w:p>
        </w:tc>
      </w:tr>
      <w:tr w:rsidR="0062719B" w:rsidRPr="001552C0" w14:paraId="00B55C03" w14:textId="77777777" w:rsidTr="006D49B0">
        <w:tc>
          <w:tcPr>
            <w:tcW w:w="1416" w:type="dxa"/>
            <w:tcBorders>
              <w:top w:val="single" w:sz="4" w:space="0" w:color="auto"/>
              <w:left w:val="single" w:sz="4" w:space="0" w:color="auto"/>
              <w:bottom w:val="single" w:sz="4" w:space="0" w:color="auto"/>
              <w:right w:val="single" w:sz="4" w:space="0" w:color="auto"/>
            </w:tcBorders>
          </w:tcPr>
          <w:p w14:paraId="3E8C7A8C" w14:textId="41067CE0" w:rsidR="0082345A" w:rsidRPr="001552C0" w:rsidRDefault="0082345A"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2E46334A"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562A5CF9"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323D940D"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2CBE7612" w14:textId="449E145F"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2.Identificarea și planificarea oricăror investiții publice, inclusiv o estimare financiară orientativă a acestora:</w:t>
            </w:r>
          </w:p>
          <w:p w14:paraId="02D68F18" w14:textId="29FF5CF6"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 xml:space="preserve">a.Necesare pentru a asigura conformitatea cu DEAUU, inclusiv o ierarhizare din perspectiva dimensiunii aglomerărilor și a impactului </w:t>
            </w:r>
            <w:r w:rsidRPr="001552C0">
              <w:rPr>
                <w:rFonts w:eastAsia="Times New Roman" w:cs="Times New Roman"/>
                <w:iCs/>
                <w:noProof/>
              </w:rPr>
              <w:lastRenderedPageBreak/>
              <w:t xml:space="preserve">asupra mediului, cu investiții defalcate pentru fiecare aglomerare </w:t>
            </w:r>
          </w:p>
          <w:p w14:paraId="000174C5" w14:textId="3AF37C96"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 xml:space="preserve">b.Necesare pentru punerea în aplicare a Directivei DAP (98/83/CE) privind apa potabilă </w:t>
            </w:r>
          </w:p>
          <w:p w14:paraId="7F657728" w14:textId="6393DF89"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 xml:space="preserve">c.Necesare pentru a răspunde nevoilor generate de reformare propusă (COM(2017) 753 final), în special cu privire la parametrii de calitate revizuiți enumerați în </w:t>
            </w:r>
            <w:r w:rsidRPr="001552C0">
              <w:rPr>
                <w:rFonts w:eastAsia="Times New Roman" w:cs="Times New Roman"/>
                <w:iCs/>
                <w:noProof/>
              </w:rPr>
              <w:lastRenderedPageBreak/>
              <w:t>anexa I</w:t>
            </w:r>
          </w:p>
        </w:tc>
        <w:tc>
          <w:tcPr>
            <w:tcW w:w="1156" w:type="dxa"/>
            <w:tcBorders>
              <w:top w:val="single" w:sz="4" w:space="0" w:color="auto"/>
              <w:left w:val="single" w:sz="4" w:space="0" w:color="auto"/>
              <w:bottom w:val="single" w:sz="4" w:space="0" w:color="auto"/>
              <w:right w:val="single" w:sz="4" w:space="0" w:color="auto"/>
            </w:tcBorders>
          </w:tcPr>
          <w:p w14:paraId="729941D3"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7C7F2513"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34BE399F" w14:textId="222D00D8" w:rsidR="0082345A" w:rsidRPr="001552C0" w:rsidRDefault="009C6BDF" w:rsidP="009C6BDF">
            <w:pPr>
              <w:spacing w:before="120" w:after="120"/>
              <w:rPr>
                <w:rFonts w:ascii="Times New Roman" w:eastAsia="Times New Roman" w:hAnsi="Times New Roman" w:cs="Times New Roman"/>
                <w:iCs/>
                <w:noProof/>
                <w:sz w:val="20"/>
              </w:rPr>
            </w:pPr>
            <w:r w:rsidRPr="009C6BDF">
              <w:rPr>
                <w:rFonts w:ascii="Times New Roman" w:eastAsia="Times New Roman" w:hAnsi="Times New Roman" w:cs="Times New Roman"/>
                <w:iCs/>
                <w:noProof/>
                <w:sz w:val="20"/>
              </w:rPr>
              <w:t>O primă identificare a tuturor investițiilor necesare pentru conformarea cu DEAUU pentru toate aglomerările actuale de peste 2000 locuitori echivalenți a fost realizată în cadrul proiectului cu BERD. Identificarea si planificarea tuturor investițiilor publice și estimarea finală financiară pentru conformarea cu DEAUU se va realiza în cadrul proiectului cu Banca Mondială</w:t>
            </w:r>
            <w:r>
              <w:rPr>
                <w:rFonts w:ascii="Times New Roman" w:eastAsia="Times New Roman" w:hAnsi="Times New Roman" w:cs="Times New Roman"/>
                <w:iCs/>
                <w:noProof/>
                <w:sz w:val="20"/>
              </w:rPr>
              <w:t>.</w:t>
            </w:r>
          </w:p>
        </w:tc>
      </w:tr>
      <w:tr w:rsidR="0062719B" w:rsidRPr="001552C0" w14:paraId="11C33A1A" w14:textId="77777777" w:rsidTr="006D49B0">
        <w:tc>
          <w:tcPr>
            <w:tcW w:w="1416" w:type="dxa"/>
            <w:tcBorders>
              <w:top w:val="single" w:sz="4" w:space="0" w:color="auto"/>
              <w:left w:val="single" w:sz="4" w:space="0" w:color="auto"/>
              <w:bottom w:val="single" w:sz="4" w:space="0" w:color="auto"/>
              <w:right w:val="single" w:sz="4" w:space="0" w:color="auto"/>
            </w:tcBorders>
          </w:tcPr>
          <w:p w14:paraId="152DC9A5"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189D8A3F"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6ECD5B6A"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5738EB1E"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3DA0B03F" w14:textId="1DDDDDD4"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3.Estimarea investițiilor necesare pentru reînnoirea infrastructurilor existente de epurare a apelor uzate și de alimentare cu apă, inclusiv a rețelelor, bazată pe vârsta acestora și pe planuri de amortizare</w:t>
            </w:r>
          </w:p>
        </w:tc>
        <w:tc>
          <w:tcPr>
            <w:tcW w:w="1156" w:type="dxa"/>
            <w:tcBorders>
              <w:top w:val="single" w:sz="4" w:space="0" w:color="auto"/>
              <w:left w:val="single" w:sz="4" w:space="0" w:color="auto"/>
              <w:bottom w:val="single" w:sz="4" w:space="0" w:color="auto"/>
              <w:right w:val="single" w:sz="4" w:space="0" w:color="auto"/>
            </w:tcBorders>
          </w:tcPr>
          <w:p w14:paraId="58962C43"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142CFC34"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1CD42604" w14:textId="5352CA03" w:rsidR="0082345A" w:rsidRPr="001552C0" w:rsidRDefault="00203754" w:rsidP="00203754">
            <w:pPr>
              <w:spacing w:before="120" w:after="120"/>
              <w:rPr>
                <w:rFonts w:ascii="Times New Roman" w:eastAsia="Times New Roman" w:hAnsi="Times New Roman" w:cs="Times New Roman"/>
                <w:iCs/>
                <w:noProof/>
                <w:sz w:val="20"/>
              </w:rPr>
            </w:pPr>
            <w:r w:rsidRPr="00203754">
              <w:rPr>
                <w:rFonts w:ascii="Times New Roman" w:eastAsia="Times New Roman" w:hAnsi="Times New Roman" w:cs="Times New Roman"/>
                <w:iCs/>
                <w:noProof/>
                <w:sz w:val="20"/>
              </w:rPr>
              <w:t>O primă estimare a necesarului de investiții pentru reînnoirea infrastructurilor existente la nivelul operatorilor regionali s-a realizat prin proiectul BERD.</w:t>
            </w:r>
            <w:r>
              <w:rPr>
                <w:rFonts w:ascii="Times New Roman" w:eastAsia="Times New Roman" w:hAnsi="Times New Roman" w:cs="Times New Roman"/>
                <w:iCs/>
                <w:noProof/>
                <w:sz w:val="20"/>
              </w:rPr>
              <w:t xml:space="preserve"> </w:t>
            </w:r>
            <w:r w:rsidRPr="00203754">
              <w:rPr>
                <w:rFonts w:ascii="Times New Roman" w:eastAsia="Times New Roman" w:hAnsi="Times New Roman" w:cs="Times New Roman"/>
                <w:iCs/>
                <w:noProof/>
                <w:sz w:val="20"/>
              </w:rPr>
              <w:t>Identificarea și planificarea finală a investițiilor publice și estimarea financiară pentru reînnoirea infrastructurilor existente de epurare a apelor uzate și de alimentare cu apă, inclusiv a rețelelor, bazată pe vârsta acestora și pe planuri de amortizare, se va realiza de MAP, MDRAP, MS.</w:t>
            </w:r>
          </w:p>
        </w:tc>
      </w:tr>
      <w:tr w:rsidR="0062719B" w:rsidRPr="001552C0" w14:paraId="43D022B7" w14:textId="77777777" w:rsidTr="006D49B0">
        <w:tc>
          <w:tcPr>
            <w:tcW w:w="1416" w:type="dxa"/>
            <w:tcBorders>
              <w:top w:val="single" w:sz="4" w:space="0" w:color="auto"/>
              <w:left w:val="single" w:sz="4" w:space="0" w:color="auto"/>
              <w:bottom w:val="single" w:sz="4" w:space="0" w:color="auto"/>
              <w:right w:val="single" w:sz="4" w:space="0" w:color="auto"/>
            </w:tcBorders>
          </w:tcPr>
          <w:p w14:paraId="5F08D843"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715D7DAB"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2AAB0893"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7E74C830"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6130E301" w14:textId="64835843" w:rsidR="0082345A" w:rsidRPr="001552C0" w:rsidRDefault="0082345A" w:rsidP="0082345A">
            <w:pPr>
              <w:spacing w:before="120" w:after="120"/>
              <w:rPr>
                <w:rFonts w:eastAsia="Times New Roman" w:cs="Times New Roman"/>
                <w:iCs/>
                <w:noProof/>
              </w:rPr>
            </w:pPr>
            <w:r w:rsidRPr="001552C0">
              <w:rPr>
                <w:rFonts w:eastAsia="Times New Roman" w:cs="Times New Roman"/>
                <w:iCs/>
                <w:noProof/>
              </w:rPr>
              <w:t xml:space="preserve">4.Indicarea posibilelor surse de finanțare publică, atunci când aceasta este necesară pentru completarea veniturilor din taxe de </w:t>
            </w:r>
            <w:r w:rsidRPr="001552C0">
              <w:rPr>
                <w:rFonts w:eastAsia="Times New Roman" w:cs="Times New Roman"/>
                <w:iCs/>
                <w:noProof/>
              </w:rPr>
              <w:lastRenderedPageBreak/>
              <w:t>utilizare</w:t>
            </w:r>
          </w:p>
        </w:tc>
        <w:tc>
          <w:tcPr>
            <w:tcW w:w="1156" w:type="dxa"/>
            <w:tcBorders>
              <w:top w:val="single" w:sz="4" w:space="0" w:color="auto"/>
              <w:left w:val="single" w:sz="4" w:space="0" w:color="auto"/>
              <w:bottom w:val="single" w:sz="4" w:space="0" w:color="auto"/>
              <w:right w:val="single" w:sz="4" w:space="0" w:color="auto"/>
            </w:tcBorders>
          </w:tcPr>
          <w:p w14:paraId="2B818A16"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239B36F9"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154DC8A9" w14:textId="7EA48FC3" w:rsidR="00203754" w:rsidRPr="00203754" w:rsidRDefault="00203754" w:rsidP="00203754">
            <w:pPr>
              <w:spacing w:before="120" w:after="120"/>
              <w:rPr>
                <w:rFonts w:ascii="Times New Roman" w:eastAsia="Times New Roman" w:hAnsi="Times New Roman" w:cs="Times New Roman"/>
                <w:iCs/>
                <w:noProof/>
                <w:sz w:val="20"/>
              </w:rPr>
            </w:pPr>
            <w:r w:rsidRPr="00203754">
              <w:rPr>
                <w:rFonts w:ascii="Times New Roman" w:eastAsia="Times New Roman" w:hAnsi="Times New Roman" w:cs="Times New Roman"/>
                <w:iCs/>
                <w:noProof/>
                <w:sz w:val="20"/>
              </w:rPr>
              <w:t>Modalitățile de finanțare a sectorului apă/apă uzată vor fi conținute în Raportul privind opțiunile strategice ale sectorului de apă și apă uzată, care va fi  realizat de BERD.</w:t>
            </w:r>
          </w:p>
          <w:p w14:paraId="1498C527" w14:textId="5B8B74C7" w:rsidR="0082345A" w:rsidRPr="001552C0" w:rsidRDefault="00203754" w:rsidP="00203754">
            <w:pPr>
              <w:spacing w:before="120" w:after="120"/>
              <w:rPr>
                <w:rFonts w:ascii="Times New Roman" w:eastAsia="Times New Roman" w:hAnsi="Times New Roman" w:cs="Times New Roman"/>
                <w:iCs/>
                <w:noProof/>
                <w:sz w:val="20"/>
              </w:rPr>
            </w:pPr>
            <w:r w:rsidRPr="00203754">
              <w:rPr>
                <w:rFonts w:ascii="Times New Roman" w:eastAsia="Times New Roman" w:hAnsi="Times New Roman" w:cs="Times New Roman"/>
                <w:iCs/>
                <w:noProof/>
                <w:sz w:val="20"/>
              </w:rPr>
              <w:t xml:space="preserve">În cadrul proiectului cu Banca Mondială se va  realiza un Plan de Finanțare Strategic pentru investițiile care mai trebuie făcute pentru a putea aborda provocările ce derivă </w:t>
            </w:r>
            <w:r w:rsidRPr="00203754">
              <w:rPr>
                <w:rFonts w:ascii="Times New Roman" w:eastAsia="Times New Roman" w:hAnsi="Times New Roman" w:cs="Times New Roman"/>
                <w:iCs/>
                <w:noProof/>
                <w:sz w:val="20"/>
              </w:rPr>
              <w:lastRenderedPageBreak/>
              <w:t>din cerințele DEAUU..</w:t>
            </w:r>
          </w:p>
        </w:tc>
      </w:tr>
      <w:tr w:rsidR="00EF6C3B" w:rsidRPr="001552C0" w14:paraId="1D9C89B4" w14:textId="77777777" w:rsidTr="006D49B0">
        <w:tc>
          <w:tcPr>
            <w:tcW w:w="1416" w:type="dxa"/>
            <w:tcBorders>
              <w:top w:val="single" w:sz="4" w:space="0" w:color="auto"/>
              <w:left w:val="single" w:sz="4" w:space="0" w:color="auto"/>
              <w:bottom w:val="single" w:sz="4" w:space="0" w:color="auto"/>
              <w:right w:val="single" w:sz="4" w:space="0" w:color="auto"/>
            </w:tcBorders>
          </w:tcPr>
          <w:p w14:paraId="7B05B680" w14:textId="40A1D160" w:rsidR="00EF6C3B" w:rsidRPr="001552C0" w:rsidRDefault="00EF6C3B" w:rsidP="001A17A2">
            <w:pPr>
              <w:spacing w:before="120" w:after="120"/>
              <w:rPr>
                <w:rFonts w:ascii="Times New Roman" w:eastAsia="Times New Roman" w:hAnsi="Times New Roman" w:cs="Times New Roman"/>
                <w:iCs/>
                <w:noProof/>
                <w:sz w:val="20"/>
              </w:rPr>
            </w:pPr>
            <w:r w:rsidRPr="001552C0">
              <w:rPr>
                <w:rFonts w:eastAsia="Times New Roman" w:cs="Times New Roman"/>
                <w:iCs/>
                <w:noProof/>
              </w:rPr>
              <w:lastRenderedPageBreak/>
              <w:t>Planificare actualizată a gestionării deșeurilor</w:t>
            </w:r>
          </w:p>
        </w:tc>
        <w:tc>
          <w:tcPr>
            <w:tcW w:w="1399" w:type="dxa"/>
            <w:tcBorders>
              <w:top w:val="single" w:sz="4" w:space="0" w:color="auto"/>
              <w:left w:val="single" w:sz="4" w:space="0" w:color="auto"/>
              <w:bottom w:val="single" w:sz="4" w:space="0" w:color="auto"/>
              <w:right w:val="single" w:sz="4" w:space="0" w:color="auto"/>
            </w:tcBorders>
          </w:tcPr>
          <w:p w14:paraId="253734CD" w14:textId="6401AE6C" w:rsidR="00EF6C3B" w:rsidRPr="001552C0" w:rsidRDefault="00EF6C3B" w:rsidP="001A17A2">
            <w:pPr>
              <w:spacing w:before="120" w:after="120"/>
              <w:rPr>
                <w:rFonts w:ascii="Times New Roman" w:eastAsia="Times New Roman" w:hAnsi="Times New Roman" w:cs="Times New Roman"/>
                <w:iCs/>
                <w:noProof/>
                <w:sz w:val="20"/>
              </w:rPr>
            </w:pPr>
            <w:r w:rsidRPr="001552C0">
              <w:rPr>
                <w:rFonts w:eastAsia="Times New Roman" w:cs="Times New Roman"/>
                <w:iCs/>
                <w:noProof/>
              </w:rPr>
              <w:t>ERDF, CF</w:t>
            </w:r>
          </w:p>
        </w:tc>
        <w:tc>
          <w:tcPr>
            <w:tcW w:w="1738" w:type="dxa"/>
            <w:tcBorders>
              <w:top w:val="single" w:sz="4" w:space="0" w:color="auto"/>
              <w:left w:val="single" w:sz="4" w:space="0" w:color="auto"/>
              <w:bottom w:val="single" w:sz="4" w:space="0" w:color="auto"/>
              <w:right w:val="single" w:sz="4" w:space="0" w:color="auto"/>
            </w:tcBorders>
          </w:tcPr>
          <w:p w14:paraId="51F17051" w14:textId="6634ECA0" w:rsidR="00EF6C3B" w:rsidRPr="001552C0" w:rsidRDefault="00EF6C3B" w:rsidP="001A17A2">
            <w:pPr>
              <w:spacing w:before="120" w:after="120"/>
              <w:rPr>
                <w:rFonts w:eastAsia="Times New Roman" w:cs="Times New Roman"/>
                <w:iCs/>
                <w:noProof/>
              </w:rPr>
            </w:pPr>
            <w:r w:rsidRPr="001552C0">
              <w:rPr>
                <w:rFonts w:eastAsia="Times New Roman" w:cs="Times New Roman"/>
                <w:iCs/>
                <w:noProof/>
              </w:rPr>
              <w:t>(vi) Promovarea tranziţiei către o economie circulară</w:t>
            </w:r>
          </w:p>
        </w:tc>
        <w:tc>
          <w:tcPr>
            <w:tcW w:w="1156" w:type="dxa"/>
            <w:tcBorders>
              <w:top w:val="single" w:sz="4" w:space="0" w:color="auto"/>
              <w:left w:val="single" w:sz="4" w:space="0" w:color="auto"/>
              <w:bottom w:val="single" w:sz="4" w:space="0" w:color="auto"/>
              <w:right w:val="single" w:sz="4" w:space="0" w:color="auto"/>
            </w:tcBorders>
          </w:tcPr>
          <w:p w14:paraId="366EB715"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637" w:type="dxa"/>
            <w:vMerge w:val="restart"/>
            <w:tcBorders>
              <w:top w:val="single" w:sz="4" w:space="0" w:color="auto"/>
              <w:left w:val="single" w:sz="4" w:space="0" w:color="auto"/>
              <w:right w:val="single" w:sz="4" w:space="0" w:color="auto"/>
            </w:tcBorders>
          </w:tcPr>
          <w:p w14:paraId="04D49DDE" w14:textId="77777777" w:rsidR="00EF6C3B" w:rsidRPr="001552C0" w:rsidRDefault="00EF6C3B" w:rsidP="001A17A2">
            <w:pPr>
              <w:spacing w:before="120" w:after="120"/>
              <w:rPr>
                <w:rFonts w:eastAsia="Times New Roman" w:cs="Times New Roman"/>
                <w:iCs/>
                <w:noProof/>
              </w:rPr>
            </w:pPr>
            <w:r w:rsidRPr="001552C0">
              <w:rPr>
                <w:rFonts w:eastAsia="Times New Roman" w:cs="Times New Roman"/>
                <w:iCs/>
                <w:noProof/>
              </w:rPr>
              <w:t>Existența unui (unor) plan (planuri) de gestionare a deșeurilor – în conformitate cu articolul 28 din Directiva 2008/98/CE, astfel cum a fost modificată prin Directiva UE 2018/851 – care acoperă întreg teritoriul statului membru și care include (includ):</w:t>
            </w:r>
          </w:p>
          <w:p w14:paraId="53545838" w14:textId="77777777" w:rsidR="00EF6C3B" w:rsidRPr="001552C0" w:rsidRDefault="00EF6C3B" w:rsidP="001A17A2">
            <w:pPr>
              <w:spacing w:before="120" w:after="120"/>
              <w:rPr>
                <w:rFonts w:eastAsia="Times New Roman" w:cs="Times New Roman"/>
                <w:iCs/>
                <w:noProof/>
              </w:rPr>
            </w:pPr>
            <w:r w:rsidRPr="001552C0">
              <w:rPr>
                <w:rFonts w:eastAsia="Times New Roman" w:cs="Times New Roman"/>
                <w:iCs/>
                <w:noProof/>
              </w:rPr>
              <w:t xml:space="preserve">1. O analiză a situației actuale a gestionării deșeurilor în entitatea geografică în cauză, incluzând tipul, </w:t>
            </w:r>
            <w:r w:rsidRPr="001552C0">
              <w:rPr>
                <w:rFonts w:eastAsia="Times New Roman" w:cs="Times New Roman"/>
                <w:iCs/>
                <w:noProof/>
              </w:rPr>
              <w:lastRenderedPageBreak/>
              <w:t>cantitatea și sursa deșeurilor generate, precum și o evaluare a evoluției lor viitoare ținând seama de impacturile preconizate ale măsurilor prevăzute în programul (programele) de prevenire a generării de deșeuri, elaborat(e) în conformitate cu articolul 29 din Directiva 2008/98/CE, astfel cum a fost modificată prin Directiva 2018/851/EU</w:t>
            </w:r>
          </w:p>
          <w:p w14:paraId="65C94278" w14:textId="77777777" w:rsidR="00EF6C3B" w:rsidRPr="001552C0" w:rsidRDefault="00EF6C3B" w:rsidP="001A17A2">
            <w:pPr>
              <w:spacing w:before="120" w:after="120"/>
              <w:rPr>
                <w:rFonts w:eastAsia="Times New Roman" w:cs="Times New Roman"/>
                <w:iCs/>
                <w:noProof/>
              </w:rPr>
            </w:pPr>
            <w:r w:rsidRPr="001552C0">
              <w:rPr>
                <w:rFonts w:eastAsia="Times New Roman" w:cs="Times New Roman"/>
                <w:iCs/>
                <w:noProof/>
              </w:rPr>
              <w:t xml:space="preserve">2.O evaluare a sistemelor </w:t>
            </w:r>
            <w:r w:rsidRPr="001552C0">
              <w:rPr>
                <w:rFonts w:eastAsia="Times New Roman" w:cs="Times New Roman"/>
                <w:iCs/>
                <w:noProof/>
              </w:rPr>
              <w:lastRenderedPageBreak/>
              <w:t>existente de colectare a deșeurilor, inclusiv acoperirea materială și teritorială a colectării separate și măsurile de îmbunătățire a funcționării acesteia, precum și necesitatea unor noi sisteme de colectare</w:t>
            </w:r>
          </w:p>
          <w:p w14:paraId="50726A6F" w14:textId="7507E589" w:rsidR="00EF6C3B" w:rsidRPr="001552C0" w:rsidRDefault="00EF6C3B" w:rsidP="001A17A2">
            <w:pPr>
              <w:spacing w:before="120" w:after="120"/>
              <w:rPr>
                <w:rFonts w:eastAsia="Times New Roman" w:cs="Times New Roman"/>
                <w:iCs/>
                <w:noProof/>
              </w:rPr>
            </w:pPr>
            <w:r w:rsidRPr="001552C0">
              <w:rPr>
                <w:rFonts w:eastAsia="Times New Roman" w:cs="Times New Roman"/>
                <w:iCs/>
                <w:noProof/>
              </w:rPr>
              <w:t xml:space="preserve">3.Evaluarea decalajelor de investiții care justifică necesitatea închiderii instalațiilor existente de deșeuri și a infrastructurilor suplimentare </w:t>
            </w:r>
            <w:r w:rsidRPr="001552C0">
              <w:rPr>
                <w:rFonts w:eastAsia="Times New Roman" w:cs="Times New Roman"/>
                <w:iCs/>
                <w:noProof/>
              </w:rPr>
              <w:lastRenderedPageBreak/>
              <w:t>sau modernizate de deșeuri, cu informații privind sursele de venituri disponibile pentru acoperirea costurilor de exploatare și de întreținere</w:t>
            </w:r>
          </w:p>
        </w:tc>
        <w:tc>
          <w:tcPr>
            <w:tcW w:w="1156" w:type="dxa"/>
            <w:vMerge w:val="restart"/>
            <w:tcBorders>
              <w:top w:val="single" w:sz="4" w:space="0" w:color="auto"/>
              <w:left w:val="single" w:sz="4" w:space="0" w:color="auto"/>
              <w:right w:val="single" w:sz="4" w:space="0" w:color="auto"/>
            </w:tcBorders>
          </w:tcPr>
          <w:p w14:paraId="5069FAF1"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3173" w:type="dxa"/>
            <w:vMerge w:val="restart"/>
            <w:tcBorders>
              <w:top w:val="single" w:sz="4" w:space="0" w:color="auto"/>
              <w:left w:val="single" w:sz="4" w:space="0" w:color="auto"/>
              <w:right w:val="single" w:sz="4" w:space="0" w:color="auto"/>
            </w:tcBorders>
          </w:tcPr>
          <w:p w14:paraId="0CCCC87E"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2716" w:type="dxa"/>
            <w:vMerge w:val="restart"/>
            <w:tcBorders>
              <w:top w:val="single" w:sz="4" w:space="0" w:color="auto"/>
              <w:left w:val="single" w:sz="4" w:space="0" w:color="auto"/>
              <w:right w:val="single" w:sz="4" w:space="0" w:color="auto"/>
            </w:tcBorders>
          </w:tcPr>
          <w:p w14:paraId="487E756B" w14:textId="77777777" w:rsidR="00EF6C3B" w:rsidRPr="00BD4271" w:rsidRDefault="00EF6C3B" w:rsidP="00EF6C3B">
            <w:pPr>
              <w:jc w:val="both"/>
            </w:pPr>
            <w:r w:rsidRPr="00BD4271">
              <w:t>Planul Na</w:t>
            </w:r>
            <w:r>
              <w:t>ț</w:t>
            </w:r>
            <w:r w:rsidRPr="00BD4271">
              <w:t>ional de Gestionare a De</w:t>
            </w:r>
            <w:r>
              <w:t>ș</w:t>
            </w:r>
            <w:r w:rsidRPr="00BD4271">
              <w:t>eurilor a fost aprobat prin H</w:t>
            </w:r>
            <w:r>
              <w:t xml:space="preserve">otărârea </w:t>
            </w:r>
            <w:r w:rsidRPr="00BD4271">
              <w:t>G</w:t>
            </w:r>
            <w:r>
              <w:t>uvernului</w:t>
            </w:r>
            <w:r w:rsidRPr="00BD4271">
              <w:t xml:space="preserve"> nr. 942/2017. PNGD acoperă întreg teritoriul național și este în conformitate cu articolul 28 din Directiva 2008/98/CE.</w:t>
            </w:r>
          </w:p>
          <w:p w14:paraId="366B6FC6" w14:textId="77777777" w:rsidR="00EF6C3B" w:rsidRPr="00BD4271" w:rsidRDefault="00EF6C3B" w:rsidP="00EF6C3B">
            <w:pPr>
              <w:jc w:val="both"/>
            </w:pPr>
            <w:r w:rsidRPr="00BD4271">
              <w:t xml:space="preserve">Planul de măsuri aferent PNGD acoperă perioada 2018 – 2025. </w:t>
            </w:r>
          </w:p>
          <w:p w14:paraId="52ABD9F7" w14:textId="77777777" w:rsidR="00EF6C3B" w:rsidRPr="00BD4271" w:rsidRDefault="00EF6C3B" w:rsidP="00EF6C3B">
            <w:pPr>
              <w:jc w:val="both"/>
            </w:pPr>
            <w:r w:rsidRPr="00BD4271">
              <w:t>PNGD cuprinde:</w:t>
            </w:r>
          </w:p>
          <w:p w14:paraId="25D5CD2C" w14:textId="77777777" w:rsidR="00EF6C3B" w:rsidRPr="00BD4271" w:rsidRDefault="00EF6C3B" w:rsidP="00EF6C3B">
            <w:pPr>
              <w:numPr>
                <w:ilvl w:val="0"/>
                <w:numId w:val="82"/>
              </w:numPr>
              <w:jc w:val="both"/>
              <w:rPr>
                <w:lang w:val="it-IT"/>
              </w:rPr>
            </w:pPr>
            <w:r w:rsidRPr="00BD4271">
              <w:t>o secțiune (II) care conține s</w:t>
            </w:r>
            <w:r w:rsidRPr="00BD4271">
              <w:rPr>
                <w:lang w:val="it-IT"/>
              </w:rPr>
              <w:t>ituația existentă – fiind prezentate datele socio-economice și datele privind generarea și gestionarea deșeurilor pentru fiecare dintre fluxurile de deșeuri care fac obiectul planificării;</w:t>
            </w:r>
          </w:p>
          <w:p w14:paraId="162CCECE" w14:textId="77777777" w:rsidR="00EF6C3B" w:rsidRPr="00BD4271" w:rsidRDefault="00EF6C3B" w:rsidP="00EF6C3B">
            <w:pPr>
              <w:numPr>
                <w:ilvl w:val="0"/>
                <w:numId w:val="82"/>
              </w:numPr>
              <w:jc w:val="both"/>
              <w:rPr>
                <w:lang w:val="it-IT"/>
              </w:rPr>
            </w:pPr>
            <w:r w:rsidRPr="00BD4271">
              <w:rPr>
                <w:lang w:val="it-IT"/>
              </w:rPr>
              <w:lastRenderedPageBreak/>
              <w:t>o secțiune (III) privind planificarea gestionării deșeurilor  – sunt prezentate ipotezele privind planificarea, proiecția socio-economică și proiecția deșeurilor, analiza alternativelor de gestionare a deșeurilor municipale, descrierea alternativei selectate și planul de acțiune;</w:t>
            </w:r>
          </w:p>
          <w:p w14:paraId="500662B1" w14:textId="77777777" w:rsidR="00EF6C3B" w:rsidRPr="00BD4271" w:rsidRDefault="00EF6C3B" w:rsidP="00EF6C3B">
            <w:pPr>
              <w:numPr>
                <w:ilvl w:val="0"/>
                <w:numId w:val="82"/>
              </w:numPr>
              <w:jc w:val="both"/>
              <w:rPr>
                <w:b/>
                <w:i/>
                <w:lang w:val="it-IT"/>
              </w:rPr>
            </w:pPr>
            <w:r w:rsidRPr="00BD4271">
              <w:rPr>
                <w:lang w:val="it-IT"/>
              </w:rPr>
              <w:t xml:space="preserve">o secțiune (V) privind  Programul național de prevenire a generării deșeurilor – fiind prezentată situația actuală privind prevenirea generării deșeurilor, </w:t>
            </w:r>
            <w:r w:rsidRPr="00BD4271">
              <w:rPr>
                <w:lang w:val="it-IT"/>
              </w:rPr>
              <w:lastRenderedPageBreak/>
              <w:t>prioritățile și direcțiile strategice, măsurile de prevenire a generării deșeurilor propuse și modalitățile de verificare a aplicării măsurilor.</w:t>
            </w:r>
          </w:p>
          <w:p w14:paraId="20050070" w14:textId="77777777" w:rsidR="00EF6C3B" w:rsidRPr="00BD4271" w:rsidRDefault="00EF6C3B" w:rsidP="00EF6C3B">
            <w:pPr>
              <w:jc w:val="both"/>
            </w:pPr>
            <w:r w:rsidRPr="00BD4271">
              <w:t>La secțiunea III.5 din PNGD este prezentată alternativa aleasă pentru gestionarea deșeurilor municipale în România, fiind menționate explicit instalațiile care urmează a fi închise și noile inves</w:t>
            </w:r>
            <w:r>
              <w:t>t</w:t>
            </w:r>
            <w:r w:rsidRPr="00BD4271">
              <w:t>iții necesare. De asemenea, sunt identificate sursele de venituri pentru acoperirea costurilor de exploatare și de întreținere.</w:t>
            </w:r>
          </w:p>
          <w:p w14:paraId="2734548E" w14:textId="6058C4B0" w:rsidR="00EF6C3B" w:rsidRPr="001552C0" w:rsidRDefault="00EF6C3B" w:rsidP="00EF6C3B">
            <w:pPr>
              <w:spacing w:before="120" w:after="120"/>
              <w:rPr>
                <w:rFonts w:ascii="Times New Roman" w:eastAsia="Times New Roman" w:hAnsi="Times New Roman" w:cs="Times New Roman"/>
                <w:iCs/>
                <w:noProof/>
                <w:sz w:val="20"/>
              </w:rPr>
            </w:pPr>
          </w:p>
        </w:tc>
      </w:tr>
      <w:tr w:rsidR="00EF6C3B" w:rsidRPr="001552C0" w14:paraId="6F7867D2" w14:textId="77777777" w:rsidTr="006D49B0">
        <w:tc>
          <w:tcPr>
            <w:tcW w:w="1416" w:type="dxa"/>
            <w:tcBorders>
              <w:top w:val="single" w:sz="4" w:space="0" w:color="auto"/>
              <w:left w:val="single" w:sz="4" w:space="0" w:color="auto"/>
              <w:bottom w:val="single" w:sz="4" w:space="0" w:color="auto"/>
              <w:right w:val="single" w:sz="4" w:space="0" w:color="auto"/>
            </w:tcBorders>
          </w:tcPr>
          <w:p w14:paraId="5E8D1DF6"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66C35209"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6E2F2425"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218A8978"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637" w:type="dxa"/>
            <w:vMerge/>
            <w:tcBorders>
              <w:left w:val="single" w:sz="4" w:space="0" w:color="auto"/>
              <w:right w:val="single" w:sz="4" w:space="0" w:color="auto"/>
            </w:tcBorders>
          </w:tcPr>
          <w:p w14:paraId="5AC874F8" w14:textId="7756ADBE" w:rsidR="00EF6C3B" w:rsidRPr="001552C0" w:rsidRDefault="00EF6C3B" w:rsidP="001A17A2">
            <w:pPr>
              <w:spacing w:before="120" w:after="120"/>
              <w:rPr>
                <w:rFonts w:eastAsia="Times New Roman" w:cs="Times New Roman"/>
                <w:iCs/>
                <w:noProof/>
              </w:rPr>
            </w:pPr>
          </w:p>
        </w:tc>
        <w:tc>
          <w:tcPr>
            <w:tcW w:w="1156" w:type="dxa"/>
            <w:vMerge/>
            <w:tcBorders>
              <w:left w:val="single" w:sz="4" w:space="0" w:color="auto"/>
              <w:right w:val="single" w:sz="4" w:space="0" w:color="auto"/>
            </w:tcBorders>
          </w:tcPr>
          <w:p w14:paraId="573C26A8"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3173" w:type="dxa"/>
            <w:vMerge/>
            <w:tcBorders>
              <w:left w:val="single" w:sz="4" w:space="0" w:color="auto"/>
              <w:right w:val="single" w:sz="4" w:space="0" w:color="auto"/>
            </w:tcBorders>
          </w:tcPr>
          <w:p w14:paraId="39A3EFB2"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2716" w:type="dxa"/>
            <w:vMerge/>
            <w:tcBorders>
              <w:left w:val="single" w:sz="4" w:space="0" w:color="auto"/>
              <w:right w:val="single" w:sz="4" w:space="0" w:color="auto"/>
            </w:tcBorders>
          </w:tcPr>
          <w:p w14:paraId="612F5262" w14:textId="77777777" w:rsidR="00EF6C3B" w:rsidRPr="001552C0" w:rsidRDefault="00EF6C3B" w:rsidP="001A17A2">
            <w:pPr>
              <w:spacing w:before="120" w:after="120"/>
              <w:rPr>
                <w:rFonts w:ascii="Times New Roman" w:eastAsia="Times New Roman" w:hAnsi="Times New Roman" w:cs="Times New Roman"/>
                <w:iCs/>
                <w:noProof/>
                <w:sz w:val="20"/>
              </w:rPr>
            </w:pPr>
          </w:p>
        </w:tc>
      </w:tr>
      <w:tr w:rsidR="00EF6C3B" w:rsidRPr="001552C0" w14:paraId="5884408A" w14:textId="77777777" w:rsidTr="006D49B0">
        <w:tc>
          <w:tcPr>
            <w:tcW w:w="1416" w:type="dxa"/>
            <w:tcBorders>
              <w:top w:val="single" w:sz="4" w:space="0" w:color="auto"/>
              <w:left w:val="single" w:sz="4" w:space="0" w:color="auto"/>
              <w:bottom w:val="single" w:sz="4" w:space="0" w:color="auto"/>
              <w:right w:val="single" w:sz="4" w:space="0" w:color="auto"/>
            </w:tcBorders>
          </w:tcPr>
          <w:p w14:paraId="6B76601F"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37527548"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716A13E9"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0D8AB9CC"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1637" w:type="dxa"/>
            <w:vMerge/>
            <w:tcBorders>
              <w:left w:val="single" w:sz="4" w:space="0" w:color="auto"/>
              <w:bottom w:val="single" w:sz="4" w:space="0" w:color="auto"/>
              <w:right w:val="single" w:sz="4" w:space="0" w:color="auto"/>
            </w:tcBorders>
          </w:tcPr>
          <w:p w14:paraId="1E068D2B" w14:textId="625C12F0" w:rsidR="00EF6C3B" w:rsidRPr="001552C0" w:rsidRDefault="00EF6C3B" w:rsidP="001A17A2">
            <w:pPr>
              <w:spacing w:before="120" w:after="120"/>
              <w:rPr>
                <w:rFonts w:eastAsia="Times New Roman" w:cs="Times New Roman"/>
                <w:iCs/>
                <w:noProof/>
              </w:rPr>
            </w:pPr>
          </w:p>
        </w:tc>
        <w:tc>
          <w:tcPr>
            <w:tcW w:w="1156" w:type="dxa"/>
            <w:vMerge/>
            <w:tcBorders>
              <w:left w:val="single" w:sz="4" w:space="0" w:color="auto"/>
              <w:bottom w:val="single" w:sz="4" w:space="0" w:color="auto"/>
              <w:right w:val="single" w:sz="4" w:space="0" w:color="auto"/>
            </w:tcBorders>
          </w:tcPr>
          <w:p w14:paraId="7C627E16"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3173" w:type="dxa"/>
            <w:vMerge/>
            <w:tcBorders>
              <w:left w:val="single" w:sz="4" w:space="0" w:color="auto"/>
              <w:bottom w:val="single" w:sz="4" w:space="0" w:color="auto"/>
              <w:right w:val="single" w:sz="4" w:space="0" w:color="auto"/>
            </w:tcBorders>
          </w:tcPr>
          <w:p w14:paraId="698C1F88" w14:textId="77777777" w:rsidR="00EF6C3B" w:rsidRPr="001552C0" w:rsidRDefault="00EF6C3B" w:rsidP="001A17A2">
            <w:pPr>
              <w:spacing w:before="120" w:after="120"/>
              <w:rPr>
                <w:rFonts w:ascii="Times New Roman" w:eastAsia="Times New Roman" w:hAnsi="Times New Roman" w:cs="Times New Roman"/>
                <w:iCs/>
                <w:noProof/>
                <w:sz w:val="20"/>
              </w:rPr>
            </w:pPr>
          </w:p>
        </w:tc>
        <w:tc>
          <w:tcPr>
            <w:tcW w:w="2716" w:type="dxa"/>
            <w:vMerge/>
            <w:tcBorders>
              <w:left w:val="single" w:sz="4" w:space="0" w:color="auto"/>
              <w:bottom w:val="single" w:sz="4" w:space="0" w:color="auto"/>
              <w:right w:val="single" w:sz="4" w:space="0" w:color="auto"/>
            </w:tcBorders>
          </w:tcPr>
          <w:p w14:paraId="3FA282E4" w14:textId="77777777" w:rsidR="00EF6C3B" w:rsidRPr="001552C0" w:rsidRDefault="00EF6C3B" w:rsidP="001A17A2">
            <w:pPr>
              <w:spacing w:before="120" w:after="120"/>
              <w:rPr>
                <w:rFonts w:ascii="Times New Roman" w:eastAsia="Times New Roman" w:hAnsi="Times New Roman" w:cs="Times New Roman"/>
                <w:iCs/>
                <w:noProof/>
                <w:sz w:val="20"/>
              </w:rPr>
            </w:pPr>
          </w:p>
        </w:tc>
      </w:tr>
      <w:tr w:rsidR="0062719B" w:rsidRPr="001552C0" w14:paraId="5ED14A16" w14:textId="77777777" w:rsidTr="006D49B0">
        <w:tc>
          <w:tcPr>
            <w:tcW w:w="1416" w:type="dxa"/>
            <w:tcBorders>
              <w:top w:val="single" w:sz="4" w:space="0" w:color="auto"/>
              <w:left w:val="single" w:sz="4" w:space="0" w:color="auto"/>
              <w:bottom w:val="single" w:sz="4" w:space="0" w:color="auto"/>
              <w:right w:val="single" w:sz="4" w:space="0" w:color="auto"/>
            </w:tcBorders>
          </w:tcPr>
          <w:p w14:paraId="62A72036"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408BA8C2"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48D5FEF5"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54A2C6BB"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03AEE9F3" w14:textId="38EC83A6" w:rsidR="0082345A" w:rsidRPr="001552C0" w:rsidRDefault="0082345A" w:rsidP="001A17A2">
            <w:pPr>
              <w:spacing w:before="120" w:after="120"/>
              <w:rPr>
                <w:rFonts w:eastAsia="Times New Roman" w:cs="Times New Roman"/>
                <w:iCs/>
                <w:noProof/>
              </w:rPr>
            </w:pPr>
            <w:r w:rsidRPr="001552C0">
              <w:rPr>
                <w:rFonts w:eastAsia="Times New Roman" w:cs="Times New Roman"/>
                <w:iCs/>
                <w:noProof/>
              </w:rPr>
              <w:t>4.Informații privind modul în care vor fi determinate locațiile viitoare ale siturilor și capacitatea viitoarelor instalații de tratare a deșeurilor</w:t>
            </w:r>
          </w:p>
        </w:tc>
        <w:tc>
          <w:tcPr>
            <w:tcW w:w="1156" w:type="dxa"/>
            <w:tcBorders>
              <w:top w:val="single" w:sz="4" w:space="0" w:color="auto"/>
              <w:left w:val="single" w:sz="4" w:space="0" w:color="auto"/>
              <w:bottom w:val="single" w:sz="4" w:space="0" w:color="auto"/>
              <w:right w:val="single" w:sz="4" w:space="0" w:color="auto"/>
            </w:tcBorders>
          </w:tcPr>
          <w:p w14:paraId="6851C5F9"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2424D23A" w14:textId="77777777" w:rsidR="0082345A" w:rsidRPr="001552C0" w:rsidRDefault="0082345A" w:rsidP="001A17A2">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1857852B" w14:textId="77777777" w:rsidR="0062719B" w:rsidRPr="0062719B" w:rsidRDefault="0062719B" w:rsidP="0062719B">
            <w:pPr>
              <w:spacing w:before="120" w:after="120"/>
              <w:rPr>
                <w:rFonts w:ascii="Times New Roman" w:eastAsia="Times New Roman" w:hAnsi="Times New Roman" w:cs="Times New Roman"/>
                <w:iCs/>
                <w:noProof/>
                <w:sz w:val="20"/>
              </w:rPr>
            </w:pPr>
            <w:r w:rsidRPr="0062719B">
              <w:rPr>
                <w:rFonts w:ascii="Times New Roman" w:eastAsia="Times New Roman" w:hAnsi="Times New Roman" w:cs="Times New Roman"/>
                <w:iCs/>
                <w:noProof/>
                <w:sz w:val="20"/>
              </w:rPr>
              <w:t>La secțiunea III.5 din PNGD sunt prezentate investițiile noi estimate la nivel de județ/Municipiul București, cu evidențierea instalațiilor care urmează a deservi numai un județ sau mai multe județe, în tabelul III-29 fiind menționate investiții propuse la nivel de județ.</w:t>
            </w:r>
          </w:p>
          <w:p w14:paraId="33A1BCB5" w14:textId="5583C2CE" w:rsidR="0082345A" w:rsidRPr="001552C0" w:rsidRDefault="0062719B" w:rsidP="0062719B">
            <w:pPr>
              <w:spacing w:before="120" w:after="120"/>
              <w:rPr>
                <w:rFonts w:ascii="Times New Roman" w:eastAsia="Times New Roman" w:hAnsi="Times New Roman" w:cs="Times New Roman"/>
                <w:iCs/>
                <w:noProof/>
                <w:sz w:val="20"/>
              </w:rPr>
            </w:pPr>
            <w:r>
              <w:rPr>
                <w:rFonts w:ascii="Times New Roman" w:eastAsia="Times New Roman" w:hAnsi="Times New Roman" w:cs="Times New Roman"/>
                <w:iCs/>
                <w:noProof/>
                <w:sz w:val="20"/>
              </w:rPr>
              <w:t>Prin proiect AT</w:t>
            </w:r>
            <w:r w:rsidRPr="0062719B">
              <w:rPr>
                <w:rFonts w:ascii="Times New Roman" w:eastAsia="Times New Roman" w:hAnsi="Times New Roman" w:cs="Times New Roman"/>
                <w:iCs/>
                <w:noProof/>
                <w:sz w:val="20"/>
              </w:rPr>
              <w:t xml:space="preserve"> a fost elaborat cadrul metodologic pentru elaborarea PJGD. Planurile județene pentru gestionarea deșeurilor (PJGD) detaliază investițiile la nivel de județ.</w:t>
            </w:r>
            <w:r>
              <w:rPr>
                <w:rFonts w:ascii="Times New Roman" w:eastAsia="Times New Roman" w:hAnsi="Times New Roman" w:cs="Times New Roman"/>
                <w:iCs/>
                <w:noProof/>
                <w:sz w:val="20"/>
              </w:rPr>
              <w:t xml:space="preserve"> </w:t>
            </w:r>
            <w:r w:rsidRPr="0062719B">
              <w:rPr>
                <w:rFonts w:ascii="Times New Roman" w:eastAsia="Times New Roman" w:hAnsi="Times New Roman" w:cs="Times New Roman"/>
                <w:iCs/>
                <w:noProof/>
                <w:sz w:val="20"/>
              </w:rPr>
              <w:t>Elaborarea și adoptarea PJGD</w:t>
            </w:r>
            <w:r w:rsidR="009C0007">
              <w:rPr>
                <w:rFonts w:ascii="Times New Roman" w:eastAsia="Times New Roman" w:hAnsi="Times New Roman" w:cs="Times New Roman"/>
                <w:iCs/>
                <w:noProof/>
                <w:sz w:val="20"/>
              </w:rPr>
              <w:t>.</w:t>
            </w:r>
          </w:p>
        </w:tc>
      </w:tr>
      <w:tr w:rsidR="006D49B0" w:rsidRPr="00400393" w14:paraId="1EB7F28B"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38897E4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Mecanisme eficiente de monitorizare a pieţei achiziţiilor publice</w:t>
            </w:r>
          </w:p>
        </w:tc>
        <w:tc>
          <w:tcPr>
            <w:tcW w:w="1399" w:type="dxa"/>
            <w:tcBorders>
              <w:top w:val="single" w:sz="4" w:space="0" w:color="auto"/>
              <w:left w:val="single" w:sz="4" w:space="0" w:color="auto"/>
              <w:bottom w:val="single" w:sz="4" w:space="0" w:color="auto"/>
              <w:right w:val="single" w:sz="4" w:space="0" w:color="auto"/>
            </w:tcBorders>
          </w:tcPr>
          <w:p w14:paraId="0DBE82A6"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60A6E2C2"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NA</w:t>
            </w:r>
          </w:p>
        </w:tc>
        <w:tc>
          <w:tcPr>
            <w:tcW w:w="1156" w:type="dxa"/>
            <w:tcBorders>
              <w:top w:val="single" w:sz="4" w:space="0" w:color="auto"/>
              <w:left w:val="single" w:sz="4" w:space="0" w:color="auto"/>
              <w:bottom w:val="single" w:sz="4" w:space="0" w:color="auto"/>
              <w:right w:val="single" w:sz="4" w:space="0" w:color="auto"/>
            </w:tcBorders>
          </w:tcPr>
          <w:p w14:paraId="7D561F1D"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Yes/No</w:t>
            </w:r>
          </w:p>
        </w:tc>
        <w:tc>
          <w:tcPr>
            <w:tcW w:w="1637" w:type="dxa"/>
            <w:tcBorders>
              <w:top w:val="single" w:sz="4" w:space="0" w:color="auto"/>
              <w:left w:val="single" w:sz="4" w:space="0" w:color="auto"/>
              <w:bottom w:val="single" w:sz="4" w:space="0" w:color="auto"/>
              <w:right w:val="single" w:sz="4" w:space="0" w:color="auto"/>
            </w:tcBorders>
          </w:tcPr>
          <w:p w14:paraId="6BF4984A"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Există mecanisme de monitorizare care acoperă toate contractele de achiziţie din fonduri, în acord cu legislaţia UE privind achiziţiile. Această cerinţă include:</w:t>
            </w:r>
          </w:p>
          <w:p w14:paraId="2183395C"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1.Măsuri care să asigurare culegerea şi prelucrarea de date eficiente şi corecte privind procedurile de achiziţii peste pragurile UE în acord cu obligaţiile de raportare prevăzute la Art.83 şi 84 din </w:t>
            </w:r>
            <w:r w:rsidRPr="006D49B0">
              <w:rPr>
                <w:rFonts w:eastAsia="Times New Roman" w:cs="Times New Roman"/>
                <w:iCs/>
                <w:noProof/>
              </w:rPr>
              <w:lastRenderedPageBreak/>
              <w:t xml:space="preserve">Directiva 2014/24/EU şi Art.99 şi 100 din Directiva 2014/25/EU.  </w:t>
            </w:r>
          </w:p>
        </w:tc>
        <w:tc>
          <w:tcPr>
            <w:tcW w:w="1156" w:type="dxa"/>
            <w:tcBorders>
              <w:top w:val="single" w:sz="4" w:space="0" w:color="auto"/>
              <w:left w:val="single" w:sz="4" w:space="0" w:color="auto"/>
              <w:bottom w:val="single" w:sz="4" w:space="0" w:color="auto"/>
              <w:right w:val="single" w:sz="4" w:space="0" w:color="auto"/>
            </w:tcBorders>
          </w:tcPr>
          <w:p w14:paraId="423C363E"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Y</w:t>
            </w:r>
          </w:p>
        </w:tc>
        <w:tc>
          <w:tcPr>
            <w:tcW w:w="3173" w:type="dxa"/>
            <w:tcBorders>
              <w:top w:val="single" w:sz="4" w:space="0" w:color="auto"/>
              <w:left w:val="single" w:sz="4" w:space="0" w:color="auto"/>
              <w:bottom w:val="single" w:sz="4" w:space="0" w:color="auto"/>
              <w:right w:val="single" w:sz="4" w:space="0" w:color="auto"/>
            </w:tcBorders>
          </w:tcPr>
          <w:p w14:paraId="1AF9CEBA"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[500]</w:t>
            </w:r>
          </w:p>
          <w:p w14:paraId="7C7C861D" w14:textId="77777777" w:rsidR="006D49B0" w:rsidRPr="006D49B0" w:rsidRDefault="006D49B0" w:rsidP="006D49B0">
            <w:pPr>
              <w:spacing w:before="120" w:after="120"/>
              <w:rPr>
                <w:rFonts w:ascii="Times New Roman" w:eastAsia="Times New Roman" w:hAnsi="Times New Roman" w:cs="Times New Roman"/>
                <w:iCs/>
                <w:noProof/>
                <w:sz w:val="20"/>
              </w:rPr>
            </w:pPr>
          </w:p>
          <w:p w14:paraId="503210DA" w14:textId="77777777" w:rsidR="006D49B0" w:rsidRPr="006D49B0" w:rsidRDefault="006D49B0" w:rsidP="006D49B0">
            <w:pPr>
              <w:spacing w:before="120" w:after="120"/>
              <w:rPr>
                <w:rFonts w:ascii="Times New Roman" w:eastAsia="Times New Roman" w:hAnsi="Times New Roman" w:cs="Times New Roman"/>
                <w:iCs/>
                <w:noProof/>
                <w:sz w:val="20"/>
              </w:rPr>
            </w:pPr>
          </w:p>
          <w:p w14:paraId="2BBD60E0" w14:textId="77777777" w:rsidR="006D49B0" w:rsidRPr="006D49B0" w:rsidRDefault="006D49B0" w:rsidP="006D49B0">
            <w:pPr>
              <w:spacing w:before="120" w:after="120"/>
              <w:rPr>
                <w:rFonts w:ascii="Times New Roman" w:eastAsia="Times New Roman" w:hAnsi="Times New Roman" w:cs="Times New Roman"/>
                <w:iCs/>
                <w:noProof/>
                <w:sz w:val="20"/>
              </w:rPr>
            </w:pPr>
          </w:p>
          <w:p w14:paraId="1B3A3783" w14:textId="77777777" w:rsidR="006D49B0" w:rsidRPr="006D49B0" w:rsidRDefault="006D49B0" w:rsidP="006D49B0">
            <w:pPr>
              <w:spacing w:before="120" w:after="120"/>
              <w:rPr>
                <w:rFonts w:ascii="Times New Roman" w:eastAsia="Times New Roman" w:hAnsi="Times New Roman" w:cs="Times New Roman"/>
                <w:iCs/>
                <w:noProof/>
                <w:sz w:val="20"/>
              </w:rPr>
            </w:pPr>
          </w:p>
          <w:p w14:paraId="237050AB" w14:textId="77777777" w:rsidR="006D49B0" w:rsidRPr="006D49B0" w:rsidRDefault="006D49B0" w:rsidP="006D49B0">
            <w:pPr>
              <w:spacing w:before="120" w:after="120"/>
              <w:rPr>
                <w:rFonts w:ascii="Times New Roman" w:eastAsia="Times New Roman" w:hAnsi="Times New Roman" w:cs="Times New Roman"/>
                <w:iCs/>
                <w:noProof/>
                <w:sz w:val="20"/>
              </w:rPr>
            </w:pPr>
          </w:p>
          <w:p w14:paraId="26D36CD1" w14:textId="77777777" w:rsidR="006D49B0" w:rsidRPr="006D49B0" w:rsidRDefault="006D49B0" w:rsidP="006D49B0">
            <w:pPr>
              <w:spacing w:before="120" w:after="120"/>
              <w:rPr>
                <w:rFonts w:ascii="Times New Roman" w:eastAsia="Times New Roman" w:hAnsi="Times New Roman" w:cs="Times New Roman"/>
                <w:iCs/>
                <w:noProof/>
                <w:sz w:val="20"/>
              </w:rPr>
            </w:pPr>
          </w:p>
          <w:p w14:paraId="18024659" w14:textId="77777777" w:rsidR="006D49B0" w:rsidRPr="006D49B0" w:rsidRDefault="006D49B0" w:rsidP="006D49B0">
            <w:pPr>
              <w:spacing w:before="120" w:after="120"/>
              <w:rPr>
                <w:rFonts w:ascii="Times New Roman" w:eastAsia="Times New Roman" w:hAnsi="Times New Roman" w:cs="Times New Roman"/>
                <w:iCs/>
                <w:noProof/>
                <w:sz w:val="20"/>
              </w:rPr>
            </w:pPr>
          </w:p>
          <w:p w14:paraId="2A51958E" w14:textId="77777777" w:rsidR="006D49B0" w:rsidRPr="006D49B0" w:rsidRDefault="006D49B0" w:rsidP="006D49B0">
            <w:pPr>
              <w:spacing w:before="120" w:after="120"/>
              <w:rPr>
                <w:rFonts w:ascii="Times New Roman" w:eastAsia="Times New Roman" w:hAnsi="Times New Roman" w:cs="Times New Roman"/>
                <w:iCs/>
                <w:noProof/>
                <w:sz w:val="20"/>
              </w:rPr>
            </w:pPr>
          </w:p>
          <w:p w14:paraId="16E33E88"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HG 901/2015</w:t>
            </w:r>
          </w:p>
          <w:p w14:paraId="26E2A7FF"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OUG nr. 13/2015</w:t>
            </w:r>
          </w:p>
          <w:p w14:paraId="6053AB24"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OUG nr. 68/2019</w:t>
            </w:r>
          </w:p>
          <w:p w14:paraId="04D96530"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230BA580"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[1 000]</w:t>
            </w:r>
          </w:p>
          <w:p w14:paraId="10D8E8C8" w14:textId="77777777" w:rsidR="006D49B0" w:rsidRPr="006D49B0" w:rsidRDefault="006D49B0" w:rsidP="006D49B0">
            <w:pPr>
              <w:spacing w:before="120" w:after="120"/>
              <w:rPr>
                <w:rFonts w:ascii="Times New Roman" w:eastAsia="Times New Roman" w:hAnsi="Times New Roman" w:cs="Times New Roman"/>
                <w:iCs/>
                <w:noProof/>
                <w:sz w:val="20"/>
              </w:rPr>
            </w:pPr>
          </w:p>
          <w:p w14:paraId="6C670CDB" w14:textId="77777777" w:rsidR="006D49B0" w:rsidRPr="006D49B0" w:rsidRDefault="006D49B0" w:rsidP="006D49B0">
            <w:pPr>
              <w:spacing w:before="120" w:after="120"/>
              <w:rPr>
                <w:rFonts w:ascii="Times New Roman" w:eastAsia="Times New Roman" w:hAnsi="Times New Roman" w:cs="Times New Roman"/>
                <w:iCs/>
                <w:noProof/>
                <w:sz w:val="20"/>
              </w:rPr>
            </w:pPr>
          </w:p>
          <w:p w14:paraId="48652358" w14:textId="77777777" w:rsidR="006D49B0" w:rsidRPr="006D49B0" w:rsidRDefault="006D49B0" w:rsidP="006D49B0">
            <w:pPr>
              <w:spacing w:before="120" w:after="120"/>
              <w:rPr>
                <w:rFonts w:ascii="Times New Roman" w:eastAsia="Times New Roman" w:hAnsi="Times New Roman" w:cs="Times New Roman"/>
                <w:iCs/>
                <w:noProof/>
                <w:sz w:val="20"/>
              </w:rPr>
            </w:pPr>
          </w:p>
          <w:p w14:paraId="6B09D57C" w14:textId="77777777" w:rsidR="006D49B0" w:rsidRPr="006D49B0" w:rsidRDefault="006D49B0" w:rsidP="006D49B0">
            <w:pPr>
              <w:spacing w:before="120" w:after="120"/>
              <w:rPr>
                <w:rFonts w:ascii="Times New Roman" w:eastAsia="Times New Roman" w:hAnsi="Times New Roman" w:cs="Times New Roman"/>
                <w:iCs/>
                <w:noProof/>
                <w:sz w:val="20"/>
              </w:rPr>
            </w:pPr>
          </w:p>
          <w:p w14:paraId="734FF32D" w14:textId="77777777" w:rsidR="006D49B0" w:rsidRPr="006D49B0" w:rsidRDefault="006D49B0" w:rsidP="006D49B0">
            <w:pPr>
              <w:spacing w:before="120" w:after="120"/>
              <w:rPr>
                <w:rFonts w:ascii="Times New Roman" w:eastAsia="Times New Roman" w:hAnsi="Times New Roman" w:cs="Times New Roman"/>
                <w:iCs/>
                <w:noProof/>
                <w:sz w:val="20"/>
              </w:rPr>
            </w:pPr>
          </w:p>
          <w:p w14:paraId="5D30EC39" w14:textId="77777777" w:rsidR="006D49B0" w:rsidRPr="006D49B0" w:rsidRDefault="006D49B0" w:rsidP="006D49B0">
            <w:pPr>
              <w:spacing w:before="120" w:after="120"/>
              <w:rPr>
                <w:rFonts w:ascii="Times New Roman" w:eastAsia="Times New Roman" w:hAnsi="Times New Roman" w:cs="Times New Roman"/>
                <w:iCs/>
                <w:noProof/>
                <w:sz w:val="20"/>
              </w:rPr>
            </w:pPr>
          </w:p>
          <w:p w14:paraId="38E32FAF" w14:textId="77777777" w:rsidR="006D49B0" w:rsidRPr="006D49B0" w:rsidRDefault="006D49B0" w:rsidP="006D49B0">
            <w:pPr>
              <w:spacing w:before="120" w:after="120"/>
              <w:rPr>
                <w:rFonts w:ascii="Times New Roman" w:eastAsia="Times New Roman" w:hAnsi="Times New Roman" w:cs="Times New Roman"/>
                <w:iCs/>
                <w:noProof/>
                <w:sz w:val="20"/>
              </w:rPr>
            </w:pPr>
          </w:p>
          <w:p w14:paraId="7EA91267" w14:textId="77777777" w:rsidR="006D49B0" w:rsidRPr="006D49B0" w:rsidRDefault="006D49B0" w:rsidP="006D49B0">
            <w:pPr>
              <w:spacing w:before="120" w:after="120"/>
              <w:rPr>
                <w:rFonts w:ascii="Times New Roman" w:eastAsia="Times New Roman" w:hAnsi="Times New Roman" w:cs="Times New Roman"/>
                <w:iCs/>
                <w:noProof/>
                <w:sz w:val="20"/>
              </w:rPr>
            </w:pPr>
          </w:p>
          <w:p w14:paraId="373404B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Agenția Națională pentru Achiziții Publice (ANAP) exercită funcția de monitorizare a sistemului național de achiziţii publice, prin: </w:t>
            </w:r>
          </w:p>
          <w:p w14:paraId="61A5875E"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-prelucrarea periodică a datelor și informaţiilor privind toate procedurile de achiziție în Sistemul Electronic de Achiziții Publice (SEAP) de către autoritățile/entitățile contractante, conform obligațiilor legale</w:t>
            </w:r>
          </w:p>
          <w:p w14:paraId="26470568"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-prelucrarea datelor privind decizii ale Consiliului Național pentru Soluționarea Contestațiilor (CNSC) și ale Curților de apel</w:t>
            </w:r>
          </w:p>
          <w:p w14:paraId="0DA71B9C"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-calcularea de indicatori de performanță relevanţi şi măsurabili</w:t>
            </w:r>
          </w:p>
          <w:p w14:paraId="5EDAE552"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-elaborarea de rapoarte și situații, conform obligațiilor de raportare prevăzute în directive și legislația națională.</w:t>
            </w:r>
          </w:p>
          <w:p w14:paraId="0E9C56BB"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Datele și informațiile monitorizate sunt publicate periodic, pentru transparență și informare publică, pe site-ul instituției </w:t>
            </w:r>
            <w:hyperlink r:id="rId17" w:history="1">
              <w:r w:rsidRPr="006D49B0">
                <w:rPr>
                  <w:rStyle w:val="Hyperlink"/>
                  <w:rFonts w:ascii="Times New Roman" w:eastAsia="Times New Roman" w:hAnsi="Times New Roman" w:cs="Times New Roman"/>
                  <w:iCs/>
                  <w:noProof/>
                  <w:sz w:val="20"/>
                </w:rPr>
                <w:t>http://anap.gov.ro/web/analize-si-rapoarte-statistice/?future=false</w:t>
              </w:r>
            </w:hyperlink>
            <w:r w:rsidRPr="006D49B0">
              <w:rPr>
                <w:rFonts w:ascii="Times New Roman" w:eastAsia="Times New Roman" w:hAnsi="Times New Roman" w:cs="Times New Roman"/>
                <w:iCs/>
                <w:noProof/>
                <w:sz w:val="20"/>
              </w:rPr>
              <w:t xml:space="preserve"> și au în vedere: mărimea și caracteristicile pieței, intensitatea concurenței, activitatea economică, eficiența achizițiilor publice, eventuale situații de comportament necorespunzător/nereguli.</w:t>
            </w:r>
          </w:p>
        </w:tc>
      </w:tr>
      <w:tr w:rsidR="006D49B0" w:rsidRPr="001223D7" w14:paraId="4F80EB1C"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11E0713A"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6A64706B"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2A39BB79"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03D9DB71"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57C4204B"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2.Măsuri care să asigure că datele acoperă cel puţin următoarele elemente:</w:t>
            </w:r>
          </w:p>
          <w:p w14:paraId="1A17B776"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a.Calitatea şi </w:t>
            </w:r>
            <w:r w:rsidRPr="006D49B0">
              <w:rPr>
                <w:rFonts w:eastAsia="Times New Roman" w:cs="Times New Roman"/>
                <w:iCs/>
                <w:noProof/>
              </w:rPr>
              <w:lastRenderedPageBreak/>
              <w:t>intensitatea concurenţei: numele ofertanţilor câştigători, numărul ofertanţilor iniţiali şi valoarea contractuală</w:t>
            </w:r>
          </w:p>
          <w:p w14:paraId="1AE5F805" w14:textId="77777777" w:rsidR="006D49B0" w:rsidRPr="006D49B0" w:rsidRDefault="006D49B0" w:rsidP="006D49B0">
            <w:pPr>
              <w:spacing w:before="120" w:after="120"/>
              <w:rPr>
                <w:rFonts w:eastAsia="Times New Roman" w:cs="Times New Roman"/>
                <w:iCs/>
                <w:noProof/>
              </w:rPr>
            </w:pPr>
          </w:p>
          <w:p w14:paraId="03689C9B" w14:textId="77777777" w:rsidR="006D49B0" w:rsidRPr="006D49B0" w:rsidRDefault="006D49B0" w:rsidP="006D49B0">
            <w:pPr>
              <w:spacing w:before="120" w:after="120"/>
              <w:rPr>
                <w:rFonts w:eastAsia="Times New Roman" w:cs="Times New Roman"/>
                <w:iCs/>
                <w:noProof/>
              </w:rPr>
            </w:pPr>
          </w:p>
          <w:p w14:paraId="5F4C900B" w14:textId="77777777" w:rsidR="006D49B0" w:rsidRPr="006D49B0" w:rsidRDefault="006D49B0" w:rsidP="006D49B0">
            <w:pPr>
              <w:spacing w:before="120" w:after="120"/>
              <w:rPr>
                <w:rFonts w:eastAsia="Times New Roman" w:cs="Times New Roman"/>
                <w:iCs/>
                <w:noProof/>
              </w:rPr>
            </w:pPr>
          </w:p>
          <w:p w14:paraId="173ED682" w14:textId="77777777" w:rsidR="006D49B0" w:rsidRPr="006D49B0" w:rsidRDefault="006D49B0" w:rsidP="006D49B0">
            <w:pPr>
              <w:spacing w:before="120" w:after="120"/>
              <w:rPr>
                <w:rFonts w:eastAsia="Times New Roman" w:cs="Times New Roman"/>
                <w:iCs/>
                <w:noProof/>
              </w:rPr>
            </w:pPr>
          </w:p>
          <w:p w14:paraId="60B7EAE7" w14:textId="77777777" w:rsidR="006D49B0" w:rsidRPr="006D49B0" w:rsidRDefault="006D49B0" w:rsidP="006D49B0">
            <w:pPr>
              <w:spacing w:before="120" w:after="120"/>
              <w:rPr>
                <w:rFonts w:eastAsia="Times New Roman" w:cs="Times New Roman"/>
                <w:iCs/>
                <w:noProof/>
              </w:rPr>
            </w:pPr>
          </w:p>
          <w:p w14:paraId="0ABB8A2B" w14:textId="77777777" w:rsidR="006D49B0" w:rsidRPr="006D49B0" w:rsidRDefault="006D49B0" w:rsidP="006D49B0">
            <w:pPr>
              <w:spacing w:before="120" w:after="120"/>
              <w:rPr>
                <w:rFonts w:eastAsia="Times New Roman" w:cs="Times New Roman"/>
                <w:iCs/>
                <w:noProof/>
              </w:rPr>
            </w:pPr>
          </w:p>
          <w:p w14:paraId="57B05CD3" w14:textId="77777777" w:rsidR="006D49B0" w:rsidRPr="006D49B0" w:rsidRDefault="006D49B0" w:rsidP="006D49B0">
            <w:pPr>
              <w:spacing w:before="120" w:after="120"/>
              <w:rPr>
                <w:rFonts w:eastAsia="Times New Roman" w:cs="Times New Roman"/>
                <w:iCs/>
                <w:noProof/>
              </w:rPr>
            </w:pPr>
          </w:p>
          <w:p w14:paraId="23E5F640"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b.Informaţii privind preţul final după finalizarea contractului şi privind participarea IMM-urilor în calitate de </w:t>
            </w:r>
            <w:r w:rsidRPr="006D49B0">
              <w:rPr>
                <w:rFonts w:eastAsia="Times New Roman" w:cs="Times New Roman"/>
                <w:iCs/>
                <w:noProof/>
              </w:rPr>
              <w:lastRenderedPageBreak/>
              <w:t>ofertanţi direcţi, în cazul în care sistemele naţionale furnizează astfel de informaţii</w:t>
            </w:r>
          </w:p>
        </w:tc>
        <w:tc>
          <w:tcPr>
            <w:tcW w:w="1156" w:type="dxa"/>
            <w:tcBorders>
              <w:top w:val="single" w:sz="4" w:space="0" w:color="auto"/>
              <w:left w:val="single" w:sz="4" w:space="0" w:color="auto"/>
              <w:bottom w:val="single" w:sz="4" w:space="0" w:color="auto"/>
              <w:right w:val="single" w:sz="4" w:space="0" w:color="auto"/>
            </w:tcBorders>
          </w:tcPr>
          <w:p w14:paraId="4824C8CB"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N</w:t>
            </w:r>
          </w:p>
        </w:tc>
        <w:tc>
          <w:tcPr>
            <w:tcW w:w="3173" w:type="dxa"/>
            <w:tcBorders>
              <w:top w:val="single" w:sz="4" w:space="0" w:color="auto"/>
              <w:left w:val="single" w:sz="4" w:space="0" w:color="auto"/>
              <w:bottom w:val="single" w:sz="4" w:space="0" w:color="auto"/>
              <w:right w:val="single" w:sz="4" w:space="0" w:color="auto"/>
            </w:tcBorders>
          </w:tcPr>
          <w:p w14:paraId="463801E4" w14:textId="77777777" w:rsidR="006D49B0" w:rsidRPr="006D49B0" w:rsidRDefault="006D49B0" w:rsidP="006D49B0">
            <w:pPr>
              <w:spacing w:before="120" w:after="120"/>
              <w:rPr>
                <w:rFonts w:ascii="Times New Roman" w:eastAsia="Times New Roman" w:hAnsi="Times New Roman" w:cs="Times New Roman"/>
                <w:iCs/>
                <w:noProof/>
                <w:sz w:val="20"/>
              </w:rPr>
            </w:pPr>
          </w:p>
          <w:p w14:paraId="6DAD621D" w14:textId="77777777" w:rsidR="006D49B0" w:rsidRPr="006D49B0" w:rsidRDefault="006D49B0" w:rsidP="006D49B0">
            <w:pPr>
              <w:spacing w:before="120" w:after="120"/>
              <w:rPr>
                <w:rFonts w:ascii="Times New Roman" w:eastAsia="Times New Roman" w:hAnsi="Times New Roman" w:cs="Times New Roman"/>
                <w:iCs/>
                <w:noProof/>
                <w:sz w:val="20"/>
              </w:rPr>
            </w:pPr>
          </w:p>
          <w:p w14:paraId="2F99EE05" w14:textId="77777777" w:rsidR="006D49B0" w:rsidRPr="006D49B0" w:rsidRDefault="006D49B0" w:rsidP="006D49B0">
            <w:pPr>
              <w:spacing w:before="120" w:after="120"/>
              <w:rPr>
                <w:rFonts w:ascii="Times New Roman" w:eastAsia="Times New Roman" w:hAnsi="Times New Roman" w:cs="Times New Roman"/>
                <w:iCs/>
                <w:noProof/>
                <w:sz w:val="20"/>
              </w:rPr>
            </w:pPr>
          </w:p>
          <w:p w14:paraId="3F4CF67B" w14:textId="77777777" w:rsidR="006D49B0" w:rsidRPr="006D49B0" w:rsidRDefault="006D49B0" w:rsidP="006D49B0">
            <w:pPr>
              <w:spacing w:before="120" w:after="120"/>
              <w:rPr>
                <w:rFonts w:ascii="Times New Roman" w:eastAsia="Times New Roman" w:hAnsi="Times New Roman" w:cs="Times New Roman"/>
                <w:iCs/>
                <w:noProof/>
                <w:sz w:val="20"/>
              </w:rPr>
            </w:pPr>
          </w:p>
          <w:p w14:paraId="06989D2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98/2016, art. 232 (1)</w:t>
            </w:r>
          </w:p>
          <w:p w14:paraId="27D1E485"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99/2016, art. 252 (1)</w:t>
            </w:r>
          </w:p>
          <w:p w14:paraId="3A3885C1"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 xml:space="preserve">H.G. nr. 394/2016 art. 170, 171, 172 </w:t>
            </w:r>
          </w:p>
          <w:p w14:paraId="257002E0"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H.G. nr. 395/2016 art. 167, 168, 169</w:t>
            </w:r>
          </w:p>
          <w:p w14:paraId="552B02F9" w14:textId="77777777" w:rsidR="006D49B0" w:rsidRPr="006D49B0" w:rsidRDefault="006D49B0" w:rsidP="006D49B0">
            <w:pPr>
              <w:spacing w:before="120" w:after="120"/>
              <w:rPr>
                <w:rFonts w:ascii="Times New Roman" w:eastAsia="Times New Roman" w:hAnsi="Times New Roman" w:cs="Times New Roman"/>
                <w:iCs/>
                <w:noProof/>
                <w:sz w:val="20"/>
              </w:rPr>
            </w:pPr>
          </w:p>
          <w:p w14:paraId="6E1DDBC0" w14:textId="77777777" w:rsidR="006D49B0" w:rsidRPr="006D49B0" w:rsidRDefault="006D49B0" w:rsidP="006D49B0">
            <w:pPr>
              <w:spacing w:before="120" w:after="120"/>
              <w:rPr>
                <w:rFonts w:ascii="Times New Roman" w:eastAsia="Times New Roman" w:hAnsi="Times New Roman" w:cs="Times New Roman"/>
                <w:iCs/>
                <w:noProof/>
                <w:sz w:val="20"/>
              </w:rPr>
            </w:pPr>
          </w:p>
          <w:p w14:paraId="0A845807" w14:textId="77777777" w:rsidR="006D49B0" w:rsidRPr="006D49B0" w:rsidRDefault="006D49B0" w:rsidP="006D49B0">
            <w:pPr>
              <w:spacing w:before="120" w:after="120"/>
              <w:rPr>
                <w:rFonts w:ascii="Times New Roman" w:eastAsia="Times New Roman" w:hAnsi="Times New Roman" w:cs="Times New Roman"/>
                <w:iCs/>
                <w:noProof/>
                <w:sz w:val="20"/>
              </w:rPr>
            </w:pPr>
          </w:p>
          <w:p w14:paraId="1231C103" w14:textId="77777777" w:rsidR="006D49B0" w:rsidRPr="006D49B0" w:rsidRDefault="006D49B0" w:rsidP="006D49B0">
            <w:pPr>
              <w:spacing w:before="120" w:after="120"/>
              <w:rPr>
                <w:rFonts w:ascii="Times New Roman" w:eastAsia="Times New Roman" w:hAnsi="Times New Roman" w:cs="Times New Roman"/>
                <w:iCs/>
                <w:noProof/>
                <w:sz w:val="20"/>
              </w:rPr>
            </w:pPr>
          </w:p>
          <w:p w14:paraId="19C659F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98/2016, art. 221 (6)</w:t>
            </w:r>
          </w:p>
          <w:p w14:paraId="69765CAD"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Legea nr. 99/2016, art. 239 </w:t>
            </w:r>
          </w:p>
          <w:p w14:paraId="7CCE5407" w14:textId="77777777" w:rsidR="006D49B0" w:rsidRPr="006D49B0" w:rsidRDefault="006D49B0" w:rsidP="006D49B0">
            <w:pPr>
              <w:spacing w:before="120" w:after="120"/>
              <w:rPr>
                <w:rFonts w:ascii="Times New Roman" w:eastAsia="Times New Roman" w:hAnsi="Times New Roman" w:cs="Times New Roman"/>
                <w:iCs/>
                <w:noProof/>
                <w:sz w:val="20"/>
              </w:rPr>
            </w:pPr>
          </w:p>
          <w:p w14:paraId="127A8210"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00DC5A7C" w14:textId="77777777" w:rsidR="006D49B0" w:rsidRPr="006D49B0" w:rsidRDefault="006D49B0" w:rsidP="006D49B0">
            <w:pPr>
              <w:spacing w:before="120" w:after="120"/>
              <w:rPr>
                <w:rFonts w:ascii="Times New Roman" w:eastAsia="Times New Roman" w:hAnsi="Times New Roman" w:cs="Times New Roman"/>
                <w:iCs/>
                <w:noProof/>
                <w:sz w:val="20"/>
              </w:rPr>
            </w:pPr>
          </w:p>
          <w:p w14:paraId="20880324" w14:textId="77777777" w:rsidR="006D49B0" w:rsidRPr="006D49B0" w:rsidRDefault="006D49B0" w:rsidP="006D49B0">
            <w:pPr>
              <w:spacing w:before="120" w:after="120"/>
              <w:rPr>
                <w:rFonts w:ascii="Times New Roman" w:eastAsia="Times New Roman" w:hAnsi="Times New Roman" w:cs="Times New Roman"/>
                <w:iCs/>
                <w:noProof/>
                <w:sz w:val="20"/>
              </w:rPr>
            </w:pPr>
          </w:p>
          <w:p w14:paraId="1CED497C" w14:textId="77777777" w:rsidR="006D49B0" w:rsidRPr="006D49B0" w:rsidRDefault="006D49B0" w:rsidP="006D49B0">
            <w:pPr>
              <w:spacing w:before="120" w:after="120"/>
              <w:rPr>
                <w:rFonts w:ascii="Times New Roman" w:eastAsia="Times New Roman" w:hAnsi="Times New Roman" w:cs="Times New Roman"/>
                <w:iCs/>
                <w:noProof/>
                <w:sz w:val="20"/>
              </w:rPr>
            </w:pPr>
          </w:p>
          <w:p w14:paraId="5628CB03" w14:textId="77777777" w:rsidR="006D49B0" w:rsidRPr="006D49B0" w:rsidRDefault="006D49B0" w:rsidP="006D49B0">
            <w:pPr>
              <w:spacing w:before="120" w:after="120"/>
              <w:rPr>
                <w:rFonts w:ascii="Times New Roman" w:eastAsia="Times New Roman" w:hAnsi="Times New Roman" w:cs="Times New Roman"/>
                <w:iCs/>
                <w:noProof/>
                <w:sz w:val="20"/>
              </w:rPr>
            </w:pPr>
          </w:p>
          <w:p w14:paraId="760113AE"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a.Indicatorii se regăsesc în anunțurile de atribuire publicate în SEAP </w:t>
            </w:r>
            <w:r w:rsidRPr="006D49B0">
              <w:rPr>
                <w:rFonts w:ascii="Times New Roman" w:eastAsia="Times New Roman" w:hAnsi="Times New Roman" w:cs="Times New Roman"/>
                <w:iCs/>
                <w:noProof/>
                <w:sz w:val="20"/>
              </w:rPr>
              <w:lastRenderedPageBreak/>
              <w:t>(</w:t>
            </w:r>
            <w:hyperlink r:id="rId18" w:history="1">
              <w:r w:rsidRPr="006D49B0">
                <w:rPr>
                  <w:rStyle w:val="Hyperlink"/>
                  <w:rFonts w:ascii="Times New Roman" w:eastAsia="Times New Roman" w:hAnsi="Times New Roman" w:cs="Times New Roman"/>
                  <w:iCs/>
                  <w:noProof/>
                  <w:sz w:val="20"/>
                </w:rPr>
                <w:t>http://sicap-prod.e-licitatie.ro</w:t>
              </w:r>
            </w:hyperlink>
            <w:r w:rsidRPr="006D49B0">
              <w:rPr>
                <w:rFonts w:ascii="Times New Roman" w:eastAsia="Times New Roman" w:hAnsi="Times New Roman" w:cs="Times New Roman"/>
                <w:iCs/>
                <w:noProof/>
                <w:sz w:val="20"/>
              </w:rPr>
              <w:t>), conform obligaţiilor legale de publicare.</w:t>
            </w:r>
          </w:p>
          <w:p w14:paraId="225CFDCA" w14:textId="77777777" w:rsidR="006D49B0" w:rsidRPr="006D49B0" w:rsidRDefault="006D49B0" w:rsidP="006D49B0">
            <w:pPr>
              <w:spacing w:before="120" w:after="120"/>
              <w:rPr>
                <w:rFonts w:ascii="Times New Roman" w:eastAsia="Times New Roman" w:hAnsi="Times New Roman" w:cs="Times New Roman"/>
                <w:iCs/>
                <w:noProof/>
                <w:sz w:val="20"/>
              </w:rPr>
            </w:pPr>
          </w:p>
          <w:p w14:paraId="6480E05C" w14:textId="77777777" w:rsidR="006D49B0" w:rsidRPr="006D49B0" w:rsidRDefault="006D49B0" w:rsidP="006D49B0">
            <w:pPr>
              <w:spacing w:before="120" w:after="120"/>
              <w:rPr>
                <w:rFonts w:ascii="Times New Roman" w:eastAsia="Times New Roman" w:hAnsi="Times New Roman" w:cs="Times New Roman"/>
                <w:iCs/>
                <w:noProof/>
                <w:sz w:val="20"/>
              </w:rPr>
            </w:pPr>
          </w:p>
          <w:p w14:paraId="3F2C092E" w14:textId="77777777" w:rsidR="006D49B0" w:rsidRPr="006D49B0" w:rsidRDefault="006D49B0" w:rsidP="006D49B0">
            <w:pPr>
              <w:spacing w:before="120" w:after="120"/>
              <w:rPr>
                <w:rFonts w:ascii="Times New Roman" w:eastAsia="Times New Roman" w:hAnsi="Times New Roman" w:cs="Times New Roman"/>
                <w:iCs/>
                <w:noProof/>
                <w:sz w:val="20"/>
              </w:rPr>
            </w:pPr>
          </w:p>
          <w:p w14:paraId="176908CC" w14:textId="77777777" w:rsidR="006D49B0" w:rsidRPr="006D49B0" w:rsidRDefault="006D49B0" w:rsidP="006D49B0">
            <w:pPr>
              <w:spacing w:before="120" w:after="120"/>
              <w:rPr>
                <w:rFonts w:ascii="Times New Roman" w:eastAsia="Times New Roman" w:hAnsi="Times New Roman" w:cs="Times New Roman"/>
                <w:iCs/>
                <w:noProof/>
                <w:sz w:val="20"/>
              </w:rPr>
            </w:pPr>
          </w:p>
          <w:p w14:paraId="338340D8" w14:textId="77777777" w:rsidR="006D49B0" w:rsidRPr="006D49B0" w:rsidRDefault="006D49B0" w:rsidP="006D49B0">
            <w:pPr>
              <w:spacing w:before="120" w:after="120"/>
              <w:rPr>
                <w:rFonts w:ascii="Times New Roman" w:eastAsia="Times New Roman" w:hAnsi="Times New Roman" w:cs="Times New Roman"/>
                <w:iCs/>
                <w:noProof/>
                <w:sz w:val="20"/>
              </w:rPr>
            </w:pPr>
          </w:p>
          <w:p w14:paraId="4D5B63ED" w14:textId="77777777" w:rsidR="006D49B0" w:rsidRPr="006D49B0" w:rsidRDefault="006D49B0" w:rsidP="006D49B0">
            <w:pPr>
              <w:spacing w:before="120" w:after="120"/>
              <w:rPr>
                <w:rFonts w:ascii="Times New Roman" w:eastAsia="Times New Roman" w:hAnsi="Times New Roman" w:cs="Times New Roman"/>
                <w:iCs/>
                <w:noProof/>
                <w:sz w:val="20"/>
              </w:rPr>
            </w:pPr>
          </w:p>
          <w:p w14:paraId="4615638C" w14:textId="77777777" w:rsidR="006D49B0" w:rsidRPr="006D49B0" w:rsidRDefault="006D49B0" w:rsidP="006D49B0">
            <w:pPr>
              <w:spacing w:before="120" w:after="120"/>
              <w:rPr>
                <w:rFonts w:ascii="Times New Roman" w:eastAsia="Times New Roman" w:hAnsi="Times New Roman" w:cs="Times New Roman"/>
                <w:iCs/>
                <w:noProof/>
                <w:sz w:val="20"/>
              </w:rPr>
            </w:pPr>
          </w:p>
          <w:p w14:paraId="3D98D3A4" w14:textId="77777777" w:rsidR="006D49B0" w:rsidRPr="006D49B0" w:rsidRDefault="006D49B0" w:rsidP="006D49B0">
            <w:pPr>
              <w:spacing w:before="120" w:after="120"/>
              <w:rPr>
                <w:rFonts w:ascii="Times New Roman" w:eastAsia="Times New Roman" w:hAnsi="Times New Roman" w:cs="Times New Roman"/>
                <w:iCs/>
                <w:noProof/>
                <w:sz w:val="20"/>
              </w:rPr>
            </w:pPr>
          </w:p>
          <w:p w14:paraId="2AFC15FE" w14:textId="77777777" w:rsidR="006D49B0" w:rsidRPr="006D49B0" w:rsidRDefault="006D49B0" w:rsidP="006D49B0">
            <w:pPr>
              <w:spacing w:before="120" w:after="120"/>
              <w:rPr>
                <w:rFonts w:ascii="Times New Roman" w:eastAsia="Times New Roman" w:hAnsi="Times New Roman" w:cs="Times New Roman"/>
                <w:iCs/>
                <w:noProof/>
                <w:sz w:val="20"/>
              </w:rPr>
            </w:pPr>
          </w:p>
          <w:p w14:paraId="23E47BD4"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b.Indicatorul privind prețul final după finalizarea contractului se va regăsi în anunțurile de atribuire publicate în SEAP. Pentru a monitoriza modificările contractuale, în afara celor prevăzute în directive, trebuie modificat formularul standard 20 al JOUE.</w:t>
            </w:r>
          </w:p>
          <w:p w14:paraId="0F6F4398"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Măsuri ANAP:</w:t>
            </w:r>
          </w:p>
          <w:p w14:paraId="3A80CDF3"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-instrucțiune care să vină în sprijinul AC în vederea utilizării formularului</w:t>
            </w:r>
          </w:p>
          <w:p w14:paraId="7A69B1CD"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-modificări legislative, pentru introducerea obligației de a </w:t>
            </w:r>
            <w:r w:rsidRPr="006D49B0">
              <w:rPr>
                <w:rFonts w:ascii="Times New Roman" w:eastAsia="Times New Roman" w:hAnsi="Times New Roman" w:cs="Times New Roman"/>
                <w:iCs/>
                <w:noProof/>
                <w:sz w:val="20"/>
              </w:rPr>
              <w:lastRenderedPageBreak/>
              <w:t>publica în SEAP și alte modificări decât cele din formular</w:t>
            </w:r>
          </w:p>
          <w:p w14:paraId="43D6ED1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Măsuri ADR:</w:t>
            </w:r>
          </w:p>
          <w:p w14:paraId="2752BA04"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-dezvoltarea platformei astfel încât să permită AC publicarea de informații suplimentare cu privire la modificările aduse prețului de semnare a contractului</w:t>
            </w:r>
            <w:r w:rsidRPr="006D49B0">
              <w:rPr>
                <w:rFonts w:ascii="Times New Roman" w:eastAsia="Times New Roman" w:hAnsi="Times New Roman" w:cs="Times New Roman"/>
                <w:iCs/>
                <w:noProof/>
                <w:sz w:val="20"/>
              </w:rPr>
              <w:tab/>
              <w:t xml:space="preserve"> </w:t>
            </w:r>
          </w:p>
          <w:p w14:paraId="2BB6EE71"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Termen: Trim  IV  2020</w:t>
            </w:r>
          </w:p>
          <w:p w14:paraId="23E6275D"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Indicatorul referitor la participarea IMM-urilor ca ofertanți direcți se regăsește în anunțurile de atribuire publicate în SEAP. Ofertanții au posibilitatea de a selecta tipul de entitate: mijlocie, mică, mare, informații preluate ulterior în mod automat în DUAE și în declarația cu participanții la procedură.</w:t>
            </w:r>
          </w:p>
        </w:tc>
      </w:tr>
      <w:tr w:rsidR="006D49B0" w:rsidRPr="000409A4" w14:paraId="622A566C"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1FC86039"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65203662"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1FD338FA"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053D8D77"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2568BC03"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3.Măsuri care să asigurare monitorizarea şi analiza datelor de către autorităţile naţionale </w:t>
            </w:r>
            <w:r w:rsidRPr="006D49B0">
              <w:rPr>
                <w:rFonts w:eastAsia="Times New Roman" w:cs="Times New Roman"/>
                <w:iCs/>
                <w:noProof/>
              </w:rPr>
              <w:lastRenderedPageBreak/>
              <w:t>competente conform cu art.83(2) din Directiva 2014/24/EU şi art.99(2) din Directiva 2014/25/EU</w:t>
            </w:r>
          </w:p>
        </w:tc>
        <w:tc>
          <w:tcPr>
            <w:tcW w:w="1156" w:type="dxa"/>
            <w:tcBorders>
              <w:top w:val="single" w:sz="4" w:space="0" w:color="auto"/>
              <w:left w:val="single" w:sz="4" w:space="0" w:color="auto"/>
              <w:bottom w:val="single" w:sz="4" w:space="0" w:color="auto"/>
              <w:right w:val="single" w:sz="4" w:space="0" w:color="auto"/>
            </w:tcBorders>
          </w:tcPr>
          <w:p w14:paraId="3E019841"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5E3AD54C"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12159CBA"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Prin HG nr. 901/2015, s-au introdus noi activități pentru calcularea unor indicatori ai sistemului de achiziții publice. S-a urmărit asigurarea colectării de date puse la dispoziție de către AADR, în prezent ADR, care este operatorul  SEAP. S-a avut în </w:t>
            </w:r>
            <w:r w:rsidRPr="006D49B0">
              <w:rPr>
                <w:rFonts w:ascii="Times New Roman" w:eastAsia="Times New Roman" w:hAnsi="Times New Roman" w:cs="Times New Roman"/>
                <w:iCs/>
                <w:noProof/>
                <w:sz w:val="20"/>
              </w:rPr>
              <w:lastRenderedPageBreak/>
              <w:t>vedere prelucrarea periodică a datelor și informaţiilor, crearea de instrumente necesare culegerii acestora, analiza datelor statistice în vederea calculării de indicatori relevanţi şi măsurabili, elaborarea de rapoarte și situații prin intermediul cărora să poată fi urmărit modul de funcționare a sistemului de achiziții publice.</w:t>
            </w:r>
          </w:p>
        </w:tc>
      </w:tr>
      <w:tr w:rsidR="006D49B0" w:rsidRPr="000409A4" w14:paraId="109371DE"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0D4258AF"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4550F72F"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4E279619"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5FB6169F"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678EADEC"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4.Măsuri care să asigure că rezultatele analizelor sunt publicate în conformitate cu prevederile art.83(3) din Directiva 2014/24/EU şi art.99(3) din Directiva 2014/25/EU</w:t>
            </w:r>
          </w:p>
        </w:tc>
        <w:tc>
          <w:tcPr>
            <w:tcW w:w="1156" w:type="dxa"/>
            <w:tcBorders>
              <w:top w:val="single" w:sz="4" w:space="0" w:color="auto"/>
              <w:left w:val="single" w:sz="4" w:space="0" w:color="auto"/>
              <w:bottom w:val="single" w:sz="4" w:space="0" w:color="auto"/>
              <w:right w:val="single" w:sz="4" w:space="0" w:color="auto"/>
            </w:tcBorders>
          </w:tcPr>
          <w:p w14:paraId="67B3209B"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5DF6CD66"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60329BE4"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Pe site-ul ANAP </w:t>
            </w:r>
            <w:hyperlink r:id="rId19" w:history="1">
              <w:r w:rsidRPr="006D49B0">
                <w:rPr>
                  <w:rStyle w:val="Hyperlink"/>
                  <w:rFonts w:ascii="Times New Roman" w:eastAsia="Times New Roman" w:hAnsi="Times New Roman" w:cs="Times New Roman"/>
                  <w:iCs/>
                  <w:noProof/>
                  <w:sz w:val="20"/>
                </w:rPr>
                <w:t>http://anap.gov.ro/web/analize-si-rapoarte-statistice/?future=false</w:t>
              </w:r>
            </w:hyperlink>
            <w:r w:rsidRPr="006D49B0">
              <w:rPr>
                <w:rFonts w:ascii="Times New Roman" w:eastAsia="Times New Roman" w:hAnsi="Times New Roman" w:cs="Times New Roman"/>
                <w:iCs/>
                <w:noProof/>
                <w:sz w:val="20"/>
              </w:rPr>
              <w:t xml:space="preserve"> sunt publicate date statistice rezultate în urma calculării acestor indicatori ai sistemului de achiziții publice.</w:t>
            </w:r>
          </w:p>
        </w:tc>
      </w:tr>
      <w:tr w:rsidR="006D49B0" w:rsidRPr="00E41F60" w14:paraId="2F8B6DCD"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038404AE"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7AB42F12"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6D7EB7A7"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31587416"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296A318E"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5.Măsuri care să asigure că toate informaţiile </w:t>
            </w:r>
            <w:r w:rsidRPr="006D49B0">
              <w:rPr>
                <w:rFonts w:eastAsia="Times New Roman" w:cs="Times New Roman"/>
                <w:iCs/>
                <w:noProof/>
              </w:rPr>
              <w:lastRenderedPageBreak/>
              <w:t>privind situaţiile de denaturare a concurenţei sunt comunicate autorităţilor naţionale competente în conformitate cu prevederile art.83(2) din Directiva 2014/24/EU şi art.99(2) din Directiva 2014/25/EU</w:t>
            </w:r>
          </w:p>
        </w:tc>
        <w:tc>
          <w:tcPr>
            <w:tcW w:w="1156" w:type="dxa"/>
            <w:tcBorders>
              <w:top w:val="single" w:sz="4" w:space="0" w:color="auto"/>
              <w:left w:val="single" w:sz="4" w:space="0" w:color="auto"/>
              <w:bottom w:val="single" w:sz="4" w:space="0" w:color="auto"/>
              <w:right w:val="single" w:sz="4" w:space="0" w:color="auto"/>
            </w:tcBorders>
          </w:tcPr>
          <w:p w14:paraId="69FBEBF3"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0097C18B"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98/2016</w:t>
            </w:r>
          </w:p>
          <w:p w14:paraId="58E89310"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99/2016</w:t>
            </w:r>
          </w:p>
          <w:p w14:paraId="6D5EB509"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655418F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98/2016 privind achizitiile publice prevede în art.167(5), (6), (7) reglementări privind cazurile de licitaţii “trucate”.</w:t>
            </w:r>
          </w:p>
          <w:p w14:paraId="664EE84A"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Legea nr. 99/2016 privind achizitiile sectoriale reglementează prin art.180 excluderea din procedura de atribuire a operatorilor economici aflaţi în  situaţii de incompatibilitate.</w:t>
            </w:r>
          </w:p>
          <w:p w14:paraId="7C3244EF"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În conformitate cu art.180(3) sunt precizate motivele de excludere a candidatului/ofertantului de la o licitaţie ce are suspiciunea de a fi “trucată”, art.180(4) precizează că trebuie solicitat un punct de vedere asupra speţei către Consiliul Concurenţei, iar art.180(5) precizează că trebuie furnizate Consiliului Concurenţei toate informaţiile solicitate de către acesta.</w:t>
            </w:r>
          </w:p>
        </w:tc>
      </w:tr>
      <w:tr w:rsidR="006D49B0" w:rsidRPr="000409A4" w14:paraId="3CEC8E49"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13001762"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Instrumente şi capacitatea pentru aplicarea eficace a normelor privind ajutoarele de stat</w:t>
            </w:r>
          </w:p>
        </w:tc>
        <w:tc>
          <w:tcPr>
            <w:tcW w:w="1399" w:type="dxa"/>
            <w:tcBorders>
              <w:top w:val="single" w:sz="4" w:space="0" w:color="auto"/>
              <w:left w:val="single" w:sz="4" w:space="0" w:color="auto"/>
              <w:bottom w:val="single" w:sz="4" w:space="0" w:color="auto"/>
              <w:right w:val="single" w:sz="4" w:space="0" w:color="auto"/>
            </w:tcBorders>
          </w:tcPr>
          <w:p w14:paraId="058DD024"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2C7697C5"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5CA93E3A"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63C512DB"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Autorităţile de management au instrumentele şi capacitatea să verifice conformitatea cu regulile de ajutor de stat:</w:t>
            </w:r>
          </w:p>
          <w:p w14:paraId="1A7148F5"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1.Pentru </w:t>
            </w:r>
            <w:r w:rsidRPr="006D49B0">
              <w:rPr>
                <w:rFonts w:eastAsia="Times New Roman" w:cs="Times New Roman"/>
                <w:iCs/>
                <w:noProof/>
              </w:rPr>
              <w:lastRenderedPageBreak/>
              <w:t>întreprinderi aflate în dificultate şi întreprinderi care fac obiectul unei cerinţe de recuperare</w:t>
            </w:r>
          </w:p>
        </w:tc>
        <w:tc>
          <w:tcPr>
            <w:tcW w:w="1156" w:type="dxa"/>
            <w:tcBorders>
              <w:top w:val="single" w:sz="4" w:space="0" w:color="auto"/>
              <w:left w:val="single" w:sz="4" w:space="0" w:color="auto"/>
              <w:bottom w:val="single" w:sz="4" w:space="0" w:color="auto"/>
              <w:right w:val="single" w:sz="4" w:space="0" w:color="auto"/>
            </w:tcBorders>
          </w:tcPr>
          <w:p w14:paraId="070899FA" w14:textId="77777777" w:rsidR="006D49B0" w:rsidRPr="006D49B0" w:rsidRDefault="006D49B0" w:rsidP="006D49B0">
            <w:pPr>
              <w:spacing w:before="120" w:after="120"/>
              <w:rPr>
                <w:rFonts w:ascii="Times New Roman" w:eastAsia="Times New Roman" w:hAnsi="Times New Roman" w:cs="Times New Roman"/>
                <w:iCs/>
                <w:noProof/>
                <w:sz w:val="20"/>
              </w:rPr>
            </w:pPr>
          </w:p>
          <w:p w14:paraId="7007BD6C" w14:textId="77777777" w:rsidR="006D49B0" w:rsidRPr="006D49B0" w:rsidRDefault="006D49B0" w:rsidP="006D49B0">
            <w:pPr>
              <w:spacing w:before="120" w:after="120"/>
              <w:rPr>
                <w:rFonts w:ascii="Times New Roman" w:eastAsia="Times New Roman" w:hAnsi="Times New Roman" w:cs="Times New Roman"/>
                <w:iCs/>
                <w:noProof/>
                <w:sz w:val="20"/>
              </w:rPr>
            </w:pPr>
          </w:p>
          <w:p w14:paraId="73FABB83" w14:textId="77777777" w:rsidR="006D49B0" w:rsidRPr="006D49B0" w:rsidRDefault="006D49B0" w:rsidP="006D49B0">
            <w:pPr>
              <w:spacing w:before="120" w:after="120"/>
              <w:rPr>
                <w:rFonts w:ascii="Times New Roman" w:eastAsia="Times New Roman" w:hAnsi="Times New Roman" w:cs="Times New Roman"/>
                <w:iCs/>
                <w:noProof/>
                <w:sz w:val="20"/>
              </w:rPr>
            </w:pPr>
          </w:p>
          <w:p w14:paraId="74F8845A" w14:textId="77777777" w:rsidR="006D49B0" w:rsidRPr="006D49B0" w:rsidRDefault="006D49B0" w:rsidP="006D49B0">
            <w:pPr>
              <w:spacing w:before="120" w:after="120"/>
              <w:rPr>
                <w:rFonts w:ascii="Times New Roman" w:eastAsia="Times New Roman" w:hAnsi="Times New Roman" w:cs="Times New Roman"/>
                <w:iCs/>
                <w:noProof/>
                <w:sz w:val="20"/>
              </w:rPr>
            </w:pPr>
          </w:p>
          <w:p w14:paraId="7CFA62F5" w14:textId="77777777" w:rsidR="006D49B0" w:rsidRPr="006D49B0" w:rsidRDefault="006D49B0" w:rsidP="006D49B0">
            <w:pPr>
              <w:spacing w:before="120" w:after="120"/>
              <w:rPr>
                <w:rFonts w:ascii="Times New Roman" w:eastAsia="Times New Roman" w:hAnsi="Times New Roman" w:cs="Times New Roman"/>
                <w:iCs/>
                <w:noProof/>
                <w:sz w:val="20"/>
              </w:rPr>
            </w:pPr>
          </w:p>
          <w:p w14:paraId="2CB3515C" w14:textId="77777777" w:rsidR="006D49B0" w:rsidRPr="006D49B0" w:rsidRDefault="006D49B0" w:rsidP="006D49B0">
            <w:pPr>
              <w:spacing w:before="120" w:after="120"/>
              <w:rPr>
                <w:rFonts w:ascii="Times New Roman" w:eastAsia="Times New Roman" w:hAnsi="Times New Roman" w:cs="Times New Roman"/>
                <w:iCs/>
                <w:noProof/>
                <w:sz w:val="20"/>
              </w:rPr>
            </w:pPr>
          </w:p>
          <w:p w14:paraId="7644EFBD"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4DAE2423" w14:textId="77777777" w:rsidR="006D49B0" w:rsidRPr="006D49B0" w:rsidRDefault="006D49B0" w:rsidP="006D49B0">
            <w:pPr>
              <w:spacing w:before="120" w:after="120"/>
              <w:rPr>
                <w:rFonts w:ascii="Times New Roman" w:eastAsia="Times New Roman" w:hAnsi="Times New Roman" w:cs="Times New Roman"/>
                <w:iCs/>
                <w:noProof/>
                <w:sz w:val="20"/>
              </w:rPr>
            </w:pPr>
          </w:p>
          <w:p w14:paraId="2CAD43EF" w14:textId="77777777" w:rsidR="006D49B0" w:rsidRPr="006D49B0" w:rsidRDefault="006D49B0" w:rsidP="006D49B0">
            <w:pPr>
              <w:spacing w:before="120" w:after="120"/>
              <w:rPr>
                <w:rFonts w:ascii="Times New Roman" w:eastAsia="Times New Roman" w:hAnsi="Times New Roman" w:cs="Times New Roman"/>
                <w:iCs/>
                <w:noProof/>
                <w:sz w:val="20"/>
              </w:rPr>
            </w:pPr>
          </w:p>
          <w:p w14:paraId="0E13ECE9" w14:textId="77777777" w:rsidR="006D49B0" w:rsidRPr="006D49B0" w:rsidRDefault="006D49B0" w:rsidP="006D49B0">
            <w:pPr>
              <w:spacing w:before="120" w:after="120"/>
              <w:rPr>
                <w:rFonts w:ascii="Times New Roman" w:eastAsia="Times New Roman" w:hAnsi="Times New Roman" w:cs="Times New Roman"/>
                <w:iCs/>
                <w:noProof/>
                <w:sz w:val="20"/>
              </w:rPr>
            </w:pPr>
          </w:p>
          <w:p w14:paraId="2D746C41" w14:textId="77777777" w:rsidR="006D49B0" w:rsidRPr="006D49B0" w:rsidRDefault="006D49B0" w:rsidP="006D49B0">
            <w:pPr>
              <w:spacing w:before="120" w:after="120"/>
              <w:rPr>
                <w:rFonts w:ascii="Times New Roman" w:eastAsia="Times New Roman" w:hAnsi="Times New Roman" w:cs="Times New Roman"/>
                <w:iCs/>
                <w:noProof/>
                <w:sz w:val="20"/>
              </w:rPr>
            </w:pPr>
          </w:p>
          <w:p w14:paraId="6669C9A2" w14:textId="77777777" w:rsidR="006D49B0" w:rsidRPr="006D49B0" w:rsidRDefault="006D49B0" w:rsidP="006D49B0">
            <w:pPr>
              <w:spacing w:before="120" w:after="120"/>
              <w:rPr>
                <w:rFonts w:ascii="Times New Roman" w:eastAsia="Times New Roman" w:hAnsi="Times New Roman" w:cs="Times New Roman"/>
                <w:iCs/>
                <w:noProof/>
                <w:sz w:val="20"/>
              </w:rPr>
            </w:pPr>
          </w:p>
          <w:p w14:paraId="03694BC2" w14:textId="77777777" w:rsidR="006D49B0" w:rsidRPr="006D49B0" w:rsidRDefault="006D49B0" w:rsidP="006D49B0">
            <w:pPr>
              <w:spacing w:before="120" w:after="120"/>
              <w:rPr>
                <w:rFonts w:ascii="Times New Roman" w:eastAsia="Times New Roman" w:hAnsi="Times New Roman" w:cs="Times New Roman"/>
                <w:iCs/>
                <w:noProof/>
                <w:sz w:val="20"/>
              </w:rPr>
            </w:pPr>
          </w:p>
          <w:p w14:paraId="798C074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Registrul Ajutoarelor de Stat (RegAS) </w:t>
            </w:r>
            <w:hyperlink r:id="rId20" w:history="1">
              <w:r w:rsidRPr="006D49B0">
                <w:rPr>
                  <w:rStyle w:val="Hyperlink"/>
                  <w:rFonts w:ascii="Times New Roman" w:eastAsia="Times New Roman" w:hAnsi="Times New Roman" w:cs="Times New Roman"/>
                  <w:iCs/>
                  <w:noProof/>
                  <w:sz w:val="20"/>
                </w:rPr>
                <w:t>http://www.ajutordestat.ro/?pag=206</w:t>
              </w:r>
            </w:hyperlink>
          </w:p>
          <w:p w14:paraId="0BFFF24F"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OUG nr. 77/2014 privind procedurile naționale în domeniul ajutorului de stat, precum și pentru modificarea și completarea Legii concurenței nr. 21/1996</w:t>
            </w:r>
          </w:p>
        </w:tc>
        <w:tc>
          <w:tcPr>
            <w:tcW w:w="2716" w:type="dxa"/>
            <w:tcBorders>
              <w:top w:val="single" w:sz="4" w:space="0" w:color="auto"/>
              <w:left w:val="single" w:sz="4" w:space="0" w:color="auto"/>
              <w:bottom w:val="single" w:sz="4" w:space="0" w:color="auto"/>
              <w:right w:val="single" w:sz="4" w:space="0" w:color="auto"/>
            </w:tcBorders>
          </w:tcPr>
          <w:p w14:paraId="74FF6722" w14:textId="77777777" w:rsidR="006D49B0" w:rsidRPr="006D49B0" w:rsidRDefault="006D49B0" w:rsidP="006D49B0">
            <w:pPr>
              <w:spacing w:before="120" w:after="120"/>
              <w:rPr>
                <w:rFonts w:ascii="Times New Roman" w:eastAsia="Times New Roman" w:hAnsi="Times New Roman" w:cs="Times New Roman"/>
                <w:iCs/>
                <w:noProof/>
                <w:sz w:val="20"/>
              </w:rPr>
            </w:pPr>
          </w:p>
          <w:p w14:paraId="05248A87" w14:textId="77777777" w:rsidR="006D49B0" w:rsidRPr="006D49B0" w:rsidRDefault="006D49B0" w:rsidP="006D49B0">
            <w:pPr>
              <w:spacing w:before="120" w:after="120"/>
              <w:rPr>
                <w:rFonts w:ascii="Times New Roman" w:eastAsia="Times New Roman" w:hAnsi="Times New Roman" w:cs="Times New Roman"/>
                <w:iCs/>
                <w:noProof/>
                <w:sz w:val="20"/>
              </w:rPr>
            </w:pPr>
          </w:p>
          <w:p w14:paraId="65E3043A" w14:textId="77777777" w:rsidR="006D49B0" w:rsidRPr="006D49B0" w:rsidRDefault="006D49B0" w:rsidP="006D49B0">
            <w:pPr>
              <w:spacing w:before="120" w:after="120"/>
              <w:rPr>
                <w:rFonts w:ascii="Times New Roman" w:eastAsia="Times New Roman" w:hAnsi="Times New Roman" w:cs="Times New Roman"/>
                <w:iCs/>
                <w:noProof/>
                <w:sz w:val="20"/>
              </w:rPr>
            </w:pPr>
          </w:p>
          <w:p w14:paraId="51262532" w14:textId="77777777" w:rsidR="006D49B0" w:rsidRPr="006D49B0" w:rsidRDefault="006D49B0" w:rsidP="006D49B0">
            <w:pPr>
              <w:spacing w:before="120" w:after="120"/>
              <w:rPr>
                <w:rFonts w:ascii="Times New Roman" w:eastAsia="Times New Roman" w:hAnsi="Times New Roman" w:cs="Times New Roman"/>
                <w:iCs/>
                <w:noProof/>
                <w:sz w:val="20"/>
              </w:rPr>
            </w:pPr>
          </w:p>
          <w:p w14:paraId="3F6DE03B" w14:textId="77777777" w:rsidR="006D49B0" w:rsidRPr="006D49B0" w:rsidRDefault="006D49B0" w:rsidP="006D49B0">
            <w:pPr>
              <w:spacing w:before="120" w:after="120"/>
              <w:rPr>
                <w:rFonts w:ascii="Times New Roman" w:eastAsia="Times New Roman" w:hAnsi="Times New Roman" w:cs="Times New Roman"/>
                <w:iCs/>
                <w:noProof/>
                <w:sz w:val="20"/>
              </w:rPr>
            </w:pPr>
          </w:p>
          <w:p w14:paraId="754014F1" w14:textId="77777777" w:rsidR="006D49B0" w:rsidRPr="006D49B0" w:rsidRDefault="006D49B0" w:rsidP="006D49B0">
            <w:pPr>
              <w:spacing w:before="120" w:after="120"/>
              <w:rPr>
                <w:rFonts w:ascii="Times New Roman" w:eastAsia="Times New Roman" w:hAnsi="Times New Roman" w:cs="Times New Roman"/>
                <w:iCs/>
                <w:noProof/>
                <w:sz w:val="20"/>
              </w:rPr>
            </w:pPr>
          </w:p>
          <w:p w14:paraId="367055C4"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Întreprinderile aflate în dificultate:</w:t>
            </w:r>
          </w:p>
          <w:p w14:paraId="0E970F8E"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AM-urile dețin proceduri prin </w:t>
            </w:r>
            <w:r w:rsidRPr="006D49B0">
              <w:rPr>
                <w:rFonts w:ascii="Times New Roman" w:eastAsia="Times New Roman" w:hAnsi="Times New Roman" w:cs="Times New Roman"/>
                <w:iCs/>
                <w:noProof/>
                <w:sz w:val="20"/>
              </w:rPr>
              <w:lastRenderedPageBreak/>
              <w:t>care verifică administrativ – existența declaraţiei pe propria răspundere a beneficiarului</w:t>
            </w:r>
          </w:p>
          <w:p w14:paraId="543C7BC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tehnico-economic criteriile care arată că acesta nu este în dificultate (Metodologie de verificare elaborată pe baza normelor UE privind ajutoarele de stat referitoare la conceptul de întreprindere în dificultate).</w:t>
            </w:r>
          </w:p>
          <w:p w14:paraId="2F6535D2"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Întreprinderile vizate de o cerință de recuperare:</w:t>
            </w:r>
          </w:p>
          <w:p w14:paraId="58CE796D"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RegAS permite verificarea ex-ante a eligibilităţii beneficiarilor.</w:t>
            </w:r>
          </w:p>
          <w:p w14:paraId="0415370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OUG nr. 77/2014 -  Cap. VI și VII conțin proceduri naţionale privind rambursarea/recuperarea ajutorului de stat ilegal şl a ajutorului de stat utilizat abuziv dispusă de CE, respectiv dispusă de furnizori.</w:t>
            </w:r>
          </w:p>
        </w:tc>
      </w:tr>
      <w:tr w:rsidR="006D49B0" w:rsidRPr="000409A4" w14:paraId="36FF5C79"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5A1B6DB2"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694C2412"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2910C1A6"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02E1C17E"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29C8BD7D"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2.Prin acces la consiliere sau orientări în materie de ajutoare de stat, asigurate </w:t>
            </w:r>
            <w:r w:rsidRPr="006D49B0">
              <w:rPr>
                <w:rFonts w:eastAsia="Times New Roman" w:cs="Times New Roman"/>
                <w:iCs/>
                <w:noProof/>
              </w:rPr>
              <w:lastRenderedPageBreak/>
              <w:t>de experţi în ajutor de stat din instituţii locale sau naţionale</w:t>
            </w:r>
          </w:p>
        </w:tc>
        <w:tc>
          <w:tcPr>
            <w:tcW w:w="1156" w:type="dxa"/>
            <w:tcBorders>
              <w:top w:val="single" w:sz="4" w:space="0" w:color="auto"/>
              <w:left w:val="single" w:sz="4" w:space="0" w:color="auto"/>
              <w:bottom w:val="single" w:sz="4" w:space="0" w:color="auto"/>
              <w:right w:val="single" w:sz="4" w:space="0" w:color="auto"/>
            </w:tcBorders>
          </w:tcPr>
          <w:p w14:paraId="151A3F87"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2B03E3BA"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OUG nr. 77/2014 privind procedurile naționale în domeniul ajutorului de stat, precum și pentru modificarea și completarea Legii concurenței nr. 21/1996</w:t>
            </w:r>
          </w:p>
        </w:tc>
        <w:tc>
          <w:tcPr>
            <w:tcW w:w="2716" w:type="dxa"/>
            <w:tcBorders>
              <w:top w:val="single" w:sz="4" w:space="0" w:color="auto"/>
              <w:left w:val="single" w:sz="4" w:space="0" w:color="auto"/>
              <w:bottom w:val="single" w:sz="4" w:space="0" w:color="auto"/>
              <w:right w:val="single" w:sz="4" w:space="0" w:color="auto"/>
            </w:tcBorders>
          </w:tcPr>
          <w:p w14:paraId="4F442D90"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Alin. (2), art. 6 -  CC acordă asistenţă de specialitate în domeniul ajutorului tuturor entităților care aplică regulile ajutorului de stat</w:t>
            </w:r>
          </w:p>
          <w:p w14:paraId="0594C2BC"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AM-urile au acces la paltforma </w:t>
            </w:r>
            <w:r w:rsidRPr="006D49B0">
              <w:rPr>
                <w:rFonts w:ascii="Times New Roman" w:eastAsia="Times New Roman" w:hAnsi="Times New Roman" w:cs="Times New Roman"/>
                <w:iCs/>
                <w:noProof/>
                <w:sz w:val="20"/>
              </w:rPr>
              <w:lastRenderedPageBreak/>
              <w:t xml:space="preserve">wiki prin CC.  </w:t>
            </w:r>
          </w:p>
        </w:tc>
      </w:tr>
      <w:tr w:rsidR="006D49B0" w:rsidRPr="000409A4" w14:paraId="0C0D060F"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7D8B4DF1"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Aplicarea şi implementarea eficientă a Cartei UE privind Drepturile Fundamentale</w:t>
            </w:r>
          </w:p>
        </w:tc>
        <w:tc>
          <w:tcPr>
            <w:tcW w:w="1399" w:type="dxa"/>
            <w:tcBorders>
              <w:top w:val="single" w:sz="4" w:space="0" w:color="auto"/>
              <w:left w:val="single" w:sz="4" w:space="0" w:color="auto"/>
              <w:bottom w:val="single" w:sz="4" w:space="0" w:color="auto"/>
              <w:right w:val="single" w:sz="4" w:space="0" w:color="auto"/>
            </w:tcBorders>
          </w:tcPr>
          <w:p w14:paraId="643A1B66"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2439F3D8"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5E4C6C80"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34EB4BD5"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Mecanisme eficiente sunt în vigoare pentru asigurarea conformităţii cu Carta UE privind Drepturile Fundamentale:</w:t>
            </w:r>
          </w:p>
          <w:p w14:paraId="41C90258"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1. Modalităţi prin care se asigură conformitatea programelor sprijinite de Fonduri şi implementarea lor cu prevederile relevante ale Cartei</w:t>
            </w:r>
          </w:p>
        </w:tc>
        <w:tc>
          <w:tcPr>
            <w:tcW w:w="1156" w:type="dxa"/>
            <w:tcBorders>
              <w:top w:val="single" w:sz="4" w:space="0" w:color="auto"/>
              <w:left w:val="single" w:sz="4" w:space="0" w:color="auto"/>
              <w:bottom w:val="single" w:sz="4" w:space="0" w:color="auto"/>
              <w:right w:val="single" w:sz="4" w:space="0" w:color="auto"/>
            </w:tcBorders>
          </w:tcPr>
          <w:p w14:paraId="576BCD3F"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5DADDD93" w14:textId="77777777" w:rsidR="006D49B0" w:rsidRPr="006D49B0" w:rsidRDefault="006D49B0" w:rsidP="006D49B0">
            <w:pPr>
              <w:spacing w:before="120" w:after="120"/>
              <w:rPr>
                <w:rFonts w:ascii="Times New Roman" w:eastAsia="Times New Roman" w:hAnsi="Times New Roman" w:cs="Times New Roman"/>
                <w:iCs/>
                <w:noProof/>
                <w:sz w:val="20"/>
              </w:rPr>
            </w:pPr>
          </w:p>
          <w:p w14:paraId="721A3B9F" w14:textId="77777777" w:rsidR="006D49B0" w:rsidRPr="006D49B0" w:rsidRDefault="006D49B0" w:rsidP="006D49B0">
            <w:pPr>
              <w:spacing w:before="120" w:after="120"/>
              <w:rPr>
                <w:rFonts w:ascii="Times New Roman" w:eastAsia="Times New Roman" w:hAnsi="Times New Roman" w:cs="Times New Roman"/>
                <w:iCs/>
                <w:noProof/>
                <w:sz w:val="20"/>
              </w:rPr>
            </w:pPr>
          </w:p>
          <w:p w14:paraId="736E4030" w14:textId="77777777" w:rsidR="006D49B0" w:rsidRPr="006D49B0" w:rsidRDefault="006D49B0" w:rsidP="006D49B0">
            <w:pPr>
              <w:spacing w:before="120" w:after="120"/>
              <w:rPr>
                <w:rFonts w:ascii="Times New Roman" w:eastAsia="Times New Roman" w:hAnsi="Times New Roman" w:cs="Times New Roman"/>
                <w:iCs/>
                <w:noProof/>
                <w:sz w:val="20"/>
              </w:rPr>
            </w:pPr>
          </w:p>
          <w:p w14:paraId="67A1742F" w14:textId="77777777" w:rsidR="006D49B0" w:rsidRPr="006D49B0" w:rsidRDefault="006D49B0" w:rsidP="006D49B0">
            <w:pPr>
              <w:spacing w:before="120" w:after="120"/>
              <w:rPr>
                <w:rFonts w:ascii="Times New Roman" w:eastAsia="Times New Roman" w:hAnsi="Times New Roman" w:cs="Times New Roman"/>
                <w:iCs/>
                <w:noProof/>
                <w:sz w:val="20"/>
              </w:rPr>
            </w:pPr>
          </w:p>
          <w:p w14:paraId="37F32DEE" w14:textId="77777777" w:rsidR="006D49B0" w:rsidRPr="006D49B0" w:rsidRDefault="006D49B0" w:rsidP="006D49B0">
            <w:pPr>
              <w:spacing w:before="120" w:after="120"/>
              <w:rPr>
                <w:rFonts w:ascii="Times New Roman" w:eastAsia="Times New Roman" w:hAnsi="Times New Roman" w:cs="Times New Roman"/>
                <w:iCs/>
                <w:noProof/>
                <w:sz w:val="20"/>
              </w:rPr>
            </w:pPr>
          </w:p>
          <w:p w14:paraId="35B1A497" w14:textId="69B13BDD"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vMerge w:val="restart"/>
            <w:tcBorders>
              <w:top w:val="single" w:sz="4" w:space="0" w:color="auto"/>
              <w:left w:val="single" w:sz="4" w:space="0" w:color="auto"/>
              <w:right w:val="single" w:sz="4" w:space="0" w:color="auto"/>
            </w:tcBorders>
          </w:tcPr>
          <w:p w14:paraId="7B03FC55" w14:textId="77777777" w:rsidR="006D49B0" w:rsidRPr="006D49B0" w:rsidRDefault="006D49B0" w:rsidP="006D49B0">
            <w:pPr>
              <w:spacing w:before="120" w:after="120"/>
              <w:rPr>
                <w:rFonts w:ascii="Times New Roman" w:eastAsia="Times New Roman" w:hAnsi="Times New Roman" w:cs="Times New Roman"/>
                <w:iCs/>
                <w:noProof/>
                <w:sz w:val="20"/>
              </w:rPr>
            </w:pPr>
          </w:p>
          <w:p w14:paraId="62F45405" w14:textId="77777777" w:rsidR="006D49B0" w:rsidRPr="006D49B0" w:rsidRDefault="006D49B0" w:rsidP="006D49B0">
            <w:pPr>
              <w:spacing w:before="120" w:after="120"/>
              <w:rPr>
                <w:rFonts w:ascii="Times New Roman" w:eastAsia="Times New Roman" w:hAnsi="Times New Roman" w:cs="Times New Roman"/>
                <w:iCs/>
                <w:noProof/>
                <w:sz w:val="20"/>
              </w:rPr>
            </w:pPr>
          </w:p>
          <w:p w14:paraId="5248297E" w14:textId="77777777" w:rsidR="006D49B0" w:rsidRPr="006D49B0" w:rsidRDefault="006D49B0" w:rsidP="006D49B0">
            <w:pPr>
              <w:spacing w:before="120" w:after="120"/>
              <w:rPr>
                <w:rFonts w:ascii="Times New Roman" w:eastAsia="Times New Roman" w:hAnsi="Times New Roman" w:cs="Times New Roman"/>
                <w:iCs/>
                <w:noProof/>
                <w:sz w:val="20"/>
              </w:rPr>
            </w:pPr>
          </w:p>
          <w:p w14:paraId="356CB345" w14:textId="77777777" w:rsidR="006D49B0" w:rsidRPr="006D49B0" w:rsidRDefault="006D49B0" w:rsidP="006D49B0">
            <w:pPr>
              <w:spacing w:before="120" w:after="120"/>
              <w:rPr>
                <w:rFonts w:ascii="Times New Roman" w:eastAsia="Times New Roman" w:hAnsi="Times New Roman" w:cs="Times New Roman"/>
                <w:iCs/>
                <w:noProof/>
                <w:sz w:val="20"/>
              </w:rPr>
            </w:pPr>
          </w:p>
          <w:p w14:paraId="26263882" w14:textId="77777777" w:rsidR="006D49B0" w:rsidRPr="006D49B0" w:rsidRDefault="006D49B0" w:rsidP="006D49B0">
            <w:pPr>
              <w:spacing w:before="120" w:after="120"/>
              <w:rPr>
                <w:rFonts w:ascii="Times New Roman" w:eastAsia="Times New Roman" w:hAnsi="Times New Roman" w:cs="Times New Roman"/>
                <w:iCs/>
                <w:noProof/>
                <w:sz w:val="20"/>
              </w:rPr>
            </w:pPr>
          </w:p>
          <w:p w14:paraId="23528FEC" w14:textId="77777777" w:rsidR="006D49B0" w:rsidRPr="006D49B0" w:rsidRDefault="006D49B0" w:rsidP="006D49B0">
            <w:pPr>
              <w:spacing w:before="120" w:after="120"/>
              <w:rPr>
                <w:rFonts w:ascii="Times New Roman" w:eastAsia="Times New Roman" w:hAnsi="Times New Roman" w:cs="Times New Roman"/>
                <w:iCs/>
                <w:noProof/>
                <w:sz w:val="20"/>
              </w:rPr>
            </w:pPr>
          </w:p>
          <w:p w14:paraId="31680928"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MFE a elaborat o propunere de Ghid pentru aplicarea Cartei Drepturilor Fundamentale UE în implementarea fondurilor europene, ghid care se asigură că activitățile și verificările pentru respectarea dispozițiilor Cartei sunt integrate în toate etapele, documentele și activitățile derulate implicând resurse financiare UE.</w:t>
            </w:r>
          </w:p>
          <w:p w14:paraId="7F3414C0" w14:textId="024524F1"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Ghidul include obligațiile autorităților de management și a celorlalte instituții implicate în implementarea fondurilor, în redactarea lui luându-se în considerare și opiniile avizate </w:t>
            </w:r>
            <w:r w:rsidRPr="006D49B0">
              <w:rPr>
                <w:rFonts w:ascii="Times New Roman" w:eastAsia="Times New Roman" w:hAnsi="Times New Roman" w:cs="Times New Roman"/>
                <w:iCs/>
                <w:noProof/>
                <w:sz w:val="20"/>
              </w:rPr>
              <w:lastRenderedPageBreak/>
              <w:t>ale Agenției pentru Drepturi Fundamentale . Acesta urmează să fie supus consultării autorităților de management și altor entități.</w:t>
            </w:r>
          </w:p>
        </w:tc>
      </w:tr>
      <w:tr w:rsidR="006D49B0" w14:paraId="59E4BE18"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6AAE2E1C"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372BDF02"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29172CB7"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791B2BEA"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22709C22"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2.Modalităţi de raportare către comitetul de monitorizare cu privire la cazurile de neconformitate ale operaţiunilor sprijinite de Fonduri cu Carta şi plângeri referitoare la Cartă transmise în acord cu aranjamentele făcute în conformitate cu Art.63(3) CPR</w:t>
            </w:r>
          </w:p>
        </w:tc>
        <w:tc>
          <w:tcPr>
            <w:tcW w:w="1156" w:type="dxa"/>
            <w:tcBorders>
              <w:top w:val="single" w:sz="4" w:space="0" w:color="auto"/>
              <w:left w:val="single" w:sz="4" w:space="0" w:color="auto"/>
              <w:bottom w:val="single" w:sz="4" w:space="0" w:color="auto"/>
              <w:right w:val="single" w:sz="4" w:space="0" w:color="auto"/>
            </w:tcBorders>
          </w:tcPr>
          <w:p w14:paraId="55227C06"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26FCCA72" w14:textId="2426FB75"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vMerge/>
            <w:tcBorders>
              <w:left w:val="single" w:sz="4" w:space="0" w:color="auto"/>
              <w:bottom w:val="single" w:sz="4" w:space="0" w:color="auto"/>
              <w:right w:val="single" w:sz="4" w:space="0" w:color="auto"/>
            </w:tcBorders>
          </w:tcPr>
          <w:p w14:paraId="4AEF5034" w14:textId="26B9755C" w:rsidR="006D49B0" w:rsidRPr="006D49B0" w:rsidRDefault="006D49B0" w:rsidP="006D49B0">
            <w:pPr>
              <w:spacing w:before="120" w:after="120"/>
              <w:rPr>
                <w:rFonts w:ascii="Times New Roman" w:eastAsia="Times New Roman" w:hAnsi="Times New Roman" w:cs="Times New Roman"/>
                <w:iCs/>
                <w:noProof/>
                <w:sz w:val="20"/>
              </w:rPr>
            </w:pPr>
          </w:p>
        </w:tc>
      </w:tr>
      <w:tr w:rsidR="006D49B0" w14:paraId="3AF50A3E"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375D8B71"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 xml:space="preserve">Implementarea şi aplicarea Convenţiei Organizaţiei Naţiunilor Unite privind drepturile persoanelor cu </w:t>
            </w:r>
            <w:r w:rsidRPr="006D49B0">
              <w:rPr>
                <w:rFonts w:ascii="Times New Roman" w:eastAsia="Times New Roman" w:hAnsi="Times New Roman" w:cs="Times New Roman"/>
                <w:iCs/>
                <w:noProof/>
                <w:sz w:val="20"/>
              </w:rPr>
              <w:lastRenderedPageBreak/>
              <w:t>dizabilităţi (UNCRPD) în acord cu Decizia Consiliului 2010/48/EC</w:t>
            </w:r>
          </w:p>
        </w:tc>
        <w:tc>
          <w:tcPr>
            <w:tcW w:w="1399" w:type="dxa"/>
            <w:tcBorders>
              <w:top w:val="single" w:sz="4" w:space="0" w:color="auto"/>
              <w:left w:val="single" w:sz="4" w:space="0" w:color="auto"/>
              <w:bottom w:val="single" w:sz="4" w:space="0" w:color="auto"/>
              <w:right w:val="single" w:sz="4" w:space="0" w:color="auto"/>
            </w:tcBorders>
          </w:tcPr>
          <w:p w14:paraId="1ABB3709"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1B3B049A"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422C417E"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36D9456F"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Un cadru naţional care să asigure implementarea UNCRPD care include:</w:t>
            </w:r>
          </w:p>
          <w:p w14:paraId="484971D0"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1.Obiective cu </w:t>
            </w:r>
            <w:r w:rsidRPr="006D49B0">
              <w:rPr>
                <w:rFonts w:eastAsia="Times New Roman" w:cs="Times New Roman"/>
                <w:iCs/>
                <w:noProof/>
              </w:rPr>
              <w:lastRenderedPageBreak/>
              <w:t xml:space="preserve">ţinte măsurabile, mecanisme pentru colectare date şi monitorizare </w:t>
            </w:r>
          </w:p>
        </w:tc>
        <w:tc>
          <w:tcPr>
            <w:tcW w:w="1156" w:type="dxa"/>
            <w:tcBorders>
              <w:top w:val="single" w:sz="4" w:space="0" w:color="auto"/>
              <w:left w:val="single" w:sz="4" w:space="0" w:color="auto"/>
              <w:bottom w:val="single" w:sz="4" w:space="0" w:color="auto"/>
              <w:right w:val="single" w:sz="4" w:space="0" w:color="auto"/>
            </w:tcBorders>
          </w:tcPr>
          <w:p w14:paraId="44A02522" w14:textId="77777777" w:rsidR="006D49B0" w:rsidRPr="006D49B0" w:rsidRDefault="006D49B0" w:rsidP="006D49B0">
            <w:pPr>
              <w:spacing w:before="120" w:after="120"/>
              <w:rPr>
                <w:rFonts w:ascii="Times New Roman" w:eastAsia="Times New Roman" w:hAnsi="Times New Roman" w:cs="Times New Roman"/>
                <w:iCs/>
                <w:noProof/>
                <w:sz w:val="20"/>
              </w:rPr>
            </w:pPr>
          </w:p>
          <w:p w14:paraId="4EBD6AC2" w14:textId="77777777" w:rsidR="006D49B0" w:rsidRPr="006D49B0" w:rsidRDefault="006D49B0" w:rsidP="006D49B0">
            <w:pPr>
              <w:spacing w:before="120" w:after="120"/>
              <w:rPr>
                <w:rFonts w:ascii="Times New Roman" w:eastAsia="Times New Roman" w:hAnsi="Times New Roman" w:cs="Times New Roman"/>
                <w:iCs/>
                <w:noProof/>
                <w:sz w:val="20"/>
              </w:rPr>
            </w:pPr>
          </w:p>
          <w:p w14:paraId="53B57369" w14:textId="77777777" w:rsidR="006D49B0" w:rsidRPr="006D49B0" w:rsidRDefault="006D49B0" w:rsidP="006D49B0">
            <w:pPr>
              <w:spacing w:before="120" w:after="120"/>
              <w:rPr>
                <w:rFonts w:ascii="Times New Roman" w:eastAsia="Times New Roman" w:hAnsi="Times New Roman" w:cs="Times New Roman"/>
                <w:iCs/>
                <w:noProof/>
                <w:sz w:val="20"/>
              </w:rPr>
            </w:pPr>
          </w:p>
          <w:p w14:paraId="7319624D" w14:textId="77777777" w:rsidR="006D49B0" w:rsidRPr="006D49B0" w:rsidRDefault="006D49B0" w:rsidP="006D49B0">
            <w:pPr>
              <w:spacing w:before="120" w:after="120"/>
              <w:rPr>
                <w:rFonts w:ascii="Times New Roman" w:eastAsia="Times New Roman" w:hAnsi="Times New Roman" w:cs="Times New Roman"/>
                <w:iCs/>
                <w:noProof/>
                <w:sz w:val="20"/>
              </w:rPr>
            </w:pPr>
          </w:p>
          <w:p w14:paraId="2FDD180A"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4FEFF90B" w14:textId="77777777" w:rsidR="006D49B0" w:rsidRPr="006D49B0" w:rsidRDefault="006D49B0" w:rsidP="006D49B0">
            <w:pPr>
              <w:spacing w:before="120" w:after="120"/>
              <w:rPr>
                <w:rFonts w:ascii="Times New Roman" w:eastAsia="Times New Roman" w:hAnsi="Times New Roman" w:cs="Times New Roman"/>
                <w:iCs/>
                <w:noProof/>
                <w:sz w:val="20"/>
              </w:rPr>
            </w:pPr>
          </w:p>
          <w:p w14:paraId="44320ACA" w14:textId="77777777" w:rsidR="006D49B0" w:rsidRPr="006D49B0" w:rsidRDefault="006D49B0" w:rsidP="006D49B0">
            <w:pPr>
              <w:spacing w:before="120" w:after="120"/>
              <w:rPr>
                <w:rFonts w:ascii="Times New Roman" w:eastAsia="Times New Roman" w:hAnsi="Times New Roman" w:cs="Times New Roman"/>
                <w:iCs/>
                <w:noProof/>
                <w:sz w:val="20"/>
              </w:rPr>
            </w:pPr>
          </w:p>
          <w:p w14:paraId="4ED4C185" w14:textId="77777777" w:rsidR="006D49B0" w:rsidRPr="006D49B0" w:rsidRDefault="006D49B0" w:rsidP="006D49B0">
            <w:pPr>
              <w:spacing w:before="120" w:after="120"/>
              <w:rPr>
                <w:rFonts w:ascii="Times New Roman" w:eastAsia="Times New Roman" w:hAnsi="Times New Roman" w:cs="Times New Roman"/>
                <w:iCs/>
                <w:noProof/>
                <w:sz w:val="20"/>
              </w:rPr>
            </w:pPr>
          </w:p>
          <w:p w14:paraId="5310F8DC" w14:textId="77777777" w:rsidR="006D49B0" w:rsidRPr="006D49B0" w:rsidRDefault="006D49B0" w:rsidP="006D49B0">
            <w:pPr>
              <w:spacing w:before="120" w:after="120"/>
              <w:rPr>
                <w:rFonts w:ascii="Times New Roman" w:eastAsia="Times New Roman" w:hAnsi="Times New Roman" w:cs="Times New Roman"/>
                <w:iCs/>
                <w:noProof/>
                <w:sz w:val="20"/>
              </w:rPr>
            </w:pPr>
          </w:p>
          <w:p w14:paraId="4D27FF31"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Strategia națională ”O societate fără bariere pentru persoanele cu </w:t>
            </w:r>
            <w:r w:rsidRPr="006D49B0">
              <w:rPr>
                <w:rFonts w:ascii="Times New Roman" w:eastAsia="Times New Roman" w:hAnsi="Times New Roman" w:cs="Times New Roman"/>
                <w:iCs/>
                <w:noProof/>
                <w:sz w:val="20"/>
              </w:rPr>
              <w:lastRenderedPageBreak/>
              <w:t>dizabilități 2016-2020”</w:t>
            </w:r>
          </w:p>
        </w:tc>
        <w:tc>
          <w:tcPr>
            <w:tcW w:w="2716" w:type="dxa"/>
            <w:tcBorders>
              <w:top w:val="single" w:sz="4" w:space="0" w:color="auto"/>
              <w:left w:val="single" w:sz="4" w:space="0" w:color="auto"/>
              <w:bottom w:val="single" w:sz="4" w:space="0" w:color="auto"/>
              <w:right w:val="single" w:sz="4" w:space="0" w:color="auto"/>
            </w:tcBorders>
          </w:tcPr>
          <w:p w14:paraId="1275CA87" w14:textId="77777777" w:rsidR="006D49B0" w:rsidRPr="006D49B0" w:rsidRDefault="006D49B0" w:rsidP="006D49B0">
            <w:pPr>
              <w:spacing w:before="120" w:after="120"/>
              <w:rPr>
                <w:rFonts w:ascii="Times New Roman" w:eastAsia="Times New Roman" w:hAnsi="Times New Roman" w:cs="Times New Roman"/>
                <w:iCs/>
                <w:noProof/>
                <w:sz w:val="20"/>
              </w:rPr>
            </w:pPr>
          </w:p>
          <w:p w14:paraId="4BE75AB5" w14:textId="77777777" w:rsidR="006D49B0" w:rsidRPr="006D49B0" w:rsidRDefault="006D49B0" w:rsidP="006D49B0">
            <w:pPr>
              <w:spacing w:before="120" w:after="120"/>
              <w:rPr>
                <w:rFonts w:ascii="Times New Roman" w:eastAsia="Times New Roman" w:hAnsi="Times New Roman" w:cs="Times New Roman"/>
                <w:iCs/>
                <w:noProof/>
                <w:sz w:val="20"/>
              </w:rPr>
            </w:pPr>
          </w:p>
          <w:p w14:paraId="058FBE67" w14:textId="77777777" w:rsidR="006D49B0" w:rsidRPr="006D49B0" w:rsidRDefault="006D49B0" w:rsidP="006D49B0">
            <w:pPr>
              <w:spacing w:before="120" w:after="120"/>
              <w:rPr>
                <w:rFonts w:ascii="Times New Roman" w:eastAsia="Times New Roman" w:hAnsi="Times New Roman" w:cs="Times New Roman"/>
                <w:iCs/>
                <w:noProof/>
                <w:sz w:val="20"/>
              </w:rPr>
            </w:pPr>
          </w:p>
          <w:p w14:paraId="7688376D" w14:textId="77777777" w:rsidR="006D49B0" w:rsidRPr="006D49B0" w:rsidRDefault="006D49B0" w:rsidP="006D49B0">
            <w:pPr>
              <w:spacing w:before="120" w:after="120"/>
              <w:rPr>
                <w:rFonts w:ascii="Times New Roman" w:eastAsia="Times New Roman" w:hAnsi="Times New Roman" w:cs="Times New Roman"/>
                <w:iCs/>
                <w:noProof/>
                <w:sz w:val="20"/>
              </w:rPr>
            </w:pPr>
          </w:p>
          <w:p w14:paraId="62C351C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Strategia Națională privind Drepturile Persoanelor cu </w:t>
            </w:r>
            <w:r w:rsidRPr="006D49B0">
              <w:rPr>
                <w:rFonts w:ascii="Times New Roman" w:eastAsia="Times New Roman" w:hAnsi="Times New Roman" w:cs="Times New Roman"/>
                <w:iCs/>
                <w:noProof/>
                <w:sz w:val="20"/>
              </w:rPr>
              <w:lastRenderedPageBreak/>
              <w:t xml:space="preserve">Dizabilități 2021-2027 și Planul Operațional aferent sunt în curs de elaborare şi se bazează pe Raportul de evaluare al Strategiei Naționale „O societate fără bariere pentru persoanele cu dizabilități  2016-2020” și pe diagnoza situaţiei persoanelor cu dizabilităţi în România. </w:t>
            </w:r>
          </w:p>
          <w:p w14:paraId="7A24F87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Până în prezent, au fost finalizate Raportul de evaluare a implementării Strategiei naționale ”O societate fără bariere pentru persoanele cu dizabilități 2016-2020”, setul  de  indicatori  cheie  privind  implementarea UNCRPD și Planul  preliminar  de  cercetare pentru colectarea datelor privind indicatorii cheie. </w:t>
            </w:r>
          </w:p>
          <w:p w14:paraId="775CB768"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Începând din decembrie 2019, a fost operaționalizat Comitetul Interministerial pentru asigurarea implementării UNCRPD, care reunește reprezentanți ai instituțiilor și autorităților publice cu atribuții în implementarea UNCRPD.</w:t>
            </w:r>
          </w:p>
        </w:tc>
      </w:tr>
      <w:tr w:rsidR="006D49B0" w14:paraId="44791553" w14:textId="77777777" w:rsidTr="006D4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6" w:type="dxa"/>
            <w:tcBorders>
              <w:top w:val="single" w:sz="4" w:space="0" w:color="auto"/>
              <w:left w:val="single" w:sz="4" w:space="0" w:color="auto"/>
              <w:bottom w:val="single" w:sz="4" w:space="0" w:color="auto"/>
              <w:right w:val="single" w:sz="4" w:space="0" w:color="auto"/>
            </w:tcBorders>
          </w:tcPr>
          <w:p w14:paraId="6596B0EE"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399" w:type="dxa"/>
            <w:tcBorders>
              <w:top w:val="single" w:sz="4" w:space="0" w:color="auto"/>
              <w:left w:val="single" w:sz="4" w:space="0" w:color="auto"/>
              <w:bottom w:val="single" w:sz="4" w:space="0" w:color="auto"/>
              <w:right w:val="single" w:sz="4" w:space="0" w:color="auto"/>
            </w:tcBorders>
          </w:tcPr>
          <w:p w14:paraId="610E9471"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738" w:type="dxa"/>
            <w:tcBorders>
              <w:top w:val="single" w:sz="4" w:space="0" w:color="auto"/>
              <w:left w:val="single" w:sz="4" w:space="0" w:color="auto"/>
              <w:bottom w:val="single" w:sz="4" w:space="0" w:color="auto"/>
              <w:right w:val="single" w:sz="4" w:space="0" w:color="auto"/>
            </w:tcBorders>
          </w:tcPr>
          <w:p w14:paraId="0761A82B"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156" w:type="dxa"/>
            <w:tcBorders>
              <w:top w:val="single" w:sz="4" w:space="0" w:color="auto"/>
              <w:left w:val="single" w:sz="4" w:space="0" w:color="auto"/>
              <w:bottom w:val="single" w:sz="4" w:space="0" w:color="auto"/>
              <w:right w:val="single" w:sz="4" w:space="0" w:color="auto"/>
            </w:tcBorders>
          </w:tcPr>
          <w:p w14:paraId="487D296D"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1637" w:type="dxa"/>
            <w:tcBorders>
              <w:top w:val="single" w:sz="4" w:space="0" w:color="auto"/>
              <w:left w:val="single" w:sz="4" w:space="0" w:color="auto"/>
              <w:bottom w:val="single" w:sz="4" w:space="0" w:color="auto"/>
              <w:right w:val="single" w:sz="4" w:space="0" w:color="auto"/>
            </w:tcBorders>
          </w:tcPr>
          <w:p w14:paraId="04AB1018"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2.Aranjamente </w:t>
            </w:r>
            <w:r w:rsidRPr="006D49B0">
              <w:rPr>
                <w:rFonts w:eastAsia="Times New Roman" w:cs="Times New Roman"/>
                <w:iCs/>
                <w:noProof/>
              </w:rPr>
              <w:lastRenderedPageBreak/>
              <w:t>care să asigure că politica de accesibilitate, legislaţia şi standardele sunt reflectate corespunzător în pregătirea şi implementarea programelor</w:t>
            </w:r>
          </w:p>
          <w:p w14:paraId="319525DD" w14:textId="77777777" w:rsidR="006D49B0" w:rsidRPr="006D49B0" w:rsidRDefault="006D49B0" w:rsidP="006D49B0">
            <w:pPr>
              <w:spacing w:before="120" w:after="120"/>
              <w:rPr>
                <w:rFonts w:eastAsia="Times New Roman" w:cs="Times New Roman"/>
                <w:iCs/>
                <w:noProof/>
              </w:rPr>
            </w:pPr>
            <w:r w:rsidRPr="006D49B0">
              <w:rPr>
                <w:rFonts w:eastAsia="Times New Roman" w:cs="Times New Roman"/>
                <w:iCs/>
                <w:noProof/>
              </w:rPr>
              <w:t xml:space="preserve">2a.Raportarea aranjamentelor către comitetul de monitorizare, cu privire la cazurile de neconformitate a operaţiilor sprijinite de Fonduri cu UNCRPD şi reclamaţii privind UNCRPD transmise în acord cu aranjamentele făcute în </w:t>
            </w:r>
            <w:r w:rsidRPr="006D49B0">
              <w:rPr>
                <w:rFonts w:eastAsia="Times New Roman" w:cs="Times New Roman"/>
                <w:iCs/>
                <w:noProof/>
              </w:rPr>
              <w:lastRenderedPageBreak/>
              <w:t>conformitate cu Art.63(6) CPR</w:t>
            </w:r>
          </w:p>
        </w:tc>
        <w:tc>
          <w:tcPr>
            <w:tcW w:w="1156" w:type="dxa"/>
            <w:tcBorders>
              <w:top w:val="single" w:sz="4" w:space="0" w:color="auto"/>
              <w:left w:val="single" w:sz="4" w:space="0" w:color="auto"/>
              <w:bottom w:val="single" w:sz="4" w:space="0" w:color="auto"/>
              <w:right w:val="single" w:sz="4" w:space="0" w:color="auto"/>
            </w:tcBorders>
          </w:tcPr>
          <w:p w14:paraId="41DA4B27"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3173" w:type="dxa"/>
            <w:tcBorders>
              <w:top w:val="single" w:sz="4" w:space="0" w:color="auto"/>
              <w:left w:val="single" w:sz="4" w:space="0" w:color="auto"/>
              <w:bottom w:val="single" w:sz="4" w:space="0" w:color="auto"/>
              <w:right w:val="single" w:sz="4" w:space="0" w:color="auto"/>
            </w:tcBorders>
          </w:tcPr>
          <w:p w14:paraId="6E81F606"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Legea nr. 448/2006</w:t>
            </w:r>
          </w:p>
          <w:p w14:paraId="0AC842BD"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Legea nr. 292/2011</w:t>
            </w:r>
          </w:p>
          <w:p w14:paraId="3FB4F832" w14:textId="77777777" w:rsidR="006D49B0" w:rsidRPr="006D49B0" w:rsidRDefault="006D49B0" w:rsidP="006D49B0">
            <w:pPr>
              <w:spacing w:before="120" w:after="120"/>
              <w:rPr>
                <w:rFonts w:ascii="Times New Roman" w:eastAsia="Times New Roman" w:hAnsi="Times New Roman" w:cs="Times New Roman"/>
                <w:iCs/>
                <w:noProof/>
                <w:sz w:val="20"/>
              </w:rPr>
            </w:pPr>
          </w:p>
        </w:tc>
        <w:tc>
          <w:tcPr>
            <w:tcW w:w="2716" w:type="dxa"/>
            <w:tcBorders>
              <w:top w:val="single" w:sz="4" w:space="0" w:color="auto"/>
              <w:left w:val="single" w:sz="4" w:space="0" w:color="auto"/>
              <w:bottom w:val="single" w:sz="4" w:space="0" w:color="auto"/>
              <w:right w:val="single" w:sz="4" w:space="0" w:color="auto"/>
            </w:tcBorders>
          </w:tcPr>
          <w:p w14:paraId="1CA25E1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lastRenderedPageBreak/>
              <w:t xml:space="preserve">A fost elaborat și lansat în </w:t>
            </w:r>
            <w:r w:rsidRPr="006D49B0">
              <w:rPr>
                <w:rFonts w:ascii="Times New Roman" w:eastAsia="Times New Roman" w:hAnsi="Times New Roman" w:cs="Times New Roman"/>
                <w:iCs/>
                <w:noProof/>
                <w:sz w:val="20"/>
              </w:rPr>
              <w:lastRenderedPageBreak/>
              <w:t xml:space="preserve">dezbatere publică Ghidul privind reflectarea UNCRPD în pregătirea și implementarea PO 2021-2027.  </w:t>
            </w:r>
          </w:p>
          <w:p w14:paraId="1C00A6F2"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Ghidul privind reflectarea UNCRPD în pregătirea și implementarea PO 2021-2027 este în curs de elaborare. Documentul prezintă cadrul legal și instituțional aplicabil, principalele dispoziții ale UNCRPD de care se va ține cont atât în etapa de programare, cât și în cea de implementare, precum și mecanismele de asigurare și verificare a respectării condiției favorizante.</w:t>
            </w:r>
          </w:p>
          <w:p w14:paraId="60115ECA"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 xml:space="preserve">Fondurile UE nu vor sprijini acțiuni care să contribuie la vreo formă de segregare pentru persoanele cu dizabilități, urmărind, la nivelul fiecărui obiectiv specific, promovarea de acțiuni privind accesibilitatea, adaptarea rezonabilă, designul universal, cercetarea și utilizarea de noi tehnologii, inclusiv tehnologii și dispozitive asistive și tehnologii de acces destinate persoanelor cu dizabilități. Totodată, se va ține cont de </w:t>
            </w:r>
            <w:r w:rsidRPr="006D49B0">
              <w:rPr>
                <w:rFonts w:ascii="Times New Roman" w:eastAsia="Times New Roman" w:hAnsi="Times New Roman" w:cs="Times New Roman"/>
                <w:iCs/>
                <w:noProof/>
                <w:sz w:val="20"/>
              </w:rPr>
              <w:lastRenderedPageBreak/>
              <w:t xml:space="preserve">principiul parteneriatului cu organismele responsabile de promovarea drepturilor persoanelor cu dizabilități. Anexele la Ghid cuprind screeningul legislativ pentru toate obiectivele specifice din cadrul celor 5 obiective de politică UE. </w:t>
            </w:r>
          </w:p>
          <w:p w14:paraId="156E5329" w14:textId="77777777" w:rsidR="006D49B0" w:rsidRPr="006D49B0" w:rsidRDefault="006D49B0" w:rsidP="006D49B0">
            <w:pPr>
              <w:spacing w:before="120" w:after="120"/>
              <w:rPr>
                <w:rFonts w:ascii="Times New Roman" w:eastAsia="Times New Roman" w:hAnsi="Times New Roman" w:cs="Times New Roman"/>
                <w:iCs/>
                <w:noProof/>
                <w:sz w:val="20"/>
              </w:rPr>
            </w:pPr>
            <w:r w:rsidRPr="006D49B0">
              <w:rPr>
                <w:rFonts w:ascii="Times New Roman" w:eastAsia="Times New Roman" w:hAnsi="Times New Roman" w:cs="Times New Roman"/>
                <w:iCs/>
                <w:noProof/>
                <w:sz w:val="20"/>
              </w:rPr>
              <w:t>În ceea ce privește raportarea către Comitetul de monitorizare al programului a cazurilor de neconformitate a operaţiunilor sprijinite de Fonduri, aceasta se va realiza în manieră similară celei din perioada de programare 2014-2020, cu participarea în cadrul acestui comitet a reprezentanților autorităților de management, ANDPDCA, DCEI-Punctul de contact pentru implementarea Convenției privind drepturile persoanelor cu dizabilități și ai altor structuri relevante din punct de vedere al implementării și aplicării UNCRPD.</w:t>
            </w:r>
          </w:p>
        </w:tc>
      </w:tr>
    </w:tbl>
    <w:p w14:paraId="29F43280" w14:textId="77777777" w:rsidR="001A17A2" w:rsidRPr="001552C0" w:rsidRDefault="001A17A2" w:rsidP="001A17A2">
      <w:pPr>
        <w:spacing w:before="120" w:after="120" w:line="360" w:lineRule="auto"/>
        <w:rPr>
          <w:rFonts w:ascii="Times New Roman" w:hAnsi="Times New Roman" w:cs="Times New Roman"/>
          <w:b/>
          <w:noProof/>
          <w:sz w:val="24"/>
        </w:rPr>
      </w:pPr>
      <w:r w:rsidRPr="001552C0">
        <w:rPr>
          <w:rFonts w:ascii="Times New Roman" w:hAnsi="Times New Roman" w:cs="Times New Roman"/>
          <w:b/>
          <w:noProof/>
          <w:sz w:val="24"/>
        </w:rPr>
        <w:lastRenderedPageBreak/>
        <w:br w:type="page"/>
      </w:r>
      <w:r w:rsidRPr="001552C0">
        <w:rPr>
          <w:rFonts w:ascii="Times New Roman" w:hAnsi="Times New Roman" w:cs="Times New Roman"/>
          <w:b/>
          <w:noProof/>
          <w:sz w:val="24"/>
        </w:rPr>
        <w:lastRenderedPageBreak/>
        <w:t>5.</w:t>
      </w:r>
      <w:r w:rsidRPr="001552C0">
        <w:rPr>
          <w:rFonts w:ascii="Times New Roman" w:hAnsi="Times New Roman" w:cs="Times New Roman"/>
          <w:b/>
          <w:noProof/>
          <w:sz w:val="24"/>
        </w:rPr>
        <w:tab/>
        <w:t xml:space="preserve">Programme authorities </w:t>
      </w:r>
    </w:p>
    <w:p w14:paraId="1842206F" w14:textId="77777777" w:rsidR="001A17A2" w:rsidRPr="001552C0" w:rsidRDefault="001A17A2" w:rsidP="001A17A2">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t>Reference: Article 17(3)(j); Article 65, Article 78 CPR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03"/>
        <w:gridCol w:w="2057"/>
        <w:gridCol w:w="2376"/>
      </w:tblGrid>
      <w:tr w:rsidR="00B96B06" w:rsidRPr="001552C0" w14:paraId="0F247251" w14:textId="77777777" w:rsidTr="004F32B2">
        <w:tc>
          <w:tcPr>
            <w:tcW w:w="9288" w:type="dxa"/>
            <w:gridSpan w:val="4"/>
            <w:tcBorders>
              <w:top w:val="single" w:sz="4" w:space="0" w:color="auto"/>
              <w:left w:val="single" w:sz="4" w:space="0" w:color="auto"/>
              <w:bottom w:val="single" w:sz="4" w:space="0" w:color="auto"/>
              <w:right w:val="single" w:sz="4" w:space="0" w:color="auto"/>
            </w:tcBorders>
            <w:hideMark/>
          </w:tcPr>
          <w:p w14:paraId="3BE30430" w14:textId="77777777" w:rsidR="001A17A2" w:rsidRPr="001552C0" w:rsidRDefault="001A17A2" w:rsidP="001A17A2">
            <w:pPr>
              <w:spacing w:before="120" w:after="120" w:line="360" w:lineRule="auto"/>
              <w:rPr>
                <w:rFonts w:ascii="Times New Roman" w:hAnsi="Times New Roman" w:cs="Times New Roman"/>
                <w:b/>
                <w:noProof/>
                <w:sz w:val="20"/>
              </w:rPr>
            </w:pPr>
            <w:r w:rsidRPr="001552C0">
              <w:rPr>
                <w:rFonts w:ascii="Times New Roman" w:hAnsi="Times New Roman" w:cs="Times New Roman"/>
                <w:b/>
                <w:noProof/>
                <w:sz w:val="20"/>
              </w:rPr>
              <w:t>Table 13: Programme authorities</w:t>
            </w:r>
          </w:p>
        </w:tc>
      </w:tr>
      <w:tr w:rsidR="00B96B06" w:rsidRPr="001552C0" w14:paraId="42F0B559"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04424ED8" w14:textId="77777777" w:rsidR="001A17A2" w:rsidRPr="001552C0" w:rsidRDefault="001A17A2" w:rsidP="001A17A2">
            <w:pPr>
              <w:spacing w:before="120" w:after="120" w:line="360" w:lineRule="auto"/>
              <w:rPr>
                <w:rFonts w:ascii="Times New Roman" w:hAnsi="Times New Roman" w:cs="Times New Roman"/>
                <w:b/>
                <w:noProof/>
                <w:sz w:val="20"/>
              </w:rPr>
            </w:pPr>
            <w:r w:rsidRPr="001552C0">
              <w:rPr>
                <w:rFonts w:ascii="Times New Roman" w:hAnsi="Times New Roman" w:cs="Times New Roman"/>
                <w:b/>
                <w:noProof/>
                <w:sz w:val="20"/>
              </w:rPr>
              <w:t xml:space="preserve">Programme authorities </w:t>
            </w:r>
          </w:p>
        </w:tc>
        <w:tc>
          <w:tcPr>
            <w:tcW w:w="2403" w:type="dxa"/>
            <w:tcBorders>
              <w:top w:val="single" w:sz="4" w:space="0" w:color="auto"/>
              <w:left w:val="single" w:sz="4" w:space="0" w:color="auto"/>
              <w:bottom w:val="single" w:sz="4" w:space="0" w:color="auto"/>
              <w:right w:val="single" w:sz="4" w:space="0" w:color="auto"/>
            </w:tcBorders>
            <w:hideMark/>
          </w:tcPr>
          <w:p w14:paraId="7ED75788" w14:textId="77777777" w:rsidR="001A17A2" w:rsidRPr="001552C0" w:rsidRDefault="001A17A2" w:rsidP="001A17A2">
            <w:pPr>
              <w:spacing w:before="120" w:after="120" w:line="360" w:lineRule="auto"/>
              <w:rPr>
                <w:rFonts w:ascii="Times New Roman" w:hAnsi="Times New Roman" w:cs="Times New Roman"/>
                <w:b/>
                <w:noProof/>
                <w:sz w:val="20"/>
              </w:rPr>
            </w:pPr>
            <w:r w:rsidRPr="001552C0">
              <w:rPr>
                <w:rFonts w:ascii="Times New Roman" w:hAnsi="Times New Roman" w:cs="Times New Roman"/>
                <w:b/>
                <w:noProof/>
                <w:sz w:val="20"/>
              </w:rPr>
              <w:t xml:space="preserve">Name of the institution </w:t>
            </w:r>
            <w:r w:rsidRPr="001552C0">
              <w:rPr>
                <w:rFonts w:ascii="Times New Roman" w:hAnsi="Times New Roman" w:cs="Times New Roman"/>
                <w:noProof/>
                <w:sz w:val="20"/>
              </w:rPr>
              <w:t>[500]</w:t>
            </w:r>
          </w:p>
        </w:tc>
        <w:tc>
          <w:tcPr>
            <w:tcW w:w="2057" w:type="dxa"/>
            <w:tcBorders>
              <w:top w:val="single" w:sz="4" w:space="0" w:color="auto"/>
              <w:left w:val="single" w:sz="4" w:space="0" w:color="auto"/>
              <w:bottom w:val="single" w:sz="4" w:space="0" w:color="auto"/>
              <w:right w:val="single" w:sz="4" w:space="0" w:color="auto"/>
            </w:tcBorders>
          </w:tcPr>
          <w:p w14:paraId="2645FCE9" w14:textId="77777777" w:rsidR="001A17A2" w:rsidRPr="001552C0" w:rsidRDefault="001A17A2" w:rsidP="001A17A2">
            <w:pPr>
              <w:spacing w:before="120" w:after="120" w:line="360" w:lineRule="auto"/>
              <w:rPr>
                <w:rFonts w:ascii="Times New Roman" w:hAnsi="Times New Roman" w:cs="Times New Roman"/>
                <w:b/>
                <w:noProof/>
                <w:sz w:val="20"/>
              </w:rPr>
            </w:pPr>
            <w:r w:rsidRPr="001552C0">
              <w:rPr>
                <w:rFonts w:ascii="Times New Roman" w:hAnsi="Times New Roman" w:cs="Times New Roman"/>
                <w:b/>
                <w:noProof/>
                <w:sz w:val="20"/>
              </w:rPr>
              <w:t xml:space="preserve">Contact name </w:t>
            </w:r>
            <w:r w:rsidRPr="001552C0">
              <w:rPr>
                <w:rFonts w:ascii="Times New Roman" w:hAnsi="Times New Roman" w:cs="Times New Roman"/>
                <w:noProof/>
                <w:sz w:val="20"/>
              </w:rPr>
              <w:t>[200]</w:t>
            </w:r>
          </w:p>
          <w:p w14:paraId="66043DE6" w14:textId="77777777" w:rsidR="001A17A2" w:rsidRPr="001552C0" w:rsidRDefault="001A17A2" w:rsidP="001A17A2">
            <w:pPr>
              <w:spacing w:before="120" w:after="120" w:line="360" w:lineRule="auto"/>
              <w:rPr>
                <w:rFonts w:ascii="Times New Roman" w:hAnsi="Times New Roman" w:cs="Times New Roman"/>
                <w:b/>
                <w:noProof/>
                <w:sz w:val="20"/>
              </w:rPr>
            </w:pPr>
          </w:p>
        </w:tc>
        <w:tc>
          <w:tcPr>
            <w:tcW w:w="2376" w:type="dxa"/>
            <w:tcBorders>
              <w:top w:val="single" w:sz="4" w:space="0" w:color="auto"/>
              <w:left w:val="single" w:sz="4" w:space="0" w:color="auto"/>
              <w:bottom w:val="single" w:sz="4" w:space="0" w:color="auto"/>
              <w:right w:val="single" w:sz="4" w:space="0" w:color="auto"/>
            </w:tcBorders>
            <w:hideMark/>
          </w:tcPr>
          <w:p w14:paraId="4BC796CB" w14:textId="77777777" w:rsidR="001A17A2" w:rsidRPr="001552C0" w:rsidRDefault="001A17A2" w:rsidP="001A17A2">
            <w:pPr>
              <w:spacing w:before="120" w:after="120" w:line="360" w:lineRule="auto"/>
              <w:rPr>
                <w:rFonts w:ascii="Times New Roman" w:hAnsi="Times New Roman" w:cs="Times New Roman"/>
                <w:b/>
                <w:noProof/>
                <w:sz w:val="20"/>
              </w:rPr>
            </w:pPr>
            <w:r w:rsidRPr="001552C0">
              <w:rPr>
                <w:rFonts w:ascii="Times New Roman" w:hAnsi="Times New Roman" w:cs="Times New Roman"/>
                <w:b/>
                <w:noProof/>
                <w:sz w:val="20"/>
              </w:rPr>
              <w:t xml:space="preserve">E-mail </w:t>
            </w:r>
            <w:r w:rsidRPr="001552C0">
              <w:rPr>
                <w:rFonts w:ascii="Times New Roman" w:hAnsi="Times New Roman" w:cs="Times New Roman"/>
                <w:noProof/>
                <w:sz w:val="20"/>
              </w:rPr>
              <w:t>[200]</w:t>
            </w:r>
          </w:p>
        </w:tc>
      </w:tr>
      <w:tr w:rsidR="00B96B06" w:rsidRPr="001552C0" w14:paraId="6FF186A5"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2769FBBD" w14:textId="77777777" w:rsidR="001A17A2" w:rsidRPr="001552C0" w:rsidRDefault="001A17A2" w:rsidP="001A17A2">
            <w:pPr>
              <w:spacing w:before="120" w:after="120" w:line="360" w:lineRule="auto"/>
              <w:rPr>
                <w:rFonts w:ascii="Times New Roman" w:hAnsi="Times New Roman" w:cs="Times New Roman"/>
                <w:noProof/>
                <w:sz w:val="20"/>
              </w:rPr>
            </w:pPr>
            <w:r w:rsidRPr="001552C0">
              <w:rPr>
                <w:rFonts w:ascii="Times New Roman" w:hAnsi="Times New Roman" w:cs="Times New Roman"/>
                <w:noProof/>
                <w:sz w:val="20"/>
              </w:rPr>
              <w:t>Managing authority</w:t>
            </w:r>
          </w:p>
        </w:tc>
        <w:tc>
          <w:tcPr>
            <w:tcW w:w="2403" w:type="dxa"/>
            <w:tcBorders>
              <w:top w:val="single" w:sz="4" w:space="0" w:color="auto"/>
              <w:left w:val="single" w:sz="4" w:space="0" w:color="auto"/>
              <w:bottom w:val="single" w:sz="4" w:space="0" w:color="auto"/>
              <w:right w:val="single" w:sz="4" w:space="0" w:color="auto"/>
            </w:tcBorders>
          </w:tcPr>
          <w:p w14:paraId="27EB446C" w14:textId="2723BC9B" w:rsidR="001A17A2" w:rsidRPr="001552C0" w:rsidRDefault="008C35F2" w:rsidP="008C35F2">
            <w:pPr>
              <w:jc w:val="both"/>
              <w:rPr>
                <w:rFonts w:eastAsia="Times New Roman" w:cstheme="minorHAnsi"/>
                <w:iCs/>
                <w:noProof/>
                <w:szCs w:val="24"/>
              </w:rPr>
            </w:pPr>
            <w:r w:rsidRPr="001552C0">
              <w:rPr>
                <w:rFonts w:eastAsia="Times New Roman" w:cstheme="minorHAnsi"/>
                <w:iCs/>
                <w:noProof/>
                <w:szCs w:val="24"/>
              </w:rPr>
              <w:t>Ministerul Fondurilor Europene</w:t>
            </w:r>
          </w:p>
        </w:tc>
        <w:tc>
          <w:tcPr>
            <w:tcW w:w="2057" w:type="dxa"/>
            <w:tcBorders>
              <w:top w:val="single" w:sz="4" w:space="0" w:color="auto"/>
              <w:left w:val="single" w:sz="4" w:space="0" w:color="auto"/>
              <w:bottom w:val="single" w:sz="4" w:space="0" w:color="auto"/>
              <w:right w:val="single" w:sz="4" w:space="0" w:color="auto"/>
            </w:tcBorders>
          </w:tcPr>
          <w:p w14:paraId="07ACB702" w14:textId="77777777" w:rsidR="001A17A2" w:rsidRPr="001552C0" w:rsidRDefault="001A17A2" w:rsidP="008C35F2">
            <w:pPr>
              <w:jc w:val="both"/>
              <w:rPr>
                <w:rFonts w:eastAsia="Times New Roman" w:cstheme="minorHAnsi"/>
                <w:iCs/>
                <w:noProof/>
                <w:szCs w:val="24"/>
              </w:rPr>
            </w:pPr>
          </w:p>
        </w:tc>
        <w:tc>
          <w:tcPr>
            <w:tcW w:w="2376" w:type="dxa"/>
            <w:tcBorders>
              <w:top w:val="single" w:sz="4" w:space="0" w:color="auto"/>
              <w:left w:val="single" w:sz="4" w:space="0" w:color="auto"/>
              <w:bottom w:val="single" w:sz="4" w:space="0" w:color="auto"/>
              <w:right w:val="single" w:sz="4" w:space="0" w:color="auto"/>
            </w:tcBorders>
          </w:tcPr>
          <w:p w14:paraId="07F57E0E" w14:textId="77777777" w:rsidR="001A17A2" w:rsidRPr="001552C0" w:rsidRDefault="001A17A2" w:rsidP="008C35F2">
            <w:pPr>
              <w:jc w:val="both"/>
              <w:rPr>
                <w:rFonts w:eastAsia="Times New Roman" w:cstheme="minorHAnsi"/>
                <w:iCs/>
                <w:noProof/>
                <w:szCs w:val="24"/>
              </w:rPr>
            </w:pPr>
          </w:p>
        </w:tc>
      </w:tr>
      <w:tr w:rsidR="00B96B06" w:rsidRPr="001552C0" w14:paraId="214B2666"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1FC7648D" w14:textId="77777777" w:rsidR="001A17A2" w:rsidRPr="001552C0" w:rsidRDefault="001A17A2" w:rsidP="001A17A2">
            <w:pPr>
              <w:spacing w:before="120" w:after="120" w:line="360" w:lineRule="auto"/>
              <w:rPr>
                <w:rFonts w:ascii="Times New Roman" w:hAnsi="Times New Roman" w:cs="Times New Roman"/>
                <w:noProof/>
                <w:sz w:val="20"/>
              </w:rPr>
            </w:pPr>
            <w:r w:rsidRPr="001552C0">
              <w:rPr>
                <w:rFonts w:ascii="Times New Roman" w:hAnsi="Times New Roman" w:cs="Times New Roman"/>
                <w:noProof/>
                <w:sz w:val="20"/>
              </w:rPr>
              <w:t>Audit authority</w:t>
            </w:r>
          </w:p>
        </w:tc>
        <w:tc>
          <w:tcPr>
            <w:tcW w:w="2403" w:type="dxa"/>
            <w:tcBorders>
              <w:top w:val="single" w:sz="4" w:space="0" w:color="auto"/>
              <w:left w:val="single" w:sz="4" w:space="0" w:color="auto"/>
              <w:bottom w:val="single" w:sz="4" w:space="0" w:color="auto"/>
              <w:right w:val="single" w:sz="4" w:space="0" w:color="auto"/>
            </w:tcBorders>
          </w:tcPr>
          <w:p w14:paraId="3F692B65" w14:textId="3D89D19D" w:rsidR="001A17A2" w:rsidRPr="001552C0" w:rsidRDefault="00E02C41" w:rsidP="008C35F2">
            <w:pPr>
              <w:jc w:val="both"/>
              <w:rPr>
                <w:rFonts w:eastAsia="Times New Roman" w:cstheme="minorHAnsi"/>
                <w:iCs/>
                <w:noProof/>
                <w:szCs w:val="24"/>
              </w:rPr>
            </w:pPr>
            <w:r w:rsidRPr="001552C0">
              <w:rPr>
                <w:rFonts w:eastAsia="Times New Roman" w:cstheme="minorHAnsi"/>
                <w:iCs/>
                <w:noProof/>
                <w:szCs w:val="24"/>
              </w:rPr>
              <w:t>de Autoritatea de Audit de pe lângă Curtea de Conturi a României</w:t>
            </w:r>
          </w:p>
        </w:tc>
        <w:tc>
          <w:tcPr>
            <w:tcW w:w="2057" w:type="dxa"/>
            <w:tcBorders>
              <w:top w:val="single" w:sz="4" w:space="0" w:color="auto"/>
              <w:left w:val="single" w:sz="4" w:space="0" w:color="auto"/>
              <w:bottom w:val="single" w:sz="4" w:space="0" w:color="auto"/>
              <w:right w:val="single" w:sz="4" w:space="0" w:color="auto"/>
            </w:tcBorders>
          </w:tcPr>
          <w:p w14:paraId="40B2A80B" w14:textId="77777777" w:rsidR="001A17A2" w:rsidRPr="001552C0" w:rsidRDefault="001A17A2" w:rsidP="008C35F2">
            <w:pPr>
              <w:jc w:val="both"/>
              <w:rPr>
                <w:rFonts w:eastAsia="Times New Roman" w:cstheme="minorHAnsi"/>
                <w:iCs/>
                <w:noProof/>
                <w:szCs w:val="24"/>
              </w:rPr>
            </w:pPr>
          </w:p>
        </w:tc>
        <w:tc>
          <w:tcPr>
            <w:tcW w:w="2376" w:type="dxa"/>
            <w:tcBorders>
              <w:top w:val="single" w:sz="4" w:space="0" w:color="auto"/>
              <w:left w:val="single" w:sz="4" w:space="0" w:color="auto"/>
              <w:bottom w:val="single" w:sz="4" w:space="0" w:color="auto"/>
              <w:right w:val="single" w:sz="4" w:space="0" w:color="auto"/>
            </w:tcBorders>
          </w:tcPr>
          <w:p w14:paraId="20E58C7C" w14:textId="77777777" w:rsidR="001A17A2" w:rsidRPr="001552C0" w:rsidRDefault="001A17A2" w:rsidP="008C35F2">
            <w:pPr>
              <w:jc w:val="both"/>
              <w:rPr>
                <w:rFonts w:eastAsia="Times New Roman" w:cstheme="minorHAnsi"/>
                <w:iCs/>
                <w:noProof/>
                <w:szCs w:val="24"/>
              </w:rPr>
            </w:pPr>
          </w:p>
        </w:tc>
      </w:tr>
      <w:tr w:rsidR="00B96B06" w:rsidRPr="001552C0" w14:paraId="49CFB5B8"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5B0CD71E" w14:textId="77777777" w:rsidR="001A17A2" w:rsidRPr="001552C0" w:rsidRDefault="001A17A2" w:rsidP="001A17A2">
            <w:pPr>
              <w:spacing w:before="120" w:after="120" w:line="360" w:lineRule="auto"/>
              <w:rPr>
                <w:rFonts w:ascii="Times New Roman" w:hAnsi="Times New Roman" w:cs="Times New Roman"/>
                <w:noProof/>
                <w:sz w:val="20"/>
              </w:rPr>
            </w:pPr>
            <w:r w:rsidRPr="001552C0">
              <w:rPr>
                <w:rFonts w:ascii="Times New Roman" w:hAnsi="Times New Roman" w:cs="Times New Roman"/>
                <w:noProof/>
                <w:sz w:val="20"/>
              </w:rPr>
              <w:t>Body which receives payments from the Commission</w:t>
            </w:r>
          </w:p>
        </w:tc>
        <w:tc>
          <w:tcPr>
            <w:tcW w:w="2403" w:type="dxa"/>
            <w:tcBorders>
              <w:top w:val="single" w:sz="4" w:space="0" w:color="auto"/>
              <w:left w:val="single" w:sz="4" w:space="0" w:color="auto"/>
              <w:bottom w:val="single" w:sz="4" w:space="0" w:color="auto"/>
              <w:right w:val="single" w:sz="4" w:space="0" w:color="auto"/>
            </w:tcBorders>
          </w:tcPr>
          <w:p w14:paraId="16A57F5B" w14:textId="74829E7D" w:rsidR="001A17A2" w:rsidRPr="001552C0" w:rsidRDefault="00E02C41" w:rsidP="008C35F2">
            <w:pPr>
              <w:jc w:val="both"/>
              <w:rPr>
                <w:rFonts w:eastAsia="Times New Roman" w:cstheme="minorHAnsi"/>
                <w:iCs/>
                <w:noProof/>
                <w:szCs w:val="24"/>
              </w:rPr>
            </w:pPr>
            <w:r w:rsidRPr="001552C0">
              <w:rPr>
                <w:rFonts w:eastAsia="Times New Roman" w:cstheme="minorHAnsi"/>
                <w:iCs/>
                <w:noProof/>
                <w:szCs w:val="24"/>
              </w:rPr>
              <w:t>Autoritatea de Certificare şi Plată (ACP), structură în cadrul Ministerului Finanţelor Publice</w:t>
            </w:r>
          </w:p>
        </w:tc>
        <w:tc>
          <w:tcPr>
            <w:tcW w:w="2057" w:type="dxa"/>
            <w:tcBorders>
              <w:top w:val="single" w:sz="4" w:space="0" w:color="auto"/>
              <w:left w:val="single" w:sz="4" w:space="0" w:color="auto"/>
              <w:bottom w:val="single" w:sz="4" w:space="0" w:color="auto"/>
              <w:right w:val="single" w:sz="4" w:space="0" w:color="auto"/>
            </w:tcBorders>
          </w:tcPr>
          <w:p w14:paraId="66137749" w14:textId="77777777" w:rsidR="001A17A2" w:rsidRPr="001552C0" w:rsidRDefault="001A17A2" w:rsidP="008C35F2">
            <w:pPr>
              <w:jc w:val="both"/>
              <w:rPr>
                <w:rFonts w:eastAsia="Times New Roman" w:cstheme="minorHAnsi"/>
                <w:iCs/>
                <w:noProof/>
                <w:szCs w:val="24"/>
              </w:rPr>
            </w:pPr>
          </w:p>
        </w:tc>
        <w:tc>
          <w:tcPr>
            <w:tcW w:w="2376" w:type="dxa"/>
            <w:tcBorders>
              <w:top w:val="single" w:sz="4" w:space="0" w:color="auto"/>
              <w:left w:val="single" w:sz="4" w:space="0" w:color="auto"/>
              <w:bottom w:val="single" w:sz="4" w:space="0" w:color="auto"/>
              <w:right w:val="single" w:sz="4" w:space="0" w:color="auto"/>
            </w:tcBorders>
          </w:tcPr>
          <w:p w14:paraId="13D41253" w14:textId="77777777" w:rsidR="001A17A2" w:rsidRPr="001552C0" w:rsidRDefault="001A17A2" w:rsidP="008C35F2">
            <w:pPr>
              <w:jc w:val="both"/>
              <w:rPr>
                <w:rFonts w:eastAsia="Times New Roman" w:cstheme="minorHAnsi"/>
                <w:iCs/>
                <w:noProof/>
                <w:szCs w:val="24"/>
              </w:rPr>
            </w:pPr>
          </w:p>
        </w:tc>
      </w:tr>
      <w:tr w:rsidR="001A17A2" w:rsidRPr="001552C0" w14:paraId="7CE2E188" w14:textId="77777777" w:rsidTr="004F32B2">
        <w:tc>
          <w:tcPr>
            <w:tcW w:w="2452" w:type="dxa"/>
            <w:tcBorders>
              <w:top w:val="single" w:sz="4" w:space="0" w:color="auto"/>
              <w:left w:val="single" w:sz="4" w:space="0" w:color="auto"/>
              <w:bottom w:val="single" w:sz="4" w:space="0" w:color="auto"/>
              <w:right w:val="single" w:sz="4" w:space="0" w:color="auto"/>
            </w:tcBorders>
            <w:hideMark/>
          </w:tcPr>
          <w:p w14:paraId="0B93DDA7" w14:textId="77777777" w:rsidR="001A17A2" w:rsidRPr="001552C0" w:rsidRDefault="001A17A2" w:rsidP="001A17A2">
            <w:pPr>
              <w:spacing w:before="120" w:after="120" w:line="360" w:lineRule="auto"/>
              <w:rPr>
                <w:rFonts w:ascii="Times New Roman" w:hAnsi="Times New Roman" w:cs="Times New Roman"/>
                <w:noProof/>
                <w:sz w:val="20"/>
              </w:rPr>
            </w:pPr>
            <w:r w:rsidRPr="001552C0">
              <w:rPr>
                <w:rFonts w:ascii="Times New Roman" w:hAnsi="Times New Roman" w:cs="Times New Roman"/>
                <w:noProof/>
                <w:sz w:val="20"/>
              </w:rPr>
              <w:t>Accounting function in case this function is entrusted to a body other than the managing authority</w:t>
            </w:r>
          </w:p>
        </w:tc>
        <w:tc>
          <w:tcPr>
            <w:tcW w:w="2403" w:type="dxa"/>
            <w:tcBorders>
              <w:top w:val="single" w:sz="4" w:space="0" w:color="auto"/>
              <w:left w:val="single" w:sz="4" w:space="0" w:color="auto"/>
              <w:bottom w:val="single" w:sz="4" w:space="0" w:color="auto"/>
              <w:right w:val="single" w:sz="4" w:space="0" w:color="auto"/>
            </w:tcBorders>
          </w:tcPr>
          <w:p w14:paraId="42AB0E4F" w14:textId="2829D859" w:rsidR="001A17A2" w:rsidRPr="001552C0" w:rsidRDefault="00E02C41" w:rsidP="008C35F2">
            <w:pPr>
              <w:jc w:val="both"/>
              <w:rPr>
                <w:rFonts w:eastAsia="Times New Roman" w:cstheme="minorHAnsi"/>
                <w:iCs/>
                <w:noProof/>
                <w:szCs w:val="24"/>
              </w:rPr>
            </w:pPr>
            <w:r w:rsidRPr="001552C0">
              <w:rPr>
                <w:rFonts w:eastAsia="Times New Roman" w:cstheme="minorHAnsi"/>
                <w:iCs/>
                <w:noProof/>
                <w:szCs w:val="24"/>
              </w:rPr>
              <w:t>Autoritatea de Certificare şi Plată (ACP), structură în cadrul Ministerului Finanţelor Publice</w:t>
            </w:r>
          </w:p>
        </w:tc>
        <w:tc>
          <w:tcPr>
            <w:tcW w:w="2057" w:type="dxa"/>
            <w:tcBorders>
              <w:top w:val="single" w:sz="4" w:space="0" w:color="auto"/>
              <w:left w:val="single" w:sz="4" w:space="0" w:color="auto"/>
              <w:bottom w:val="single" w:sz="4" w:space="0" w:color="auto"/>
              <w:right w:val="single" w:sz="4" w:space="0" w:color="auto"/>
            </w:tcBorders>
          </w:tcPr>
          <w:p w14:paraId="3750C0D8" w14:textId="77777777" w:rsidR="001A17A2" w:rsidRPr="001552C0" w:rsidRDefault="001A17A2" w:rsidP="008C35F2">
            <w:pPr>
              <w:jc w:val="both"/>
              <w:rPr>
                <w:rFonts w:eastAsia="Times New Roman" w:cstheme="minorHAnsi"/>
                <w:iCs/>
                <w:noProof/>
                <w:szCs w:val="24"/>
              </w:rPr>
            </w:pPr>
          </w:p>
        </w:tc>
        <w:tc>
          <w:tcPr>
            <w:tcW w:w="2376" w:type="dxa"/>
            <w:tcBorders>
              <w:top w:val="single" w:sz="4" w:space="0" w:color="auto"/>
              <w:left w:val="single" w:sz="4" w:space="0" w:color="auto"/>
              <w:bottom w:val="single" w:sz="4" w:space="0" w:color="auto"/>
              <w:right w:val="single" w:sz="4" w:space="0" w:color="auto"/>
            </w:tcBorders>
          </w:tcPr>
          <w:p w14:paraId="3002F7A2" w14:textId="77777777" w:rsidR="001A17A2" w:rsidRPr="001552C0" w:rsidRDefault="001A17A2" w:rsidP="008C35F2">
            <w:pPr>
              <w:jc w:val="both"/>
              <w:rPr>
                <w:rFonts w:eastAsia="Times New Roman" w:cstheme="minorHAnsi"/>
                <w:iCs/>
                <w:noProof/>
                <w:szCs w:val="24"/>
              </w:rPr>
            </w:pPr>
          </w:p>
        </w:tc>
      </w:tr>
    </w:tbl>
    <w:p w14:paraId="128A059A" w14:textId="77777777" w:rsidR="001A17A2" w:rsidRPr="001552C0" w:rsidRDefault="001A17A2" w:rsidP="001A17A2">
      <w:pPr>
        <w:spacing w:before="120" w:after="120" w:line="360" w:lineRule="auto"/>
        <w:rPr>
          <w:rFonts w:ascii="Times New Roman" w:hAnsi="Times New Roman" w:cs="Times New Roman"/>
          <w:noProof/>
          <w:sz w:val="24"/>
        </w:rPr>
      </w:pPr>
    </w:p>
    <w:p w14:paraId="5405B32B" w14:textId="77777777" w:rsidR="001A17A2" w:rsidRPr="001552C0" w:rsidRDefault="001A17A2" w:rsidP="001A17A2">
      <w:pPr>
        <w:spacing w:before="120" w:after="120" w:line="360" w:lineRule="auto"/>
        <w:rPr>
          <w:rFonts w:ascii="Times New Roman" w:hAnsi="Times New Roman" w:cs="Times New Roman"/>
          <w:b/>
          <w:bCs/>
          <w:noProof/>
          <w:sz w:val="24"/>
        </w:rPr>
      </w:pPr>
      <w:r w:rsidRPr="001552C0">
        <w:rPr>
          <w:rFonts w:ascii="Times New Roman" w:hAnsi="Times New Roman" w:cs="Times New Roman"/>
          <w:b/>
          <w:bCs/>
          <w:noProof/>
          <w:sz w:val="24"/>
        </w:rPr>
        <w:lastRenderedPageBreak/>
        <w:t>6.</w:t>
      </w:r>
      <w:r w:rsidRPr="001552C0">
        <w:rPr>
          <w:rFonts w:ascii="Times New Roman" w:hAnsi="Times New Roman" w:cs="Times New Roman"/>
          <w:b/>
          <w:bCs/>
          <w:noProof/>
          <w:sz w:val="24"/>
        </w:rPr>
        <w:tab/>
        <w:t xml:space="preserve">Partnership </w:t>
      </w:r>
    </w:p>
    <w:p w14:paraId="79B76ABC" w14:textId="77777777" w:rsidR="001A17A2" w:rsidRPr="001552C0" w:rsidRDefault="001A17A2" w:rsidP="001A17A2">
      <w:pPr>
        <w:spacing w:before="120" w:after="120" w:line="360" w:lineRule="auto"/>
        <w:rPr>
          <w:rFonts w:ascii="Times New Roman" w:eastAsia="Times New Roman" w:hAnsi="Times New Roman" w:cs="Times New Roman"/>
          <w:b/>
          <w:i/>
          <w:iCs/>
          <w:noProof/>
          <w:sz w:val="24"/>
          <w:szCs w:val="24"/>
        </w:rPr>
      </w:pPr>
      <w:r w:rsidRPr="001552C0">
        <w:rPr>
          <w:rFonts w:ascii="Times New Roman" w:eastAsia="Times New Roman" w:hAnsi="Times New Roman" w:cs="Times New Roman"/>
          <w:i/>
          <w:noProof/>
          <w:sz w:val="24"/>
          <w:szCs w:val="24"/>
        </w:rPr>
        <w:t>Reference: Article 17(3)(g)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9"/>
      </w:tblGrid>
      <w:tr w:rsidR="001A17A2" w:rsidRPr="001552C0" w14:paraId="23CD6E40" w14:textId="77777777" w:rsidTr="008533BE">
        <w:tc>
          <w:tcPr>
            <w:tcW w:w="13149" w:type="dxa"/>
            <w:tcBorders>
              <w:top w:val="single" w:sz="4" w:space="0" w:color="auto"/>
              <w:left w:val="single" w:sz="4" w:space="0" w:color="auto"/>
              <w:bottom w:val="single" w:sz="4" w:space="0" w:color="auto"/>
              <w:right w:val="single" w:sz="4" w:space="0" w:color="auto"/>
            </w:tcBorders>
            <w:hideMark/>
          </w:tcPr>
          <w:p w14:paraId="66D61417" w14:textId="33B4151B" w:rsidR="001A17A2" w:rsidRPr="001552C0" w:rsidRDefault="001A17A2" w:rsidP="001A17A2">
            <w:pPr>
              <w:spacing w:before="120" w:after="120" w:line="360" w:lineRule="auto"/>
              <w:rPr>
                <w:rFonts w:ascii="Times New Roman" w:eastAsia="Times New Roman" w:hAnsi="Times New Roman" w:cs="Times New Roman"/>
                <w:i/>
                <w:noProof/>
              </w:rPr>
            </w:pPr>
            <w:r w:rsidRPr="001552C0">
              <w:rPr>
                <w:rFonts w:ascii="Times New Roman" w:eastAsia="Times New Roman" w:hAnsi="Times New Roman" w:cs="Times New Roman"/>
                <w:i/>
                <w:noProof/>
              </w:rPr>
              <w:t>Text field [10 000]</w:t>
            </w:r>
          </w:p>
          <w:p w14:paraId="42E00F96" w14:textId="77777777" w:rsidR="001C5496" w:rsidRDefault="001C5496" w:rsidP="001C5496">
            <w:pPr>
              <w:spacing w:before="120" w:after="120" w:line="240" w:lineRule="auto"/>
              <w:jc w:val="both"/>
              <w:rPr>
                <w:rFonts w:ascii="Calibri" w:eastAsia="Calibri" w:hAnsi="Calibri" w:cs="Times New Roman"/>
                <w:sz w:val="24"/>
                <w:szCs w:val="24"/>
              </w:rPr>
            </w:pPr>
            <w:r w:rsidRPr="00CC5BD7">
              <w:rPr>
                <w:rFonts w:ascii="Calibri" w:eastAsia="Calibri" w:hAnsi="Calibri" w:cs="Times New Roman"/>
                <w:sz w:val="24"/>
                <w:szCs w:val="24"/>
              </w:rPr>
              <w:t>Asigurarea p</w:t>
            </w:r>
            <w:r w:rsidRPr="004F525A">
              <w:rPr>
                <w:rFonts w:ascii="Calibri" w:eastAsia="Calibri" w:hAnsi="Calibri" w:cs="Times New Roman"/>
                <w:sz w:val="24"/>
                <w:szCs w:val="24"/>
              </w:rPr>
              <w:t>arteneriatul</w:t>
            </w:r>
            <w:r w:rsidRPr="00CC5BD7">
              <w:rPr>
                <w:rFonts w:ascii="Calibri" w:eastAsia="Calibri" w:hAnsi="Calibri" w:cs="Times New Roman"/>
                <w:sz w:val="24"/>
                <w:szCs w:val="24"/>
              </w:rPr>
              <w:t xml:space="preserve">ui </w:t>
            </w:r>
            <w:r>
              <w:rPr>
                <w:rFonts w:ascii="Calibri" w:eastAsia="Calibri" w:hAnsi="Calibri" w:cs="Times New Roman"/>
                <w:sz w:val="24"/>
                <w:szCs w:val="24"/>
              </w:rPr>
              <w:t>î</w:t>
            </w:r>
            <w:r w:rsidRPr="00CC5BD7">
              <w:rPr>
                <w:rFonts w:ascii="Calibri" w:eastAsia="Calibri" w:hAnsi="Calibri" w:cs="Times New Roman"/>
                <w:sz w:val="24"/>
                <w:szCs w:val="24"/>
              </w:rPr>
              <w:t>n procesul de programare</w:t>
            </w:r>
            <w:r>
              <w:rPr>
                <w:rFonts w:ascii="Calibri" w:eastAsia="Calibri" w:hAnsi="Calibri" w:cs="Times New Roman"/>
                <w:sz w:val="24"/>
                <w:szCs w:val="24"/>
              </w:rPr>
              <w:t xml:space="preserve"> </w:t>
            </w:r>
            <w:r w:rsidRPr="004F525A">
              <w:rPr>
                <w:rFonts w:ascii="Calibri" w:eastAsia="Calibri" w:hAnsi="Calibri" w:cs="Times New Roman"/>
                <w:sz w:val="24"/>
                <w:szCs w:val="24"/>
              </w:rPr>
              <w:t>și gestionare a fondurilor europene</w:t>
            </w:r>
            <w:r>
              <w:rPr>
                <w:rFonts w:ascii="Calibri" w:eastAsia="Calibri" w:hAnsi="Calibri" w:cs="Times New Roman"/>
                <w:sz w:val="24"/>
                <w:szCs w:val="24"/>
              </w:rPr>
              <w:t xml:space="preserve"> reprezintă </w:t>
            </w:r>
            <w:r w:rsidRPr="004F525A">
              <w:rPr>
                <w:rFonts w:ascii="Calibri" w:eastAsia="Calibri" w:hAnsi="Calibri" w:cs="Times New Roman"/>
                <w:sz w:val="24"/>
                <w:szCs w:val="24"/>
              </w:rPr>
              <w:t xml:space="preserve">o precondiție pentru elaborarea unor </w:t>
            </w:r>
            <w:r>
              <w:rPr>
                <w:rFonts w:ascii="Calibri" w:eastAsia="Calibri" w:hAnsi="Calibri" w:cs="Times New Roman"/>
                <w:sz w:val="24"/>
                <w:szCs w:val="24"/>
              </w:rPr>
              <w:t xml:space="preserve">documente de programare solide, bazate pe prioritățile stabilite la nivel european, național și regional în vederea punerii în practică a unor </w:t>
            </w:r>
            <w:r w:rsidRPr="004F525A">
              <w:rPr>
                <w:rFonts w:ascii="Calibri" w:eastAsia="Calibri" w:hAnsi="Calibri" w:cs="Times New Roman"/>
                <w:sz w:val="24"/>
                <w:szCs w:val="24"/>
              </w:rPr>
              <w:t>politici economice, sociale și teritoriale realiste, eficiente, eficace și cu impact pozitiv</w:t>
            </w:r>
            <w:r>
              <w:rPr>
                <w:rFonts w:ascii="Calibri" w:eastAsia="Calibri" w:hAnsi="Calibri" w:cs="Times New Roman"/>
                <w:sz w:val="24"/>
                <w:szCs w:val="24"/>
              </w:rPr>
              <w:t xml:space="preserve"> în viața cetățenilor și în reducerea diferențelor de dezvoltare la nivelul Uniunii Europene.</w:t>
            </w:r>
          </w:p>
          <w:p w14:paraId="28C2CE60"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În acord cu prevederile art. 6 din CPR, Romania și-a îndeplinit obligația de a organiza</w:t>
            </w:r>
            <w:r w:rsidRPr="00CC5BD7">
              <w:rPr>
                <w:rFonts w:ascii="Calibri" w:eastAsia="Calibri" w:hAnsi="Calibri" w:cs="Times New Roman"/>
                <w:bCs/>
                <w:iCs/>
                <w:sz w:val="24"/>
                <w:szCs w:val="24"/>
              </w:rPr>
              <w:t xml:space="preserve"> și implementa</w:t>
            </w:r>
            <w:r>
              <w:rPr>
                <w:rFonts w:ascii="Calibri" w:eastAsia="Calibri" w:hAnsi="Calibri" w:cs="Times New Roman"/>
                <w:bCs/>
                <w:iCs/>
                <w:sz w:val="24"/>
                <w:szCs w:val="24"/>
              </w:rPr>
              <w:t xml:space="preserve"> principiul </w:t>
            </w:r>
            <w:r w:rsidRPr="00CC5BD7">
              <w:rPr>
                <w:rFonts w:ascii="Calibri" w:eastAsia="Calibri" w:hAnsi="Calibri" w:cs="Times New Roman"/>
                <w:bCs/>
                <w:iCs/>
                <w:sz w:val="24"/>
                <w:szCs w:val="24"/>
              </w:rPr>
              <w:t>parteneriat</w:t>
            </w:r>
            <w:r>
              <w:rPr>
                <w:rFonts w:ascii="Calibri" w:eastAsia="Calibri" w:hAnsi="Calibri" w:cs="Times New Roman"/>
                <w:bCs/>
                <w:iCs/>
                <w:sz w:val="24"/>
                <w:szCs w:val="24"/>
              </w:rPr>
              <w:t>ului</w:t>
            </w:r>
            <w:r w:rsidRPr="00CC5BD7">
              <w:rPr>
                <w:rFonts w:ascii="Calibri" w:eastAsia="Calibri" w:hAnsi="Calibri" w:cs="Times New Roman"/>
                <w:bCs/>
                <w:iCs/>
                <w:sz w:val="24"/>
                <w:szCs w:val="24"/>
              </w:rPr>
              <w:t xml:space="preserve"> cu implicarea partenerilor relevanți</w:t>
            </w:r>
            <w:r>
              <w:rPr>
                <w:rFonts w:ascii="Calibri" w:eastAsia="Calibri" w:hAnsi="Calibri" w:cs="Times New Roman"/>
                <w:bCs/>
                <w:iCs/>
                <w:sz w:val="24"/>
                <w:szCs w:val="24"/>
              </w:rPr>
              <w:t>,</w:t>
            </w:r>
            <w:r w:rsidRPr="00CC5BD7">
              <w:rPr>
                <w:rFonts w:ascii="Calibri" w:eastAsia="Calibri" w:hAnsi="Calibri" w:cs="Times New Roman"/>
                <w:bCs/>
                <w:iCs/>
                <w:sz w:val="24"/>
                <w:szCs w:val="24"/>
              </w:rPr>
              <w:t xml:space="preserve"> în conformitate cu Regulamentul delegat (UE)</w:t>
            </w:r>
            <w:r>
              <w:rPr>
                <w:rFonts w:ascii="Calibri" w:eastAsia="Calibri" w:hAnsi="Calibri" w:cs="Times New Roman"/>
                <w:bCs/>
                <w:iCs/>
                <w:sz w:val="24"/>
                <w:szCs w:val="24"/>
              </w:rPr>
              <w:t xml:space="preserve"> nr. 240/2014 al Comisiei </w:t>
            </w:r>
            <w:r w:rsidRPr="008630BF">
              <w:rPr>
                <w:rFonts w:ascii="Calibri" w:eastAsia="Calibri" w:hAnsi="Calibri" w:cs="Times New Roman"/>
                <w:bCs/>
                <w:iCs/>
                <w:sz w:val="24"/>
                <w:szCs w:val="24"/>
              </w:rPr>
              <w:t>privind Codul european de conduită referitor la parteneriat, în cadrul fondurilor structurale și de</w:t>
            </w:r>
            <w:r>
              <w:rPr>
                <w:rFonts w:ascii="Calibri" w:eastAsia="Calibri" w:hAnsi="Calibri" w:cs="Times New Roman"/>
                <w:bCs/>
                <w:iCs/>
                <w:sz w:val="24"/>
                <w:szCs w:val="24"/>
              </w:rPr>
              <w:t xml:space="preserve"> </w:t>
            </w:r>
            <w:r w:rsidRPr="008630BF">
              <w:rPr>
                <w:rFonts w:ascii="Calibri" w:eastAsia="Calibri" w:hAnsi="Calibri" w:cs="Times New Roman"/>
                <w:bCs/>
                <w:iCs/>
                <w:sz w:val="24"/>
                <w:szCs w:val="24"/>
              </w:rPr>
              <w:t>investiții europene</w:t>
            </w:r>
            <w:r w:rsidRPr="00CC5BD7">
              <w:rPr>
                <w:rFonts w:ascii="Calibri" w:eastAsia="Calibri" w:hAnsi="Calibri" w:cs="Times New Roman"/>
                <w:bCs/>
                <w:iCs/>
                <w:sz w:val="24"/>
                <w:szCs w:val="24"/>
              </w:rPr>
              <w:t>.</w:t>
            </w:r>
            <w:r>
              <w:rPr>
                <w:rFonts w:ascii="Calibri" w:eastAsia="Calibri" w:hAnsi="Calibri" w:cs="Times New Roman"/>
                <w:bCs/>
                <w:iCs/>
                <w:sz w:val="24"/>
                <w:szCs w:val="24"/>
              </w:rPr>
              <w:t xml:space="preserve"> </w:t>
            </w:r>
          </w:p>
          <w:p w14:paraId="54740D65"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 xml:space="preserve">Astfel, pentru </w:t>
            </w:r>
            <w:r w:rsidRPr="00A44FDE">
              <w:rPr>
                <w:rFonts w:ascii="Calibri" w:eastAsia="Calibri" w:hAnsi="Calibri" w:cs="Times New Roman"/>
                <w:bCs/>
                <w:iCs/>
                <w:sz w:val="24"/>
                <w:szCs w:val="24"/>
              </w:rPr>
              <w:t>creșterea implicării partenerilor în derularea activit</w:t>
            </w:r>
            <w:r>
              <w:rPr>
                <w:rFonts w:ascii="Calibri" w:eastAsia="Calibri" w:hAnsi="Calibri" w:cs="Times New Roman"/>
                <w:bCs/>
                <w:iCs/>
                <w:sz w:val="24"/>
                <w:szCs w:val="24"/>
              </w:rPr>
              <w:t>ății structurilor parteneriale și pe</w:t>
            </w:r>
            <w:r w:rsidRPr="00A44FDE">
              <w:rPr>
                <w:rFonts w:ascii="Calibri" w:eastAsia="Calibri" w:hAnsi="Calibri" w:cs="Times New Roman"/>
                <w:bCs/>
                <w:iCs/>
                <w:sz w:val="24"/>
                <w:szCs w:val="24"/>
              </w:rPr>
              <w:t>ntru derularea unor p</w:t>
            </w:r>
            <w:r>
              <w:rPr>
                <w:rFonts w:ascii="Calibri" w:eastAsia="Calibri" w:hAnsi="Calibri" w:cs="Times New Roman"/>
                <w:bCs/>
                <w:iCs/>
                <w:sz w:val="24"/>
                <w:szCs w:val="24"/>
              </w:rPr>
              <w:t xml:space="preserve">rocese de consultare eficiente și participativă, pe baza Regulamentului nr.240/2014, a fost elaborat </w:t>
            </w:r>
            <w:r w:rsidRPr="00A44FDE">
              <w:rPr>
                <w:rFonts w:ascii="Calibri" w:eastAsia="Calibri" w:hAnsi="Calibri" w:cs="Times New Roman"/>
                <w:bCs/>
                <w:iCs/>
                <w:sz w:val="24"/>
                <w:szCs w:val="24"/>
              </w:rPr>
              <w:t>Codul Național de Conduită privind Parteneriatul pentru Fondurile Europene aferente Politicii de Coeziune</w:t>
            </w:r>
            <w:r>
              <w:rPr>
                <w:rFonts w:ascii="Calibri" w:eastAsia="Calibri" w:hAnsi="Calibri" w:cs="Times New Roman"/>
                <w:bCs/>
                <w:iCs/>
                <w:sz w:val="24"/>
                <w:szCs w:val="24"/>
              </w:rPr>
              <w:t>. Acest document</w:t>
            </w:r>
            <w:r w:rsidRPr="00A44FDE">
              <w:rPr>
                <w:rFonts w:ascii="Calibri" w:eastAsia="Calibri" w:hAnsi="Calibri" w:cs="Times New Roman"/>
                <w:bCs/>
                <w:iCs/>
                <w:sz w:val="24"/>
                <w:szCs w:val="24"/>
              </w:rPr>
              <w:t xml:space="preserve"> stabilește o serie de norme, principii și reguli de bază care ghidează funcționarea structurilor parteneriale cu rol consultativ în procesul de programare și gestionare a fondurilor europene privind coeziunea, cu impact predilect asupra </w:t>
            </w:r>
            <w:r>
              <w:rPr>
                <w:rFonts w:ascii="Calibri" w:eastAsia="Calibri" w:hAnsi="Calibri" w:cs="Times New Roman"/>
                <w:bCs/>
                <w:iCs/>
                <w:sz w:val="24"/>
                <w:szCs w:val="24"/>
              </w:rPr>
              <w:t xml:space="preserve">cadrului de programare 2021-2027. Documentul a fost utilizat in organizarea parteneriatului si </w:t>
            </w:r>
            <w:r w:rsidRPr="00722FF5">
              <w:rPr>
                <w:rFonts w:ascii="Calibri" w:eastAsia="Calibri" w:hAnsi="Calibri" w:cs="Times New Roman"/>
                <w:bCs/>
                <w:iCs/>
                <w:sz w:val="24"/>
                <w:szCs w:val="24"/>
              </w:rPr>
              <w:t>diseminat în rândul membrilor structurilor parteneriale cu rol consultativ în procesul de programare a fondurilor europene privind coeziunea prin comunicare directă, în cadrul</w:t>
            </w:r>
            <w:r>
              <w:rPr>
                <w:rFonts w:ascii="Calibri" w:eastAsia="Calibri" w:hAnsi="Calibri" w:cs="Times New Roman"/>
                <w:bCs/>
                <w:iCs/>
                <w:sz w:val="24"/>
                <w:szCs w:val="24"/>
              </w:rPr>
              <w:t xml:space="preserve"> reuniunilor parteneriale, </w:t>
            </w:r>
            <w:r w:rsidRPr="00722FF5">
              <w:rPr>
                <w:rFonts w:ascii="Calibri" w:eastAsia="Calibri" w:hAnsi="Calibri" w:cs="Times New Roman"/>
                <w:bCs/>
                <w:iCs/>
                <w:sz w:val="24"/>
                <w:szCs w:val="24"/>
              </w:rPr>
              <w:t>prin intermediul poștei electronice</w:t>
            </w:r>
            <w:r>
              <w:rPr>
                <w:rFonts w:ascii="Calibri" w:eastAsia="Calibri" w:hAnsi="Calibri" w:cs="Times New Roman"/>
                <w:bCs/>
                <w:iCs/>
                <w:sz w:val="24"/>
                <w:szCs w:val="24"/>
              </w:rPr>
              <w:t xml:space="preserve">, precum </w:t>
            </w:r>
            <w:r w:rsidRPr="00722FF5">
              <w:rPr>
                <w:rFonts w:ascii="Calibri" w:eastAsia="Calibri" w:hAnsi="Calibri" w:cs="Times New Roman"/>
                <w:bCs/>
                <w:iCs/>
                <w:sz w:val="24"/>
                <w:szCs w:val="24"/>
              </w:rPr>
              <w:t xml:space="preserve">și </w:t>
            </w:r>
            <w:r>
              <w:rPr>
                <w:rFonts w:ascii="Calibri" w:eastAsia="Calibri" w:hAnsi="Calibri" w:cs="Times New Roman"/>
                <w:bCs/>
                <w:iCs/>
                <w:sz w:val="24"/>
                <w:szCs w:val="24"/>
              </w:rPr>
              <w:t xml:space="preserve">prin </w:t>
            </w:r>
            <w:r w:rsidRPr="00722FF5">
              <w:rPr>
                <w:rFonts w:ascii="Calibri" w:eastAsia="Calibri" w:hAnsi="Calibri" w:cs="Times New Roman"/>
                <w:bCs/>
                <w:iCs/>
                <w:sz w:val="24"/>
                <w:szCs w:val="24"/>
              </w:rPr>
              <w:t>afișare pe web-</w:t>
            </w:r>
            <w:r>
              <w:rPr>
                <w:rFonts w:ascii="Calibri" w:eastAsia="Calibri" w:hAnsi="Calibri" w:cs="Times New Roman"/>
                <w:bCs/>
                <w:iCs/>
                <w:sz w:val="24"/>
                <w:szCs w:val="24"/>
              </w:rPr>
              <w:t>site-ul MFE (</w:t>
            </w:r>
            <w:hyperlink r:id="rId21" w:history="1">
              <w:r w:rsidRPr="000C1294">
                <w:rPr>
                  <w:rStyle w:val="Hyperlink"/>
                  <w:rFonts w:ascii="Calibri" w:eastAsia="Calibri" w:hAnsi="Calibri" w:cs="Times New Roman"/>
                  <w:bCs/>
                  <w:iCs/>
                  <w:sz w:val="24"/>
                  <w:szCs w:val="24"/>
                </w:rPr>
                <w:t>http://mfe.gov.ro/wp-content/uploads/2020/07/6588501da9e75a7d8003d010af3b03fd.pdf</w:t>
              </w:r>
            </w:hyperlink>
            <w:r>
              <w:rPr>
                <w:rFonts w:ascii="Calibri" w:eastAsia="Calibri" w:hAnsi="Calibri" w:cs="Times New Roman"/>
                <w:bCs/>
                <w:iCs/>
                <w:sz w:val="24"/>
                <w:szCs w:val="24"/>
              </w:rPr>
              <w:t>).</w:t>
            </w:r>
          </w:p>
          <w:p w14:paraId="0332B157"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 xml:space="preserve">Așadar, bazat pe prevederile din regulamentele europene și pe </w:t>
            </w:r>
            <w:r w:rsidRPr="00092E18">
              <w:rPr>
                <w:rFonts w:ascii="Calibri" w:eastAsia="Calibri" w:hAnsi="Calibri" w:cs="Times New Roman"/>
                <w:bCs/>
                <w:iCs/>
                <w:sz w:val="24"/>
                <w:szCs w:val="24"/>
              </w:rPr>
              <w:t>Codul Național de Conduită privind Parteneriatul pentru Fondurile Europene aferente Politicii de Coeziune</w:t>
            </w:r>
            <w:r>
              <w:rPr>
                <w:rFonts w:ascii="Calibri" w:eastAsia="Calibri" w:hAnsi="Calibri" w:cs="Times New Roman"/>
                <w:bCs/>
                <w:iCs/>
                <w:sz w:val="24"/>
                <w:szCs w:val="24"/>
              </w:rPr>
              <w:t xml:space="preserve">, documentele de programare au fost elaborate </w:t>
            </w:r>
            <w:r w:rsidRPr="00CC5BD7">
              <w:rPr>
                <w:rFonts w:ascii="Calibri" w:eastAsia="Calibri" w:hAnsi="Calibri" w:cs="Times New Roman"/>
                <w:bCs/>
                <w:iCs/>
                <w:sz w:val="24"/>
                <w:szCs w:val="24"/>
              </w:rPr>
              <w:t>în</w:t>
            </w:r>
            <w:r>
              <w:rPr>
                <w:rFonts w:ascii="Calibri" w:eastAsia="Calibri" w:hAnsi="Calibri" w:cs="Times New Roman"/>
                <w:bCs/>
                <w:iCs/>
                <w:sz w:val="24"/>
                <w:szCs w:val="24"/>
              </w:rPr>
              <w:t xml:space="preserve">tr-un parteneriat larg și eficient din care fac parte </w:t>
            </w:r>
            <w:r w:rsidRPr="00CC5BD7">
              <w:rPr>
                <w:rFonts w:ascii="Calibri" w:eastAsia="Calibri" w:hAnsi="Calibri" w:cs="Times New Roman"/>
                <w:bCs/>
                <w:iCs/>
                <w:sz w:val="24"/>
                <w:szCs w:val="24"/>
              </w:rPr>
              <w:t>autorități</w:t>
            </w:r>
            <w:r>
              <w:rPr>
                <w:rFonts w:ascii="Calibri" w:eastAsia="Calibri" w:hAnsi="Calibri" w:cs="Times New Roman"/>
                <w:bCs/>
                <w:iCs/>
                <w:sz w:val="24"/>
                <w:szCs w:val="24"/>
              </w:rPr>
              <w:t xml:space="preserve"> naționale,</w:t>
            </w:r>
            <w:r w:rsidRPr="00CC5BD7">
              <w:rPr>
                <w:rFonts w:ascii="Calibri" w:eastAsia="Calibri" w:hAnsi="Calibri" w:cs="Times New Roman"/>
                <w:bCs/>
                <w:iCs/>
                <w:sz w:val="24"/>
                <w:szCs w:val="24"/>
              </w:rPr>
              <w:t xml:space="preserve"> regionale și </w:t>
            </w:r>
            <w:r>
              <w:rPr>
                <w:rFonts w:ascii="Calibri" w:eastAsia="Calibri" w:hAnsi="Calibri" w:cs="Times New Roman"/>
                <w:bCs/>
                <w:iCs/>
                <w:sz w:val="24"/>
                <w:szCs w:val="24"/>
              </w:rPr>
              <w:t xml:space="preserve">locale, </w:t>
            </w:r>
            <w:r w:rsidRPr="00CC5BD7">
              <w:rPr>
                <w:rFonts w:ascii="Calibri" w:eastAsia="Calibri" w:hAnsi="Calibri" w:cs="Times New Roman"/>
                <w:bCs/>
                <w:iCs/>
                <w:sz w:val="24"/>
                <w:szCs w:val="24"/>
              </w:rPr>
              <w:t>partener</w:t>
            </w:r>
            <w:r>
              <w:rPr>
                <w:rFonts w:ascii="Calibri" w:eastAsia="Calibri" w:hAnsi="Calibri" w:cs="Times New Roman"/>
                <w:bCs/>
                <w:iCs/>
                <w:sz w:val="24"/>
                <w:szCs w:val="24"/>
              </w:rPr>
              <w:t>i</w:t>
            </w:r>
            <w:r w:rsidRPr="00CC5BD7">
              <w:rPr>
                <w:rFonts w:ascii="Calibri" w:eastAsia="Calibri" w:hAnsi="Calibri" w:cs="Times New Roman"/>
                <w:bCs/>
                <w:iCs/>
                <w:sz w:val="24"/>
                <w:szCs w:val="24"/>
              </w:rPr>
              <w:t xml:space="preserve"> relevanți</w:t>
            </w:r>
            <w:r>
              <w:rPr>
                <w:rFonts w:ascii="Calibri" w:eastAsia="Calibri" w:hAnsi="Calibri" w:cs="Times New Roman"/>
                <w:bCs/>
                <w:iCs/>
                <w:sz w:val="24"/>
                <w:szCs w:val="24"/>
              </w:rPr>
              <w:t xml:space="preserve"> din societatea civilă, sindicate</w:t>
            </w:r>
            <w:r w:rsidRPr="00CC5BD7">
              <w:rPr>
                <w:rFonts w:ascii="Calibri" w:eastAsia="Calibri" w:hAnsi="Calibri" w:cs="Times New Roman"/>
                <w:bCs/>
                <w:iCs/>
                <w:sz w:val="24"/>
                <w:szCs w:val="24"/>
              </w:rPr>
              <w:t>, asociați</w:t>
            </w:r>
            <w:r>
              <w:rPr>
                <w:rFonts w:ascii="Calibri" w:eastAsia="Calibri" w:hAnsi="Calibri" w:cs="Times New Roman"/>
                <w:bCs/>
                <w:iCs/>
                <w:sz w:val="24"/>
                <w:szCs w:val="24"/>
              </w:rPr>
              <w:t>i de afaceri și mediul academic</w:t>
            </w:r>
            <w:r w:rsidRPr="00CC5BD7">
              <w:rPr>
                <w:rFonts w:ascii="Calibri" w:eastAsia="Calibri" w:hAnsi="Calibri" w:cs="Times New Roman"/>
                <w:bCs/>
                <w:iCs/>
                <w:sz w:val="24"/>
                <w:szCs w:val="24"/>
              </w:rPr>
              <w:t xml:space="preserve">. </w:t>
            </w:r>
          </w:p>
          <w:p w14:paraId="4AC9FB52" w14:textId="77777777" w:rsidR="001C5496" w:rsidRPr="00484579" w:rsidRDefault="001C5496" w:rsidP="001C5496">
            <w:pPr>
              <w:spacing w:before="120" w:after="120" w:line="240" w:lineRule="auto"/>
              <w:jc w:val="both"/>
              <w:rPr>
                <w:rFonts w:ascii="Calibri" w:eastAsia="Calibri" w:hAnsi="Calibri" w:cs="Times New Roman"/>
                <w:bCs/>
                <w:iCs/>
                <w:sz w:val="24"/>
                <w:szCs w:val="24"/>
              </w:rPr>
            </w:pPr>
            <w:r w:rsidRPr="00484579">
              <w:rPr>
                <w:rFonts w:ascii="Calibri" w:eastAsia="Calibri" w:hAnsi="Calibri" w:cs="Times New Roman"/>
                <w:bCs/>
                <w:iCs/>
                <w:sz w:val="24"/>
                <w:szCs w:val="24"/>
              </w:rPr>
              <w:t>Preocupările</w:t>
            </w:r>
            <w:r>
              <w:rPr>
                <w:rFonts w:ascii="Calibri" w:eastAsia="Calibri" w:hAnsi="Calibri" w:cs="Times New Roman"/>
                <w:b/>
                <w:bCs/>
                <w:iCs/>
                <w:sz w:val="24"/>
                <w:szCs w:val="24"/>
              </w:rPr>
              <w:t xml:space="preserve"> </w:t>
            </w:r>
            <w:r w:rsidRPr="00484579">
              <w:rPr>
                <w:rFonts w:ascii="Calibri" w:eastAsia="Calibri" w:hAnsi="Calibri" w:cs="Times New Roman"/>
                <w:bCs/>
                <w:iCs/>
                <w:sz w:val="24"/>
                <w:szCs w:val="24"/>
              </w:rPr>
              <w:t>pentru asigurarea parteneriatului au început</w:t>
            </w:r>
            <w:r>
              <w:rPr>
                <w:rFonts w:ascii="Calibri" w:eastAsia="Calibri" w:hAnsi="Calibri" w:cs="Times New Roman"/>
                <w:bCs/>
                <w:iCs/>
                <w:sz w:val="24"/>
                <w:szCs w:val="24"/>
              </w:rPr>
              <w:t xml:space="preserve"> î</w:t>
            </w:r>
            <w:r w:rsidRPr="00484579">
              <w:rPr>
                <w:rFonts w:ascii="Calibri" w:eastAsia="Calibri" w:hAnsi="Calibri" w:cs="Times New Roman"/>
                <w:bCs/>
                <w:iCs/>
                <w:sz w:val="24"/>
                <w:szCs w:val="24"/>
              </w:rPr>
              <w:t>n luna mai 2019</w:t>
            </w:r>
            <w:r w:rsidRPr="004F525A">
              <w:rPr>
                <w:rFonts w:ascii="Calibri" w:eastAsia="Calibri" w:hAnsi="Calibri" w:cs="Times New Roman"/>
                <w:bCs/>
                <w:iCs/>
                <w:sz w:val="24"/>
                <w:szCs w:val="24"/>
              </w:rPr>
              <w:t xml:space="preserve">, </w:t>
            </w:r>
            <w:r>
              <w:rPr>
                <w:rFonts w:ascii="Calibri" w:eastAsia="Calibri" w:hAnsi="Calibri" w:cs="Times New Roman"/>
                <w:bCs/>
                <w:iCs/>
                <w:sz w:val="24"/>
                <w:szCs w:val="24"/>
              </w:rPr>
              <w:t xml:space="preserve">când </w:t>
            </w:r>
            <w:r w:rsidRPr="004F525A">
              <w:rPr>
                <w:rFonts w:ascii="Calibri" w:eastAsia="Calibri" w:hAnsi="Calibri" w:cs="Times New Roman"/>
                <w:bCs/>
                <w:iCs/>
                <w:sz w:val="24"/>
                <w:szCs w:val="24"/>
              </w:rPr>
              <w:t xml:space="preserve">MFE a demarat pregătirea cadrului partenerial prin </w:t>
            </w:r>
            <w:r w:rsidRPr="00484579">
              <w:rPr>
                <w:rFonts w:ascii="Calibri" w:eastAsia="Calibri" w:hAnsi="Calibri" w:cs="Times New Roman"/>
                <w:bCs/>
                <w:iCs/>
                <w:sz w:val="24"/>
                <w:szCs w:val="24"/>
              </w:rPr>
              <w:t xml:space="preserve">constituirea a 5 grupuri parteneriale aferente celor 5 Obiective de Politică </w:t>
            </w:r>
            <w:r w:rsidRPr="004F525A">
              <w:rPr>
                <w:rFonts w:ascii="Calibri" w:eastAsia="Calibri" w:hAnsi="Calibri" w:cs="Times New Roman"/>
                <w:bCs/>
                <w:iCs/>
                <w:sz w:val="24"/>
                <w:szCs w:val="24"/>
              </w:rPr>
              <w:t>prevăzute la nivelul propunerii de Regulament General pentru perioada 2021-2027.</w:t>
            </w:r>
            <w:r>
              <w:rPr>
                <w:rFonts w:ascii="Calibri" w:eastAsia="Calibri" w:hAnsi="Calibri" w:cs="Times New Roman"/>
                <w:bCs/>
                <w:iCs/>
                <w:sz w:val="24"/>
                <w:szCs w:val="24"/>
              </w:rPr>
              <w:t xml:space="preserve"> Ca urmare, î</w:t>
            </w:r>
            <w:r w:rsidRPr="00484579">
              <w:rPr>
                <w:rFonts w:ascii="Calibri" w:eastAsia="Calibri" w:hAnsi="Calibri" w:cs="Times New Roman"/>
                <w:bCs/>
                <w:iCs/>
                <w:sz w:val="24"/>
                <w:szCs w:val="24"/>
              </w:rPr>
              <w:t>n luna noiembrie 2019</w:t>
            </w:r>
            <w:r>
              <w:rPr>
                <w:rFonts w:ascii="Calibri" w:eastAsia="Calibri" w:hAnsi="Calibri" w:cs="Times New Roman"/>
                <w:bCs/>
                <w:iCs/>
                <w:sz w:val="24"/>
                <w:szCs w:val="24"/>
              </w:rPr>
              <w:t xml:space="preserve">, MFE a organizat reuniuni ale acestor grupuri în care a fost </w:t>
            </w:r>
            <w:r>
              <w:rPr>
                <w:rFonts w:ascii="Calibri" w:eastAsia="Calibri" w:hAnsi="Calibri" w:cs="Times New Roman"/>
                <w:bCs/>
                <w:iCs/>
                <w:sz w:val="24"/>
                <w:szCs w:val="24"/>
              </w:rPr>
              <w:lastRenderedPageBreak/>
              <w:t>prezentată și dezbătută logica</w:t>
            </w:r>
            <w:r w:rsidRPr="00484579">
              <w:rPr>
                <w:rFonts w:ascii="Calibri" w:eastAsia="Calibri" w:hAnsi="Calibri" w:cs="Times New Roman"/>
                <w:bCs/>
                <w:iCs/>
                <w:sz w:val="24"/>
                <w:szCs w:val="24"/>
              </w:rPr>
              <w:t xml:space="preserve"> intervenție</w:t>
            </w:r>
            <w:r>
              <w:rPr>
                <w:rFonts w:ascii="Calibri" w:eastAsia="Calibri" w:hAnsi="Calibri" w:cs="Times New Roman"/>
                <w:bCs/>
                <w:iCs/>
                <w:sz w:val="24"/>
                <w:szCs w:val="24"/>
              </w:rPr>
              <w:t>i pe fiecare dintre cele</w:t>
            </w:r>
            <w:r w:rsidRPr="00484579">
              <w:rPr>
                <w:rFonts w:ascii="Calibri" w:eastAsia="Calibri" w:hAnsi="Calibri" w:cs="Times New Roman"/>
                <w:bCs/>
                <w:iCs/>
                <w:sz w:val="24"/>
                <w:szCs w:val="24"/>
              </w:rPr>
              <w:t xml:space="preserve"> 5 obiective de politică. </w:t>
            </w:r>
            <w:r>
              <w:rPr>
                <w:rFonts w:ascii="Calibri" w:eastAsia="Calibri" w:hAnsi="Calibri" w:cs="Times New Roman"/>
                <w:bCs/>
                <w:iCs/>
                <w:sz w:val="24"/>
                <w:szCs w:val="24"/>
              </w:rPr>
              <w:t xml:space="preserve">Documentele </w:t>
            </w:r>
            <w:r w:rsidRPr="00484579">
              <w:rPr>
                <w:rFonts w:ascii="Calibri" w:eastAsia="Calibri" w:hAnsi="Calibri" w:cs="Times New Roman"/>
                <w:bCs/>
                <w:iCs/>
                <w:sz w:val="24"/>
                <w:szCs w:val="24"/>
              </w:rPr>
              <w:t>au fost publicate pe site-ul MFE, la secțiunea Perioada de Programare 2021-2027, astfel încât să se asigure transparența dezbaterilor și posibilitatea de consultare cât mai largă a tuturor părților interesate</w:t>
            </w:r>
            <w:r>
              <w:rPr>
                <w:rFonts w:ascii="Calibri" w:eastAsia="Calibri" w:hAnsi="Calibri" w:cs="Times New Roman"/>
                <w:bCs/>
                <w:iCs/>
                <w:sz w:val="24"/>
                <w:szCs w:val="24"/>
              </w:rPr>
              <w:t xml:space="preserve"> (</w:t>
            </w:r>
            <w:hyperlink r:id="rId22" w:history="1">
              <w:r w:rsidRPr="000C1294">
                <w:rPr>
                  <w:rStyle w:val="Hyperlink"/>
                  <w:rFonts w:ascii="Calibri" w:eastAsia="Calibri" w:hAnsi="Calibri" w:cs="Times New Roman"/>
                  <w:bCs/>
                  <w:iCs/>
                  <w:sz w:val="24"/>
                  <w:szCs w:val="24"/>
                </w:rPr>
                <w:t>http://mfe.gov.ro/minister/perioade-de-programare/perioada-2021-2027/</w:t>
              </w:r>
            </w:hyperlink>
            <w:r>
              <w:rPr>
                <w:rFonts w:ascii="Calibri" w:eastAsia="Calibri" w:hAnsi="Calibri" w:cs="Times New Roman"/>
                <w:bCs/>
                <w:iCs/>
                <w:sz w:val="24"/>
                <w:szCs w:val="24"/>
              </w:rPr>
              <w:t>)</w:t>
            </w:r>
            <w:r w:rsidRPr="00484579">
              <w:rPr>
                <w:rFonts w:ascii="Calibri" w:eastAsia="Calibri" w:hAnsi="Calibri" w:cs="Times New Roman"/>
                <w:bCs/>
                <w:iCs/>
                <w:sz w:val="24"/>
                <w:szCs w:val="24"/>
              </w:rPr>
              <w:t>.</w:t>
            </w:r>
          </w:p>
          <w:p w14:paraId="41BB52C8" w14:textId="77777777" w:rsidR="001C5496" w:rsidRDefault="001C5496" w:rsidP="001C5496">
            <w:pPr>
              <w:spacing w:before="120" w:after="120" w:line="240" w:lineRule="auto"/>
              <w:jc w:val="both"/>
              <w:rPr>
                <w:rFonts w:ascii="Calibri" w:eastAsia="Calibri" w:hAnsi="Calibri" w:cs="Times New Roman"/>
                <w:bCs/>
                <w:iCs/>
                <w:sz w:val="24"/>
                <w:szCs w:val="24"/>
              </w:rPr>
            </w:pPr>
            <w:r w:rsidRPr="00484579">
              <w:rPr>
                <w:rFonts w:ascii="Calibri" w:eastAsia="Calibri" w:hAnsi="Calibri" w:cs="Times New Roman"/>
                <w:bCs/>
                <w:iCs/>
                <w:sz w:val="24"/>
                <w:szCs w:val="24"/>
              </w:rPr>
              <w:t xml:space="preserve">În data de </w:t>
            </w:r>
            <w:r>
              <w:rPr>
                <w:rFonts w:ascii="Calibri" w:eastAsia="Calibri" w:hAnsi="Calibri" w:cs="Times New Roman"/>
                <w:bCs/>
                <w:iCs/>
                <w:sz w:val="24"/>
                <w:szCs w:val="24"/>
              </w:rPr>
              <w:t xml:space="preserve">28 noiembrie 2019, MFE a organizat un </w:t>
            </w:r>
            <w:r w:rsidRPr="00484579">
              <w:rPr>
                <w:rFonts w:ascii="Calibri" w:eastAsia="Calibri" w:hAnsi="Calibri" w:cs="Times New Roman"/>
                <w:bCs/>
                <w:iCs/>
                <w:sz w:val="24"/>
                <w:szCs w:val="24"/>
              </w:rPr>
              <w:t xml:space="preserve">eveniment de amploare vizând consultarea asupra viitoarei perioade de programare – 2021-2027, eveniment la care au participat reprezentanți ai mediului de afaceri, societății civile, autorităților publice centrale și locale, beneficiari de fonduri europene. </w:t>
            </w:r>
            <w:r>
              <w:rPr>
                <w:rFonts w:ascii="Calibri" w:eastAsia="Calibri" w:hAnsi="Calibri" w:cs="Times New Roman"/>
                <w:bCs/>
                <w:iCs/>
                <w:sz w:val="24"/>
                <w:szCs w:val="24"/>
              </w:rPr>
              <w:t xml:space="preserve">Cu acest prilej, </w:t>
            </w:r>
            <w:r w:rsidRPr="00484579">
              <w:rPr>
                <w:rFonts w:ascii="Calibri" w:eastAsia="Calibri" w:hAnsi="Calibri" w:cs="Times New Roman"/>
                <w:bCs/>
                <w:iCs/>
                <w:sz w:val="24"/>
                <w:szCs w:val="24"/>
              </w:rPr>
              <w:t>au fost prezentate: stadiul negocierilor documentelor de programare 2021-2027, logica intervenț</w:t>
            </w:r>
            <w:r>
              <w:rPr>
                <w:rFonts w:ascii="Calibri" w:eastAsia="Calibri" w:hAnsi="Calibri" w:cs="Times New Roman"/>
                <w:bCs/>
                <w:iCs/>
                <w:sz w:val="24"/>
                <w:szCs w:val="24"/>
              </w:rPr>
              <w:t>iei pe fiecare obiectiv de politica</w:t>
            </w:r>
            <w:r w:rsidRPr="00484579">
              <w:rPr>
                <w:rFonts w:ascii="Calibri" w:eastAsia="Calibri" w:hAnsi="Calibri" w:cs="Times New Roman"/>
                <w:bCs/>
                <w:iCs/>
                <w:sz w:val="24"/>
                <w:szCs w:val="24"/>
              </w:rPr>
              <w:t xml:space="preserve"> și arhitectura viitoarelor programe operaționale</w:t>
            </w:r>
            <w:r>
              <w:rPr>
                <w:rFonts w:ascii="Calibri" w:eastAsia="Calibri" w:hAnsi="Calibri" w:cs="Times New Roman"/>
                <w:bCs/>
                <w:iCs/>
                <w:sz w:val="24"/>
                <w:szCs w:val="24"/>
              </w:rPr>
              <w:t>, precum</w:t>
            </w:r>
            <w:r w:rsidRPr="00484579">
              <w:rPr>
                <w:rFonts w:ascii="Calibri" w:eastAsia="Calibri" w:hAnsi="Calibri" w:cs="Times New Roman"/>
                <w:bCs/>
                <w:iCs/>
                <w:sz w:val="24"/>
                <w:szCs w:val="24"/>
              </w:rPr>
              <w:t xml:space="preserve"> și mecanismul de consu</w:t>
            </w:r>
            <w:r>
              <w:rPr>
                <w:rFonts w:ascii="Calibri" w:eastAsia="Calibri" w:hAnsi="Calibri" w:cs="Times New Roman"/>
                <w:bCs/>
                <w:iCs/>
                <w:sz w:val="24"/>
                <w:szCs w:val="24"/>
              </w:rPr>
              <w:t>ltare partenerială</w:t>
            </w:r>
            <w:r w:rsidRPr="00484579">
              <w:rPr>
                <w:rFonts w:ascii="Calibri" w:eastAsia="Calibri" w:hAnsi="Calibri" w:cs="Times New Roman"/>
                <w:bCs/>
                <w:iCs/>
                <w:sz w:val="24"/>
                <w:szCs w:val="24"/>
              </w:rPr>
              <w:t>.</w:t>
            </w:r>
          </w:p>
          <w:p w14:paraId="4A6392E7" w14:textId="77777777" w:rsidR="001C5496" w:rsidRDefault="001C5496" w:rsidP="001C5496">
            <w:pPr>
              <w:spacing w:before="120" w:after="120" w:line="240" w:lineRule="auto"/>
              <w:jc w:val="both"/>
              <w:rPr>
                <w:rFonts w:ascii="Calibri" w:eastAsia="Calibri" w:hAnsi="Calibri" w:cs="Times New Roman"/>
                <w:b/>
                <w:bCs/>
                <w:iCs/>
                <w:sz w:val="24"/>
                <w:szCs w:val="24"/>
              </w:rPr>
            </w:pPr>
            <w:r>
              <w:rPr>
                <w:rFonts w:ascii="Calibri" w:eastAsia="Calibri" w:hAnsi="Calibri" w:cs="Times New Roman"/>
                <w:bCs/>
                <w:iCs/>
                <w:sz w:val="24"/>
                <w:szCs w:val="24"/>
              </w:rPr>
              <w:t>Odată cu stabilirea arhitecturii documentelor de programare</w:t>
            </w:r>
            <w:r w:rsidRPr="004F525A">
              <w:rPr>
                <w:rFonts w:ascii="Calibri" w:eastAsia="Calibri" w:hAnsi="Calibri" w:cs="Times New Roman"/>
                <w:bCs/>
                <w:iCs/>
                <w:sz w:val="24"/>
                <w:szCs w:val="24"/>
              </w:rPr>
              <w:t xml:space="preserve"> și a cadrului instituțional de gestionare a fondurilor europene aferente Politicii de Coeziune 2021-2027</w:t>
            </w:r>
            <w:r>
              <w:rPr>
                <w:rFonts w:ascii="Calibri" w:eastAsia="Calibri" w:hAnsi="Calibri" w:cs="Times New Roman"/>
                <w:bCs/>
                <w:iCs/>
                <w:sz w:val="24"/>
                <w:szCs w:val="24"/>
              </w:rPr>
              <w:t xml:space="preserve">, </w:t>
            </w:r>
            <w:r w:rsidRPr="004F525A">
              <w:rPr>
                <w:rFonts w:ascii="Calibri" w:eastAsia="Calibri" w:hAnsi="Calibri" w:cs="Times New Roman"/>
                <w:bCs/>
                <w:iCs/>
                <w:sz w:val="24"/>
                <w:szCs w:val="24"/>
              </w:rPr>
              <w:t>începând cu luna martie 2020</w:t>
            </w:r>
            <w:r>
              <w:rPr>
                <w:rFonts w:ascii="Calibri" w:eastAsia="Calibri" w:hAnsi="Calibri" w:cs="Times New Roman"/>
                <w:bCs/>
                <w:iCs/>
                <w:sz w:val="24"/>
                <w:szCs w:val="24"/>
              </w:rPr>
              <w:t>, s-a trecut la etapa de c</w:t>
            </w:r>
            <w:r w:rsidRPr="009B2FF4">
              <w:rPr>
                <w:rFonts w:ascii="Calibri" w:eastAsia="Calibri" w:hAnsi="Calibri" w:cs="Times New Roman"/>
                <w:bCs/>
                <w:iCs/>
                <w:sz w:val="24"/>
                <w:szCs w:val="24"/>
              </w:rPr>
              <w:t xml:space="preserve">onstituire a cadrului partenerial la nivelul fiecărui Program Operațional și a Comitetului pentru Coordonarea și Managementul Acordului de Parteneriat (CCMAP). </w:t>
            </w:r>
            <w:r>
              <w:rPr>
                <w:rFonts w:ascii="Calibri" w:eastAsia="Calibri" w:hAnsi="Calibri" w:cs="Times New Roman"/>
                <w:bCs/>
                <w:iCs/>
                <w:sz w:val="24"/>
                <w:szCs w:val="24"/>
              </w:rPr>
              <w:t>Astfel, î</w:t>
            </w:r>
            <w:r w:rsidRPr="004F525A">
              <w:rPr>
                <w:rFonts w:ascii="Calibri" w:eastAsia="Calibri" w:hAnsi="Calibri" w:cs="Times New Roman"/>
                <w:bCs/>
                <w:iCs/>
                <w:sz w:val="24"/>
                <w:szCs w:val="24"/>
              </w:rPr>
              <w:t xml:space="preserve">n perioada 20.05.2020 – 05.06.2020, MFE a derulat </w:t>
            </w:r>
            <w:r w:rsidRPr="009B2FF4">
              <w:rPr>
                <w:rFonts w:ascii="Calibri" w:eastAsia="Calibri" w:hAnsi="Calibri" w:cs="Times New Roman"/>
                <w:bCs/>
                <w:iCs/>
                <w:sz w:val="24"/>
                <w:szCs w:val="24"/>
              </w:rPr>
              <w:t>Apelul Național pentru exprimarea interesului privind participarea în cadrul procesului de consultare partenerială pentru elaborarea documentelor programatice pentru perioada  2021-2027</w:t>
            </w:r>
            <w:r>
              <w:rPr>
                <w:rFonts w:ascii="Calibri" w:eastAsia="Calibri" w:hAnsi="Calibri" w:cs="Times New Roman"/>
                <w:bCs/>
                <w:i/>
                <w:iCs/>
                <w:sz w:val="24"/>
                <w:szCs w:val="24"/>
              </w:rPr>
              <w:t xml:space="preserve"> (</w:t>
            </w:r>
            <w:hyperlink r:id="rId23" w:history="1">
              <w:r w:rsidRPr="000C1294">
                <w:rPr>
                  <w:rStyle w:val="Hyperlink"/>
                  <w:rFonts w:ascii="Calibri" w:eastAsia="Calibri" w:hAnsi="Calibri" w:cs="Times New Roman"/>
                  <w:bCs/>
                  <w:i/>
                  <w:iCs/>
                  <w:sz w:val="24"/>
                  <w:szCs w:val="24"/>
                </w:rPr>
                <w:t>http://mfe.gov.ro/minister/perioade-de-programare/perioada-2021-2027/</w:t>
              </w:r>
            </w:hyperlink>
            <w:r>
              <w:rPr>
                <w:rFonts w:ascii="Calibri" w:eastAsia="Calibri" w:hAnsi="Calibri" w:cs="Times New Roman"/>
                <w:bCs/>
                <w:i/>
                <w:iCs/>
                <w:sz w:val="24"/>
                <w:szCs w:val="24"/>
              </w:rPr>
              <w:t>)</w:t>
            </w:r>
            <w:r w:rsidRPr="004F525A">
              <w:rPr>
                <w:rFonts w:ascii="Calibri" w:eastAsia="Calibri" w:hAnsi="Calibri" w:cs="Times New Roman"/>
                <w:bCs/>
                <w:i/>
                <w:iCs/>
                <w:sz w:val="24"/>
                <w:szCs w:val="24"/>
              </w:rPr>
              <w:t>.</w:t>
            </w:r>
          </w:p>
          <w:p w14:paraId="6907965C" w14:textId="77777777" w:rsidR="001C5496" w:rsidRPr="00877FBD" w:rsidRDefault="001C5496" w:rsidP="001C5496">
            <w:pPr>
              <w:spacing w:before="120" w:after="120" w:line="240" w:lineRule="auto"/>
              <w:jc w:val="both"/>
              <w:rPr>
                <w:rFonts w:ascii="Calibri" w:eastAsia="Calibri" w:hAnsi="Calibri" w:cs="Times New Roman"/>
                <w:bCs/>
                <w:iCs/>
                <w:sz w:val="24"/>
                <w:szCs w:val="24"/>
              </w:rPr>
            </w:pPr>
            <w:r w:rsidRPr="00877FBD">
              <w:rPr>
                <w:rFonts w:ascii="Calibri" w:eastAsia="Calibri" w:hAnsi="Calibri" w:cs="Times New Roman"/>
                <w:bCs/>
                <w:iCs/>
                <w:sz w:val="24"/>
                <w:szCs w:val="24"/>
              </w:rPr>
              <w:t xml:space="preserve">Selecția partenerilor s-a efectuat </w:t>
            </w:r>
            <w:r>
              <w:rPr>
                <w:rFonts w:ascii="Calibri" w:eastAsia="Calibri" w:hAnsi="Calibri" w:cs="Times New Roman"/>
                <w:bCs/>
                <w:iCs/>
                <w:sz w:val="24"/>
                <w:szCs w:val="24"/>
              </w:rPr>
              <w:t>î</w:t>
            </w:r>
            <w:r w:rsidRPr="00877FBD">
              <w:rPr>
                <w:rFonts w:ascii="Calibri" w:eastAsia="Calibri" w:hAnsi="Calibri" w:cs="Times New Roman"/>
                <w:bCs/>
                <w:iCs/>
                <w:sz w:val="24"/>
                <w:szCs w:val="24"/>
              </w:rPr>
              <w:t xml:space="preserve">n conformitate cu </w:t>
            </w:r>
            <w:r>
              <w:rPr>
                <w:rFonts w:ascii="Calibri" w:eastAsia="Calibri" w:hAnsi="Calibri" w:cs="Times New Roman"/>
                <w:bCs/>
                <w:iCs/>
                <w:sz w:val="24"/>
                <w:szCs w:val="24"/>
              </w:rPr>
              <w:t xml:space="preserve">prevederile </w:t>
            </w:r>
            <w:r w:rsidRPr="00877FBD">
              <w:rPr>
                <w:rFonts w:ascii="Calibri" w:eastAsia="Calibri" w:hAnsi="Calibri" w:cs="Times New Roman"/>
                <w:bCs/>
                <w:iCs/>
                <w:sz w:val="24"/>
                <w:szCs w:val="24"/>
              </w:rPr>
              <w:t>Codul</w:t>
            </w:r>
            <w:r>
              <w:rPr>
                <w:rFonts w:ascii="Calibri" w:eastAsia="Calibri" w:hAnsi="Calibri" w:cs="Times New Roman"/>
                <w:bCs/>
                <w:iCs/>
                <w:sz w:val="24"/>
                <w:szCs w:val="24"/>
              </w:rPr>
              <w:t>ui</w:t>
            </w:r>
            <w:r w:rsidRPr="00877FBD">
              <w:rPr>
                <w:rFonts w:ascii="Calibri" w:eastAsia="Calibri" w:hAnsi="Calibri" w:cs="Times New Roman"/>
                <w:bCs/>
                <w:iCs/>
                <w:sz w:val="24"/>
                <w:szCs w:val="24"/>
              </w:rPr>
              <w:t xml:space="preserve"> Național de Conduită privind Parteneriatul pentru Fondurile Europene aferente Politicii de Coeziune, principiile de bază privind identificarea partenerilor relevanți fiind următoarele: principiul reprezentativității; principiul echilibrului intereselor; principiul implicării active; principiul responsabilității si principiul regularității participării.</w:t>
            </w:r>
            <w:r>
              <w:rPr>
                <w:rFonts w:ascii="Calibri" w:eastAsia="Calibri" w:hAnsi="Calibri" w:cs="Times New Roman"/>
                <w:bCs/>
                <w:iCs/>
                <w:sz w:val="24"/>
                <w:szCs w:val="24"/>
              </w:rPr>
              <w:t xml:space="preserve"> De asemenea, prin metodologia internă de selecție a partenerilor, au fost stabilite </w:t>
            </w:r>
            <w:r w:rsidRPr="000B63E5">
              <w:rPr>
                <w:rFonts w:ascii="Calibri" w:eastAsia="Calibri" w:hAnsi="Calibri" w:cs="Times New Roman"/>
                <w:bCs/>
                <w:iCs/>
                <w:sz w:val="24"/>
                <w:szCs w:val="24"/>
              </w:rPr>
              <w:t>criterii specifice procesului de pr</w:t>
            </w:r>
            <w:r>
              <w:rPr>
                <w:rFonts w:ascii="Calibri" w:eastAsia="Calibri" w:hAnsi="Calibri" w:cs="Times New Roman"/>
                <w:bCs/>
                <w:iCs/>
                <w:sz w:val="24"/>
                <w:szCs w:val="24"/>
              </w:rPr>
              <w:t>ogramare a fondurilor europene,</w:t>
            </w:r>
            <w:r w:rsidRPr="000B63E5">
              <w:rPr>
                <w:rFonts w:ascii="Calibri" w:eastAsia="Calibri" w:hAnsi="Calibri" w:cs="Times New Roman"/>
                <w:bCs/>
                <w:iCs/>
                <w:sz w:val="24"/>
                <w:szCs w:val="24"/>
              </w:rPr>
              <w:t xml:space="preserve"> precum: relevanța obiectului de activitate pentru domeniile de intervenție ale fondurilor europene; recunoașterea organizației la nivel național; nivelul de specializare; experiența anterioară; performanța; capacitatea de reprezentare; capacitatea de planificare strategică; integritatea; susținerea politicilor privind principiile orizontale ale Uniunii Europene.</w:t>
            </w:r>
            <w:r>
              <w:rPr>
                <w:rFonts w:ascii="Calibri" w:eastAsia="Calibri" w:hAnsi="Calibri" w:cs="Times New Roman"/>
                <w:bCs/>
                <w:iCs/>
                <w:sz w:val="24"/>
                <w:szCs w:val="24"/>
              </w:rPr>
              <w:t xml:space="preserve"> Totodată, metodologia conține formulare de candidatură care au fost completate de către cei care doreau să devină membri în structurile parteneriale, precum și grile de evaluare pe baza cărora s-a făcut selecția candidaților, acestea fiind publicate pe site-ul MFE în vederea asigurării unui proces de selecție transparent. De asemenea, comisiile de selecție a candidaturilor și de soluționare a contestațiilor au fost aprobate prin ordin de ministru. </w:t>
            </w:r>
          </w:p>
          <w:p w14:paraId="63203D95" w14:textId="77777777" w:rsidR="001C5496" w:rsidRPr="004F525A"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In urma apelului public lansat pe site-ul MFE, a</w:t>
            </w:r>
            <w:r w:rsidRPr="004F525A">
              <w:rPr>
                <w:rFonts w:ascii="Calibri" w:eastAsia="Calibri" w:hAnsi="Calibri" w:cs="Times New Roman"/>
                <w:bCs/>
                <w:iCs/>
                <w:sz w:val="24"/>
                <w:szCs w:val="24"/>
              </w:rPr>
              <w:t xml:space="preserve">u fost înregistrate </w:t>
            </w:r>
            <w:r w:rsidRPr="00396C71">
              <w:rPr>
                <w:rFonts w:ascii="Calibri" w:eastAsia="Calibri" w:hAnsi="Calibri" w:cs="Times New Roman"/>
                <w:bCs/>
                <w:iCs/>
                <w:sz w:val="24"/>
                <w:szCs w:val="24"/>
              </w:rPr>
              <w:t>230 de candidaturi</w:t>
            </w:r>
            <w:r w:rsidRPr="004F525A">
              <w:rPr>
                <w:rFonts w:ascii="Calibri" w:eastAsia="Calibri" w:hAnsi="Calibri" w:cs="Times New Roman"/>
                <w:bCs/>
                <w:iCs/>
                <w:sz w:val="24"/>
                <w:szCs w:val="24"/>
              </w:rPr>
              <w:t xml:space="preserve">, </w:t>
            </w:r>
            <w:r w:rsidRPr="00396C71">
              <w:rPr>
                <w:rFonts w:ascii="Calibri" w:eastAsia="Calibri" w:hAnsi="Calibri" w:cs="Times New Roman"/>
                <w:bCs/>
                <w:iCs/>
                <w:sz w:val="24"/>
                <w:szCs w:val="24"/>
              </w:rPr>
              <w:t>reprezentând 735 de solicitări de participare la structurile parteneriale, atât din mediul social</w:t>
            </w:r>
            <w:r w:rsidRPr="004F525A">
              <w:rPr>
                <w:rFonts w:ascii="Calibri" w:eastAsia="Calibri" w:hAnsi="Calibri" w:cs="Times New Roman"/>
                <w:bCs/>
                <w:iCs/>
                <w:sz w:val="24"/>
                <w:szCs w:val="24"/>
              </w:rPr>
              <w:t xml:space="preserve"> (asociații, fundații, sindicate, patronate, organizații și forme asociative), cât și </w:t>
            </w:r>
            <w:r w:rsidRPr="00396C71">
              <w:rPr>
                <w:rFonts w:ascii="Calibri" w:eastAsia="Calibri" w:hAnsi="Calibri" w:cs="Times New Roman"/>
                <w:bCs/>
                <w:iCs/>
                <w:sz w:val="24"/>
                <w:szCs w:val="24"/>
              </w:rPr>
              <w:t>din mediul economic</w:t>
            </w:r>
            <w:r w:rsidRPr="004F525A">
              <w:rPr>
                <w:rFonts w:ascii="Calibri" w:eastAsia="Calibri" w:hAnsi="Calibri" w:cs="Times New Roman"/>
                <w:bCs/>
                <w:iCs/>
                <w:sz w:val="24"/>
                <w:szCs w:val="24"/>
              </w:rPr>
              <w:t xml:space="preserve"> (societăți pe acțiuni, societăți cu răspundere limitată). </w:t>
            </w:r>
          </w:p>
          <w:p w14:paraId="66E76820" w14:textId="77777777" w:rsidR="001C5496" w:rsidRDefault="001C5496" w:rsidP="001C5496">
            <w:pPr>
              <w:spacing w:before="120" w:after="120" w:line="240" w:lineRule="auto"/>
              <w:jc w:val="both"/>
              <w:rPr>
                <w:rFonts w:ascii="Calibri" w:eastAsia="Calibri" w:hAnsi="Calibri" w:cs="Times New Roman"/>
                <w:bCs/>
                <w:iCs/>
                <w:sz w:val="24"/>
                <w:szCs w:val="24"/>
              </w:rPr>
            </w:pPr>
            <w:r w:rsidRPr="00396C71">
              <w:rPr>
                <w:rFonts w:ascii="Calibri" w:eastAsia="Calibri" w:hAnsi="Calibri" w:cs="Times New Roman"/>
                <w:bCs/>
                <w:iCs/>
                <w:sz w:val="24"/>
                <w:szCs w:val="24"/>
              </w:rPr>
              <w:t xml:space="preserve">La nivelul CCMAP </w:t>
            </w:r>
            <w:r w:rsidRPr="004F525A">
              <w:rPr>
                <w:rFonts w:ascii="Calibri" w:eastAsia="Calibri" w:hAnsi="Calibri" w:cs="Times New Roman"/>
                <w:bCs/>
                <w:iCs/>
                <w:sz w:val="24"/>
                <w:szCs w:val="24"/>
              </w:rPr>
              <w:t xml:space="preserve">au fost selectați să participe partenerii care </w:t>
            </w:r>
            <w:r>
              <w:rPr>
                <w:rFonts w:ascii="Calibri" w:eastAsia="Calibri" w:hAnsi="Calibri" w:cs="Times New Roman"/>
                <w:bCs/>
                <w:iCs/>
                <w:sz w:val="24"/>
                <w:szCs w:val="24"/>
              </w:rPr>
              <w:t xml:space="preserve">și-au exprimat opțiunea de a fi membri ai acestei structuri parteneriale </w:t>
            </w:r>
            <w:r>
              <w:rPr>
                <w:rFonts w:ascii="Calibri" w:eastAsia="Calibri" w:hAnsi="Calibri" w:cs="Times New Roman"/>
                <w:bCs/>
                <w:iCs/>
                <w:sz w:val="24"/>
                <w:szCs w:val="24"/>
              </w:rPr>
              <w:lastRenderedPageBreak/>
              <w:t xml:space="preserve">și care, totodată, </w:t>
            </w:r>
            <w:r w:rsidRPr="004F525A">
              <w:rPr>
                <w:rFonts w:ascii="Calibri" w:eastAsia="Calibri" w:hAnsi="Calibri" w:cs="Times New Roman"/>
                <w:bCs/>
                <w:iCs/>
                <w:sz w:val="24"/>
                <w:szCs w:val="24"/>
              </w:rPr>
              <w:t xml:space="preserve">au obținut punctajele cele mai mari la nivelul </w:t>
            </w:r>
            <w:r>
              <w:rPr>
                <w:rFonts w:ascii="Calibri" w:eastAsia="Calibri" w:hAnsi="Calibri" w:cs="Times New Roman"/>
                <w:bCs/>
                <w:iCs/>
                <w:sz w:val="24"/>
                <w:szCs w:val="24"/>
              </w:rPr>
              <w:t>candidaturilor pentru Programele</w:t>
            </w:r>
            <w:r w:rsidRPr="004F525A">
              <w:rPr>
                <w:rFonts w:ascii="Calibri" w:eastAsia="Calibri" w:hAnsi="Calibri" w:cs="Times New Roman"/>
                <w:bCs/>
                <w:iCs/>
                <w:sz w:val="24"/>
                <w:szCs w:val="24"/>
              </w:rPr>
              <w:t xml:space="preserve"> Operaționale, cu asigurarea reprezentării echilibrate a partenerilor sociali, societății civile și mediului academic pe domeniile majore aferente Programelor Operaționale, cu luarea în considerare a unui </w:t>
            </w:r>
            <w:r w:rsidRPr="00396C71">
              <w:rPr>
                <w:rFonts w:ascii="Calibri" w:eastAsia="Calibri" w:hAnsi="Calibri" w:cs="Times New Roman"/>
                <w:bCs/>
                <w:iCs/>
                <w:sz w:val="24"/>
                <w:szCs w:val="24"/>
              </w:rPr>
              <w:t xml:space="preserve">procent de reprezentare public/privat (parteneri) de 55% (mediul public) versus 45% (mediul privat/parteneri). </w:t>
            </w:r>
            <w:r>
              <w:rPr>
                <w:rFonts w:ascii="Calibri" w:eastAsia="Calibri" w:hAnsi="Calibri" w:cs="Times New Roman"/>
                <w:bCs/>
                <w:iCs/>
                <w:sz w:val="24"/>
                <w:szCs w:val="24"/>
              </w:rPr>
              <w:t>Astfel</w:t>
            </w:r>
            <w:r w:rsidRPr="004F525A">
              <w:rPr>
                <w:rFonts w:ascii="Calibri" w:eastAsia="Calibri" w:hAnsi="Calibri" w:cs="Times New Roman"/>
                <w:bCs/>
                <w:iCs/>
                <w:sz w:val="24"/>
                <w:szCs w:val="24"/>
              </w:rPr>
              <w:t>,</w:t>
            </w:r>
            <w:r w:rsidRPr="00396C71">
              <w:rPr>
                <w:rFonts w:ascii="Calibri" w:eastAsia="Calibri" w:hAnsi="Calibri" w:cs="Times New Roman"/>
                <w:bCs/>
                <w:iCs/>
                <w:sz w:val="24"/>
                <w:szCs w:val="24"/>
              </w:rPr>
              <w:t xml:space="preserve"> la nivelul CCMAP</w:t>
            </w:r>
            <w:r>
              <w:rPr>
                <w:rFonts w:ascii="Calibri" w:eastAsia="Calibri" w:hAnsi="Calibri" w:cs="Times New Roman"/>
                <w:bCs/>
                <w:iCs/>
                <w:sz w:val="24"/>
                <w:szCs w:val="24"/>
              </w:rPr>
              <w:t>,</w:t>
            </w:r>
            <w:r w:rsidRPr="00396C71">
              <w:rPr>
                <w:rFonts w:ascii="Calibri" w:eastAsia="Calibri" w:hAnsi="Calibri" w:cs="Times New Roman"/>
                <w:bCs/>
                <w:iCs/>
                <w:sz w:val="24"/>
                <w:szCs w:val="24"/>
              </w:rPr>
              <w:t xml:space="preserve"> din cele 67 de entități membre, 31 reprezintă parteneri selectați din mediul privat. </w:t>
            </w:r>
          </w:p>
          <w:p w14:paraId="56927C26" w14:textId="77777777" w:rsidR="001C5496" w:rsidRPr="00396C71"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Procesul de selecție a partenerilor s-a finalizat pe data de 20 iulie 2020, când MFE</w:t>
            </w:r>
            <w:r w:rsidRPr="0090356C">
              <w:rPr>
                <w:rFonts w:ascii="Calibri" w:eastAsia="Calibri" w:hAnsi="Calibri" w:cs="Times New Roman"/>
                <w:bCs/>
                <w:iCs/>
                <w:sz w:val="24"/>
                <w:szCs w:val="24"/>
              </w:rPr>
              <w:t xml:space="preserve"> </w:t>
            </w:r>
            <w:r>
              <w:rPr>
                <w:rFonts w:ascii="Calibri" w:eastAsia="Calibri" w:hAnsi="Calibri" w:cs="Times New Roman"/>
                <w:bCs/>
                <w:iCs/>
                <w:sz w:val="24"/>
                <w:szCs w:val="24"/>
              </w:rPr>
              <w:t>a afișat</w:t>
            </w:r>
            <w:r w:rsidRPr="0090356C">
              <w:rPr>
                <w:rFonts w:ascii="Calibri" w:eastAsia="Calibri" w:hAnsi="Calibri" w:cs="Times New Roman"/>
                <w:bCs/>
                <w:iCs/>
                <w:sz w:val="24"/>
                <w:szCs w:val="24"/>
              </w:rPr>
              <w:t xml:space="preserve"> listele finale cu organizațiile/entitățile selectate în cadrul structurilor parteneriale pentru elaborarea Programelor Operaționale și a Aco</w:t>
            </w:r>
            <w:r>
              <w:rPr>
                <w:rFonts w:ascii="Calibri" w:eastAsia="Calibri" w:hAnsi="Calibri" w:cs="Times New Roman"/>
                <w:bCs/>
                <w:iCs/>
                <w:sz w:val="24"/>
                <w:szCs w:val="24"/>
              </w:rPr>
              <w:t>rdului de Parteneriat 2021-2027.</w:t>
            </w:r>
          </w:p>
          <w:p w14:paraId="4CB1A68E" w14:textId="77777777" w:rsidR="001C5496" w:rsidRDefault="001C5496" w:rsidP="001C5496">
            <w:pPr>
              <w:spacing w:before="120" w:after="120" w:line="240" w:lineRule="auto"/>
              <w:jc w:val="both"/>
              <w:rPr>
                <w:rFonts w:ascii="Calibri" w:eastAsia="Calibri" w:hAnsi="Calibri" w:cs="Times New Roman"/>
                <w:bCs/>
                <w:iCs/>
                <w:sz w:val="24"/>
                <w:szCs w:val="24"/>
              </w:rPr>
            </w:pPr>
            <w:r w:rsidRPr="004F525A">
              <w:rPr>
                <w:rFonts w:ascii="Calibri" w:eastAsia="Calibri" w:hAnsi="Calibri" w:cs="Times New Roman"/>
                <w:bCs/>
                <w:iCs/>
                <w:sz w:val="24"/>
                <w:szCs w:val="24"/>
              </w:rPr>
              <w:t xml:space="preserve">Totodată, pentru asigurarea unei </w:t>
            </w:r>
            <w:r w:rsidRPr="00396C71">
              <w:rPr>
                <w:rFonts w:ascii="Calibri" w:eastAsia="Calibri" w:hAnsi="Calibri" w:cs="Times New Roman"/>
                <w:bCs/>
                <w:iCs/>
                <w:sz w:val="24"/>
                <w:szCs w:val="24"/>
              </w:rPr>
              <w:t>consultări tematice, la nivel orizontal cu cele mai relevante categorii de beneficiari ai fondurilor europene,</w:t>
            </w:r>
            <w:r w:rsidRPr="004F525A">
              <w:rPr>
                <w:rFonts w:ascii="Calibri" w:eastAsia="Calibri" w:hAnsi="Calibri" w:cs="Times New Roman"/>
                <w:bCs/>
                <w:iCs/>
                <w:sz w:val="24"/>
                <w:szCs w:val="24"/>
              </w:rPr>
              <w:t xml:space="preserve"> urmare a adoptării Memorandumului cu tema: </w:t>
            </w:r>
            <w:r w:rsidRPr="00396C71">
              <w:rPr>
                <w:rFonts w:ascii="Calibri" w:eastAsia="Calibri" w:hAnsi="Calibri" w:cs="Times New Roman"/>
                <w:bCs/>
                <w:iCs/>
                <w:sz w:val="24"/>
                <w:szCs w:val="24"/>
              </w:rPr>
              <w:t>Rezultatele celei de a 5-a runde de negocieri informale între autoritățile române și Comisia Europeană privind documentele naționale de programare a finanțărilor din fonduri europene 2021</w:t>
            </w:r>
            <w:r w:rsidRPr="004F525A">
              <w:rPr>
                <w:rFonts w:ascii="Calibri" w:eastAsia="Calibri" w:hAnsi="Calibri" w:cs="Times New Roman"/>
                <w:bCs/>
                <w:i/>
                <w:iCs/>
                <w:sz w:val="24"/>
                <w:szCs w:val="24"/>
              </w:rPr>
              <w:t>-2027</w:t>
            </w:r>
            <w:r w:rsidRPr="004F525A">
              <w:rPr>
                <w:rFonts w:ascii="Calibri" w:eastAsia="Calibri" w:hAnsi="Calibri" w:cs="Times New Roman"/>
                <w:bCs/>
                <w:iCs/>
                <w:sz w:val="24"/>
                <w:szCs w:val="24"/>
              </w:rPr>
              <w:t>, 2-4 decembrie 2019, au fost constituite prin Decizii ale Primului Ministru 3 Comitete Consultative dedicate parteneriatului cu:</w:t>
            </w:r>
            <w:r>
              <w:rPr>
                <w:rFonts w:ascii="Calibri" w:eastAsia="Calibri" w:hAnsi="Calibri" w:cs="Times New Roman"/>
                <w:bCs/>
                <w:iCs/>
                <w:sz w:val="24"/>
                <w:szCs w:val="24"/>
              </w:rPr>
              <w:t xml:space="preserve"> m</w:t>
            </w:r>
            <w:r w:rsidRPr="004F525A">
              <w:rPr>
                <w:rFonts w:ascii="Calibri" w:eastAsia="Calibri" w:hAnsi="Calibri" w:cs="Times New Roman"/>
                <w:bCs/>
                <w:iCs/>
                <w:sz w:val="24"/>
                <w:szCs w:val="24"/>
              </w:rPr>
              <w:t>ediul de afaceri;</w:t>
            </w:r>
            <w:r>
              <w:rPr>
                <w:rFonts w:ascii="Calibri" w:eastAsia="Calibri" w:hAnsi="Calibri" w:cs="Times New Roman"/>
                <w:bCs/>
                <w:iCs/>
                <w:sz w:val="24"/>
                <w:szCs w:val="24"/>
              </w:rPr>
              <w:t xml:space="preserve"> s</w:t>
            </w:r>
            <w:r w:rsidRPr="004F525A">
              <w:rPr>
                <w:rFonts w:ascii="Calibri" w:eastAsia="Calibri" w:hAnsi="Calibri" w:cs="Times New Roman"/>
                <w:bCs/>
                <w:iCs/>
                <w:sz w:val="24"/>
                <w:szCs w:val="24"/>
              </w:rPr>
              <w:t>ocietatea civilă</w:t>
            </w:r>
            <w:r>
              <w:rPr>
                <w:rFonts w:ascii="Calibri" w:eastAsia="Calibri" w:hAnsi="Calibri" w:cs="Times New Roman"/>
                <w:bCs/>
                <w:iCs/>
                <w:sz w:val="24"/>
                <w:szCs w:val="24"/>
              </w:rPr>
              <w:t xml:space="preserve"> si a</w:t>
            </w:r>
            <w:r w:rsidRPr="004F525A">
              <w:rPr>
                <w:rFonts w:ascii="Calibri" w:eastAsia="Calibri" w:hAnsi="Calibri" w:cs="Times New Roman"/>
                <w:bCs/>
                <w:iCs/>
                <w:sz w:val="24"/>
                <w:szCs w:val="24"/>
              </w:rPr>
              <w:t>utoritățile locale</w:t>
            </w:r>
            <w:r>
              <w:rPr>
                <w:rFonts w:ascii="Calibri" w:eastAsia="Calibri" w:hAnsi="Calibri" w:cs="Times New Roman"/>
                <w:bCs/>
                <w:iCs/>
                <w:sz w:val="24"/>
                <w:szCs w:val="24"/>
              </w:rPr>
              <w:t>.</w:t>
            </w:r>
            <w:r w:rsidRPr="004F525A">
              <w:rPr>
                <w:rFonts w:ascii="Calibri" w:eastAsia="Calibri" w:hAnsi="Calibri" w:cs="Times New Roman"/>
                <w:bCs/>
                <w:iCs/>
                <w:sz w:val="24"/>
                <w:szCs w:val="24"/>
              </w:rPr>
              <w:t xml:space="preserve"> </w:t>
            </w:r>
          </w:p>
          <w:p w14:paraId="564F6CE0" w14:textId="2CFD4F9B" w:rsidR="001C5496" w:rsidRPr="004F525A" w:rsidRDefault="001C5496" w:rsidP="001C5496">
            <w:pPr>
              <w:spacing w:before="120" w:after="120" w:line="240" w:lineRule="auto"/>
              <w:jc w:val="both"/>
              <w:rPr>
                <w:rFonts w:ascii="Calibri" w:eastAsia="Calibri" w:hAnsi="Calibri" w:cs="Times New Roman"/>
                <w:bCs/>
                <w:iCs/>
                <w:sz w:val="24"/>
                <w:szCs w:val="24"/>
              </w:rPr>
            </w:pPr>
            <w:r w:rsidRPr="004F525A">
              <w:rPr>
                <w:rFonts w:ascii="Calibri" w:eastAsia="Calibri" w:hAnsi="Calibri" w:cs="Times New Roman"/>
                <w:bCs/>
                <w:iCs/>
                <w:sz w:val="24"/>
                <w:szCs w:val="24"/>
              </w:rPr>
              <w:t xml:space="preserve">În data de 31 iulie 2020, </w:t>
            </w:r>
            <w:r>
              <w:rPr>
                <w:rFonts w:ascii="Calibri" w:eastAsia="Calibri" w:hAnsi="Calibri" w:cs="Times New Roman"/>
                <w:bCs/>
                <w:iCs/>
                <w:sz w:val="24"/>
                <w:szCs w:val="24"/>
              </w:rPr>
              <w:t>MFE</w:t>
            </w:r>
            <w:r w:rsidRPr="004F525A">
              <w:rPr>
                <w:rFonts w:ascii="Calibri" w:eastAsia="Calibri" w:hAnsi="Calibri" w:cs="Times New Roman"/>
                <w:bCs/>
                <w:iCs/>
                <w:sz w:val="24"/>
                <w:szCs w:val="24"/>
              </w:rPr>
              <w:t xml:space="preserve"> a publicat în consultare </w:t>
            </w:r>
            <w:r>
              <w:rPr>
                <w:rFonts w:ascii="Calibri" w:eastAsia="Calibri" w:hAnsi="Calibri" w:cs="Times New Roman"/>
                <w:bCs/>
                <w:iCs/>
                <w:sz w:val="24"/>
                <w:szCs w:val="24"/>
              </w:rPr>
              <w:t xml:space="preserve">publică, </w:t>
            </w:r>
            <w:r w:rsidRPr="004F525A">
              <w:rPr>
                <w:rFonts w:ascii="Calibri" w:eastAsia="Calibri" w:hAnsi="Calibri" w:cs="Times New Roman"/>
                <w:bCs/>
                <w:iCs/>
                <w:sz w:val="24"/>
                <w:szCs w:val="24"/>
              </w:rPr>
              <w:t>pe site-ul instituției</w:t>
            </w:r>
            <w:r>
              <w:rPr>
                <w:rFonts w:ascii="Calibri" w:eastAsia="Calibri" w:hAnsi="Calibri" w:cs="Times New Roman"/>
                <w:bCs/>
                <w:iCs/>
                <w:sz w:val="24"/>
                <w:szCs w:val="24"/>
              </w:rPr>
              <w:t>,</w:t>
            </w:r>
            <w:r w:rsidRPr="004F525A">
              <w:rPr>
                <w:rFonts w:ascii="Calibri" w:eastAsia="Calibri" w:hAnsi="Calibri" w:cs="Times New Roman"/>
                <w:bCs/>
                <w:iCs/>
                <w:sz w:val="24"/>
                <w:szCs w:val="24"/>
              </w:rPr>
              <w:t xml:space="preserve"> propunerile de documente de programare specifice perioadei 2021-2027, respectiv Acordul de Partene</w:t>
            </w:r>
            <w:r>
              <w:rPr>
                <w:rFonts w:ascii="Calibri" w:eastAsia="Calibri" w:hAnsi="Calibri" w:cs="Times New Roman"/>
                <w:bCs/>
                <w:iCs/>
                <w:sz w:val="24"/>
                <w:szCs w:val="24"/>
              </w:rPr>
              <w:t>riat și programele operaționale, în vederea transmiterii de comentarii, observații sau propuneri</w:t>
            </w:r>
            <w:r w:rsidRPr="0090356C">
              <w:rPr>
                <w:rFonts w:ascii="Calibri" w:eastAsia="Calibri" w:hAnsi="Calibri" w:cs="Times New Roman"/>
                <w:bCs/>
                <w:iCs/>
                <w:sz w:val="24"/>
                <w:szCs w:val="24"/>
              </w:rPr>
              <w:t xml:space="preserve"> pe marginea acestora</w:t>
            </w:r>
            <w:r>
              <w:rPr>
                <w:rFonts w:ascii="Calibri" w:eastAsia="Calibri" w:hAnsi="Calibri" w:cs="Times New Roman"/>
                <w:bCs/>
                <w:iCs/>
                <w:sz w:val="24"/>
                <w:szCs w:val="24"/>
              </w:rPr>
              <w:t xml:space="preserve"> la o adresa de e-mail dedicată </w:t>
            </w:r>
            <w:r w:rsidRPr="00174C8D">
              <w:rPr>
                <w:lang w:val="it-IT"/>
              </w:rPr>
              <w:t>parteneriat.programare@mfe.gov.ro</w:t>
            </w:r>
            <w:r w:rsidRPr="0090356C">
              <w:rPr>
                <w:rFonts w:ascii="Calibri" w:eastAsia="Calibri" w:hAnsi="Calibri" w:cs="Times New Roman"/>
                <w:bCs/>
                <w:iCs/>
                <w:sz w:val="24"/>
                <w:szCs w:val="24"/>
              </w:rPr>
              <w:t>.</w:t>
            </w:r>
            <w:r>
              <w:rPr>
                <w:rFonts w:ascii="Calibri" w:eastAsia="Calibri" w:hAnsi="Calibri" w:cs="Times New Roman"/>
                <w:bCs/>
                <w:iCs/>
                <w:sz w:val="24"/>
                <w:szCs w:val="24"/>
              </w:rPr>
              <w:t xml:space="preserve"> De asemenea, în vederea facilitării comunicării, au fost create adrese de e-mail specifice fiecărui program (ex</w:t>
            </w:r>
            <w:r w:rsidRPr="006B186E">
              <w:rPr>
                <w:rFonts w:ascii="Calibri" w:eastAsia="Calibri" w:hAnsi="Calibri" w:cs="Times New Roman"/>
                <w:bCs/>
                <w:iCs/>
                <w:sz w:val="24"/>
                <w:szCs w:val="24"/>
              </w:rPr>
              <w:t xml:space="preserve">: </w:t>
            </w:r>
            <w:hyperlink r:id="rId24" w:history="1">
              <w:r w:rsidRPr="006B186E">
                <w:rPr>
                  <w:rStyle w:val="Hyperlink"/>
                  <w:rFonts w:ascii="Calibri" w:eastAsia="Calibri" w:hAnsi="Calibri" w:cs="Times New Roman"/>
                  <w:bCs/>
                  <w:iCs/>
                  <w:sz w:val="24"/>
                  <w:szCs w:val="24"/>
                </w:rPr>
                <w:t>podd@mfe.gov.ro</w:t>
              </w:r>
            </w:hyperlink>
            <w:r w:rsidRPr="006B186E">
              <w:rPr>
                <w:rFonts w:ascii="Calibri" w:eastAsia="Calibri" w:hAnsi="Calibri" w:cs="Times New Roman"/>
                <w:bCs/>
                <w:iCs/>
                <w:sz w:val="24"/>
                <w:szCs w:val="24"/>
              </w:rPr>
              <w:t>).</w:t>
            </w:r>
          </w:p>
          <w:p w14:paraId="4010BEAB" w14:textId="77777777" w:rsidR="001C5496" w:rsidRDefault="001C5496" w:rsidP="001C5496">
            <w:pPr>
              <w:spacing w:before="120" w:after="120" w:line="240" w:lineRule="auto"/>
              <w:jc w:val="both"/>
              <w:rPr>
                <w:rFonts w:ascii="Calibri" w:eastAsia="Calibri" w:hAnsi="Calibri" w:cs="Times New Roman"/>
                <w:bCs/>
                <w:iCs/>
                <w:sz w:val="24"/>
                <w:szCs w:val="24"/>
              </w:rPr>
            </w:pPr>
            <w:r w:rsidRPr="004F525A">
              <w:rPr>
                <w:rFonts w:ascii="Calibri" w:eastAsia="Calibri" w:hAnsi="Calibri" w:cs="Times New Roman"/>
                <w:bCs/>
                <w:iCs/>
                <w:sz w:val="24"/>
                <w:szCs w:val="24"/>
              </w:rPr>
              <w:t>De asemenea, în perioada 18-27 august</w:t>
            </w:r>
            <w:r>
              <w:rPr>
                <w:rFonts w:ascii="Calibri" w:eastAsia="Calibri" w:hAnsi="Calibri" w:cs="Times New Roman"/>
                <w:bCs/>
                <w:iCs/>
                <w:sz w:val="24"/>
                <w:szCs w:val="24"/>
              </w:rPr>
              <w:t xml:space="preserve"> 2020</w:t>
            </w:r>
            <w:r w:rsidRPr="004F525A">
              <w:rPr>
                <w:rFonts w:ascii="Calibri" w:eastAsia="Calibri" w:hAnsi="Calibri" w:cs="Times New Roman"/>
                <w:bCs/>
                <w:iCs/>
                <w:sz w:val="24"/>
                <w:szCs w:val="24"/>
              </w:rPr>
              <w:t xml:space="preserve"> s-au derulat consultări </w:t>
            </w:r>
            <w:r>
              <w:rPr>
                <w:rFonts w:ascii="Calibri" w:eastAsia="Calibri" w:hAnsi="Calibri" w:cs="Times New Roman"/>
                <w:bCs/>
                <w:iCs/>
                <w:sz w:val="24"/>
                <w:szCs w:val="24"/>
              </w:rPr>
              <w:t xml:space="preserve">publice </w:t>
            </w:r>
            <w:r w:rsidRPr="004F525A">
              <w:rPr>
                <w:rFonts w:ascii="Calibri" w:eastAsia="Calibri" w:hAnsi="Calibri" w:cs="Times New Roman"/>
                <w:bCs/>
                <w:iCs/>
                <w:sz w:val="24"/>
                <w:szCs w:val="24"/>
              </w:rPr>
              <w:t>la nivelul tuturor structurilor parteneriale constituite pentru Programele Operaționale și Acordul de Parteneriat,</w:t>
            </w:r>
            <w:r>
              <w:rPr>
                <w:rFonts w:ascii="Calibri" w:eastAsia="Calibri" w:hAnsi="Calibri" w:cs="Times New Roman"/>
                <w:bCs/>
                <w:iCs/>
                <w:sz w:val="24"/>
                <w:szCs w:val="24"/>
              </w:rPr>
              <w:t xml:space="preserve"> la care au participat </w:t>
            </w:r>
            <w:r w:rsidRPr="0090356C">
              <w:rPr>
                <w:rFonts w:ascii="Calibri" w:eastAsia="Calibri" w:hAnsi="Calibri" w:cs="Times New Roman"/>
                <w:bCs/>
                <w:iCs/>
                <w:sz w:val="24"/>
                <w:szCs w:val="24"/>
              </w:rPr>
              <w:t>945 de reprezentanți</w:t>
            </w:r>
            <w:r w:rsidRPr="004F525A">
              <w:rPr>
                <w:rFonts w:ascii="Calibri" w:eastAsia="Calibri" w:hAnsi="Calibri" w:cs="Times New Roman"/>
                <w:bCs/>
                <w:iCs/>
                <w:sz w:val="24"/>
                <w:szCs w:val="24"/>
              </w:rPr>
              <w:t xml:space="preserve"> ai instituțiilor publice, ai societății civile, mediului academic și economic</w:t>
            </w:r>
            <w:r>
              <w:rPr>
                <w:rFonts w:ascii="Calibri" w:eastAsia="Calibri" w:hAnsi="Calibri" w:cs="Times New Roman"/>
                <w:bCs/>
                <w:iCs/>
                <w:sz w:val="24"/>
                <w:szCs w:val="24"/>
              </w:rPr>
              <w:t xml:space="preserve">. </w:t>
            </w:r>
          </w:p>
          <w:p w14:paraId="5D6F722C" w14:textId="77777777" w:rsidR="001C5496" w:rsidRPr="004F525A" w:rsidRDefault="001C5496" w:rsidP="001C5496">
            <w:pPr>
              <w:spacing w:before="120" w:after="120" w:line="240" w:lineRule="auto"/>
              <w:jc w:val="both"/>
              <w:rPr>
                <w:rFonts w:ascii="Calibri" w:eastAsia="Calibri" w:hAnsi="Calibri" w:cs="Times New Roman"/>
                <w:bCs/>
                <w:iCs/>
                <w:sz w:val="24"/>
                <w:szCs w:val="24"/>
              </w:rPr>
            </w:pPr>
            <w:r w:rsidRPr="00ED3537">
              <w:rPr>
                <w:rFonts w:ascii="Calibri" w:eastAsia="Calibri" w:hAnsi="Calibri" w:cs="Times New Roman"/>
                <w:bCs/>
                <w:iCs/>
                <w:sz w:val="24"/>
                <w:szCs w:val="24"/>
              </w:rPr>
              <w:t xml:space="preserve">În luna septembrie 2020, au fost convocate și Comitetele Consultative tematice </w:t>
            </w:r>
            <w:r>
              <w:rPr>
                <w:rFonts w:ascii="Calibri" w:eastAsia="Calibri" w:hAnsi="Calibri" w:cs="Times New Roman"/>
                <w:bCs/>
                <w:iCs/>
                <w:sz w:val="24"/>
                <w:szCs w:val="24"/>
              </w:rPr>
              <w:t xml:space="preserve">privind </w:t>
            </w:r>
            <w:r w:rsidRPr="00ED3537">
              <w:rPr>
                <w:rFonts w:ascii="Calibri" w:eastAsia="Calibri" w:hAnsi="Calibri" w:cs="Times New Roman"/>
                <w:bCs/>
                <w:iCs/>
                <w:sz w:val="24"/>
                <w:szCs w:val="24"/>
              </w:rPr>
              <w:t>mediul de afaceri</w:t>
            </w:r>
            <w:r>
              <w:rPr>
                <w:rFonts w:ascii="Calibri" w:eastAsia="Calibri" w:hAnsi="Calibri" w:cs="Times New Roman"/>
                <w:bCs/>
                <w:iCs/>
                <w:sz w:val="24"/>
                <w:szCs w:val="24"/>
              </w:rPr>
              <w:t xml:space="preserve"> și</w:t>
            </w:r>
            <w:r w:rsidRPr="00ED3537">
              <w:rPr>
                <w:rFonts w:ascii="Calibri" w:eastAsia="Calibri" w:hAnsi="Calibri" w:cs="Times New Roman"/>
                <w:bCs/>
                <w:iCs/>
                <w:sz w:val="24"/>
                <w:szCs w:val="24"/>
              </w:rPr>
              <w:t xml:space="preserve"> societatea civilă</w:t>
            </w:r>
            <w:r>
              <w:rPr>
                <w:rFonts w:ascii="Calibri" w:eastAsia="Calibri" w:hAnsi="Calibri" w:cs="Times New Roman"/>
                <w:bCs/>
                <w:iCs/>
                <w:sz w:val="24"/>
                <w:szCs w:val="24"/>
              </w:rPr>
              <w:t xml:space="preserve"> și au fost prezentate documentele de programare, prilej cu care au fost primite o serie de comentarii și propuneri care au fost atent analizate și avute în vedere la definitivarea primului draft al programelor si Acordului de Parteneriat.</w:t>
            </w:r>
          </w:p>
          <w:p w14:paraId="07C68725" w14:textId="77777777" w:rsidR="001C5496" w:rsidRDefault="001C5496" w:rsidP="001C5496">
            <w:pPr>
              <w:spacing w:before="120" w:after="120" w:line="240" w:lineRule="auto"/>
              <w:jc w:val="both"/>
              <w:rPr>
                <w:rFonts w:ascii="Calibri" w:eastAsia="Calibri" w:hAnsi="Calibri" w:cs="Times New Roman"/>
                <w:bCs/>
                <w:iCs/>
                <w:sz w:val="24"/>
                <w:szCs w:val="24"/>
              </w:rPr>
            </w:pPr>
            <w:r w:rsidRPr="006D1074">
              <w:rPr>
                <w:rFonts w:ascii="Calibri" w:eastAsia="Calibri" w:hAnsi="Calibri" w:cs="Times New Roman"/>
                <w:b/>
                <w:bCs/>
                <w:iCs/>
                <w:sz w:val="24"/>
                <w:szCs w:val="24"/>
              </w:rPr>
              <w:t>Structura partenerială PODD</w:t>
            </w:r>
            <w:r>
              <w:rPr>
                <w:rFonts w:ascii="Calibri" w:eastAsia="Calibri" w:hAnsi="Calibri" w:cs="Times New Roman"/>
                <w:b/>
                <w:bCs/>
                <w:iCs/>
                <w:sz w:val="24"/>
                <w:szCs w:val="24"/>
              </w:rPr>
              <w:t xml:space="preserve"> </w:t>
            </w:r>
          </w:p>
          <w:p w14:paraId="663B4618" w14:textId="77777777" w:rsidR="001C5496" w:rsidRPr="000000A9"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Elaborarea</w:t>
            </w:r>
            <w:r w:rsidRPr="000000A9">
              <w:rPr>
                <w:rFonts w:ascii="Calibri" w:eastAsia="Calibri" w:hAnsi="Calibri" w:cs="Times New Roman"/>
                <w:bCs/>
                <w:iCs/>
                <w:sz w:val="24"/>
                <w:szCs w:val="24"/>
              </w:rPr>
              <w:t xml:space="preserve"> </w:t>
            </w:r>
            <w:r>
              <w:rPr>
                <w:rFonts w:ascii="Calibri" w:eastAsia="Calibri" w:hAnsi="Calibri" w:cs="Times New Roman"/>
                <w:bCs/>
                <w:iCs/>
                <w:sz w:val="24"/>
                <w:szCs w:val="24"/>
              </w:rPr>
              <w:t>PODD</w:t>
            </w:r>
            <w:r w:rsidRPr="000000A9">
              <w:rPr>
                <w:rFonts w:ascii="Calibri" w:eastAsia="Calibri" w:hAnsi="Calibri" w:cs="Times New Roman"/>
                <w:bCs/>
                <w:iCs/>
                <w:sz w:val="24"/>
                <w:szCs w:val="24"/>
              </w:rPr>
              <w:t xml:space="preserve"> 2021-2027 </w:t>
            </w:r>
            <w:r>
              <w:rPr>
                <w:rFonts w:ascii="Calibri" w:eastAsia="Calibri" w:hAnsi="Calibri" w:cs="Times New Roman"/>
                <w:bCs/>
                <w:iCs/>
                <w:sz w:val="24"/>
                <w:szCs w:val="24"/>
              </w:rPr>
              <w:t>a fost</w:t>
            </w:r>
            <w:r w:rsidRPr="000000A9">
              <w:rPr>
                <w:rFonts w:ascii="Calibri" w:eastAsia="Calibri" w:hAnsi="Calibri" w:cs="Times New Roman"/>
                <w:bCs/>
                <w:iCs/>
                <w:sz w:val="24"/>
                <w:szCs w:val="24"/>
              </w:rPr>
              <w:t xml:space="preserve"> coordonată de </w:t>
            </w:r>
            <w:r>
              <w:rPr>
                <w:rFonts w:ascii="Calibri" w:eastAsia="Calibri" w:hAnsi="Calibri" w:cs="Times New Roman"/>
                <w:bCs/>
                <w:iCs/>
                <w:sz w:val="24"/>
                <w:szCs w:val="24"/>
              </w:rPr>
              <w:t>MFE</w:t>
            </w:r>
            <w:r w:rsidRPr="000000A9">
              <w:rPr>
                <w:rFonts w:ascii="Calibri" w:eastAsia="Calibri" w:hAnsi="Calibri" w:cs="Times New Roman"/>
                <w:bCs/>
                <w:iCs/>
                <w:sz w:val="24"/>
                <w:szCs w:val="24"/>
              </w:rPr>
              <w:t xml:space="preserve">, cu respectarea şi aplicarea principiului parteneriatului, </w:t>
            </w:r>
            <w:r>
              <w:rPr>
                <w:rFonts w:ascii="Calibri" w:eastAsia="Calibri" w:hAnsi="Calibri" w:cs="Times New Roman"/>
                <w:bCs/>
                <w:iCs/>
                <w:sz w:val="24"/>
                <w:szCs w:val="24"/>
              </w:rPr>
              <w:t xml:space="preserve">și a </w:t>
            </w:r>
            <w:r w:rsidRPr="000000A9">
              <w:rPr>
                <w:rFonts w:ascii="Calibri" w:eastAsia="Calibri" w:hAnsi="Calibri" w:cs="Times New Roman"/>
                <w:bCs/>
                <w:iCs/>
                <w:sz w:val="24"/>
                <w:szCs w:val="24"/>
              </w:rPr>
              <w:t>presupus o cooperare strânsă cu autorităţile public</w:t>
            </w:r>
            <w:r>
              <w:rPr>
                <w:rFonts w:ascii="Calibri" w:eastAsia="Calibri" w:hAnsi="Calibri" w:cs="Times New Roman"/>
                <w:bCs/>
                <w:iCs/>
                <w:sz w:val="24"/>
                <w:szCs w:val="24"/>
              </w:rPr>
              <w:t>e responsabile de politicile do</w:t>
            </w:r>
            <w:r w:rsidRPr="000000A9">
              <w:rPr>
                <w:rFonts w:ascii="Calibri" w:eastAsia="Calibri" w:hAnsi="Calibri" w:cs="Times New Roman"/>
                <w:bCs/>
                <w:iCs/>
                <w:sz w:val="24"/>
                <w:szCs w:val="24"/>
              </w:rPr>
              <w:t>m</w:t>
            </w:r>
            <w:r>
              <w:rPr>
                <w:rFonts w:ascii="Calibri" w:eastAsia="Calibri" w:hAnsi="Calibri" w:cs="Times New Roman"/>
                <w:bCs/>
                <w:iCs/>
                <w:sz w:val="24"/>
                <w:szCs w:val="24"/>
              </w:rPr>
              <w:t>e</w:t>
            </w:r>
            <w:r w:rsidRPr="000000A9">
              <w:rPr>
                <w:rFonts w:ascii="Calibri" w:eastAsia="Calibri" w:hAnsi="Calibri" w:cs="Times New Roman"/>
                <w:bCs/>
                <w:iCs/>
                <w:sz w:val="24"/>
                <w:szCs w:val="24"/>
              </w:rPr>
              <w:t>niilor finanțate prin program, precum şi cu</w:t>
            </w:r>
            <w:r>
              <w:rPr>
                <w:rFonts w:ascii="Calibri" w:eastAsia="Calibri" w:hAnsi="Calibri" w:cs="Times New Roman"/>
                <w:bCs/>
                <w:iCs/>
                <w:sz w:val="24"/>
                <w:szCs w:val="24"/>
              </w:rPr>
              <w:t xml:space="preserve"> principalele tipuri de benefic</w:t>
            </w:r>
            <w:r w:rsidRPr="000000A9">
              <w:rPr>
                <w:rFonts w:ascii="Calibri" w:eastAsia="Calibri" w:hAnsi="Calibri" w:cs="Times New Roman"/>
                <w:bCs/>
                <w:iCs/>
                <w:sz w:val="24"/>
                <w:szCs w:val="24"/>
              </w:rPr>
              <w:t>i</w:t>
            </w:r>
            <w:r>
              <w:rPr>
                <w:rFonts w:ascii="Calibri" w:eastAsia="Calibri" w:hAnsi="Calibri" w:cs="Times New Roman"/>
                <w:bCs/>
                <w:iCs/>
                <w:sz w:val="24"/>
                <w:szCs w:val="24"/>
              </w:rPr>
              <w:t>a</w:t>
            </w:r>
            <w:r w:rsidRPr="000000A9">
              <w:rPr>
                <w:rFonts w:ascii="Calibri" w:eastAsia="Calibri" w:hAnsi="Calibri" w:cs="Times New Roman"/>
                <w:bCs/>
                <w:iCs/>
                <w:sz w:val="24"/>
                <w:szCs w:val="24"/>
              </w:rPr>
              <w:t>ri, şi alţi reprezentanţi ai societăţii civile, mediului academic şi socio-economic implicate sau vizaţi de acţiunile finanţabile prin PODD.</w:t>
            </w:r>
          </w:p>
          <w:p w14:paraId="0AFCF4A4"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lastRenderedPageBreak/>
              <w:t>În vederea definitivării componenței structurii parteneriale de la nivelul PODD, pe lângă partenerii sociali selectați în cadrul Apelului național, au fost desemnați p</w:t>
            </w:r>
            <w:r w:rsidRPr="000000A9">
              <w:rPr>
                <w:rFonts w:ascii="Calibri" w:eastAsia="Calibri" w:hAnsi="Calibri" w:cs="Times New Roman"/>
                <w:bCs/>
                <w:iCs/>
                <w:sz w:val="24"/>
                <w:szCs w:val="24"/>
              </w:rPr>
              <w:t xml:space="preserve">rin ordin comun de ministru </w:t>
            </w:r>
            <w:r>
              <w:rPr>
                <w:rFonts w:ascii="Calibri" w:eastAsia="Calibri" w:hAnsi="Calibri" w:cs="Times New Roman"/>
                <w:bCs/>
                <w:iCs/>
                <w:sz w:val="24"/>
                <w:szCs w:val="24"/>
              </w:rPr>
              <w:t>reprezentanți ai</w:t>
            </w:r>
            <w:r w:rsidRPr="000000A9">
              <w:rPr>
                <w:rFonts w:ascii="Calibri" w:eastAsia="Calibri" w:hAnsi="Calibri" w:cs="Times New Roman"/>
                <w:bCs/>
                <w:iCs/>
                <w:sz w:val="24"/>
                <w:szCs w:val="24"/>
              </w:rPr>
              <w:t xml:space="preserve"> principalelor instituții implicate în procesul de elaborare a PODD, după cum urmează: Ministerul Mediului, Apelor și Pădurilor, Ministerul Afacerilor Interne și Inspectoratul General pentru Situații de Urgență, Ministerul Economiei, Energiei și Mediului de Afacer</w:t>
            </w:r>
            <w:r>
              <w:rPr>
                <w:rFonts w:ascii="Calibri" w:eastAsia="Calibri" w:hAnsi="Calibri" w:cs="Times New Roman"/>
                <w:bCs/>
                <w:iCs/>
                <w:sz w:val="24"/>
                <w:szCs w:val="24"/>
              </w:rPr>
              <w:t>i</w:t>
            </w:r>
            <w:r w:rsidRPr="000000A9">
              <w:rPr>
                <w:rFonts w:ascii="Calibri" w:eastAsia="Calibri" w:hAnsi="Calibri" w:cs="Times New Roman"/>
                <w:bCs/>
                <w:iCs/>
                <w:sz w:val="24"/>
                <w:szCs w:val="24"/>
              </w:rPr>
              <w:t>, Ministerul Agriculturii și Dezvoltării Rurale, M</w:t>
            </w:r>
            <w:r>
              <w:rPr>
                <w:rFonts w:ascii="Calibri" w:eastAsia="Calibri" w:hAnsi="Calibri" w:cs="Times New Roman"/>
                <w:bCs/>
                <w:iCs/>
                <w:sz w:val="24"/>
                <w:szCs w:val="24"/>
              </w:rPr>
              <w:t xml:space="preserve">inisterul </w:t>
            </w:r>
            <w:r w:rsidRPr="000000A9">
              <w:rPr>
                <w:rFonts w:ascii="Calibri" w:eastAsia="Calibri" w:hAnsi="Calibri" w:cs="Times New Roman"/>
                <w:bCs/>
                <w:iCs/>
                <w:sz w:val="24"/>
                <w:szCs w:val="24"/>
              </w:rPr>
              <w:t>L</w:t>
            </w:r>
            <w:r>
              <w:rPr>
                <w:rFonts w:ascii="Calibri" w:eastAsia="Calibri" w:hAnsi="Calibri" w:cs="Times New Roman"/>
                <w:bCs/>
                <w:iCs/>
                <w:sz w:val="24"/>
                <w:szCs w:val="24"/>
              </w:rPr>
              <w:t xml:space="preserve">ucrărilor </w:t>
            </w:r>
            <w:r w:rsidRPr="000000A9">
              <w:rPr>
                <w:rFonts w:ascii="Calibri" w:eastAsia="Calibri" w:hAnsi="Calibri" w:cs="Times New Roman"/>
                <w:bCs/>
                <w:iCs/>
                <w:sz w:val="24"/>
                <w:szCs w:val="24"/>
              </w:rPr>
              <w:t>P</w:t>
            </w:r>
            <w:r>
              <w:rPr>
                <w:rFonts w:ascii="Calibri" w:eastAsia="Calibri" w:hAnsi="Calibri" w:cs="Times New Roman"/>
                <w:bCs/>
                <w:iCs/>
                <w:sz w:val="24"/>
                <w:szCs w:val="24"/>
              </w:rPr>
              <w:t xml:space="preserve">ublice, </w:t>
            </w:r>
            <w:r w:rsidRPr="000000A9">
              <w:rPr>
                <w:rFonts w:ascii="Calibri" w:eastAsia="Calibri" w:hAnsi="Calibri" w:cs="Times New Roman"/>
                <w:bCs/>
                <w:iCs/>
                <w:sz w:val="24"/>
                <w:szCs w:val="24"/>
              </w:rPr>
              <w:t>D</w:t>
            </w:r>
            <w:r>
              <w:rPr>
                <w:rFonts w:ascii="Calibri" w:eastAsia="Calibri" w:hAnsi="Calibri" w:cs="Times New Roman"/>
                <w:bCs/>
                <w:iCs/>
                <w:sz w:val="24"/>
                <w:szCs w:val="24"/>
              </w:rPr>
              <w:t xml:space="preserve">ezvoltării și </w:t>
            </w:r>
            <w:r w:rsidRPr="000000A9">
              <w:rPr>
                <w:rFonts w:ascii="Calibri" w:eastAsia="Calibri" w:hAnsi="Calibri" w:cs="Times New Roman"/>
                <w:bCs/>
                <w:iCs/>
                <w:sz w:val="24"/>
                <w:szCs w:val="24"/>
              </w:rPr>
              <w:t>A</w:t>
            </w:r>
            <w:r>
              <w:rPr>
                <w:rFonts w:ascii="Calibri" w:eastAsia="Calibri" w:hAnsi="Calibri" w:cs="Times New Roman"/>
                <w:bCs/>
                <w:iCs/>
                <w:sz w:val="24"/>
                <w:szCs w:val="24"/>
              </w:rPr>
              <w:t>dministrației</w:t>
            </w:r>
            <w:r w:rsidRPr="000000A9">
              <w:rPr>
                <w:rFonts w:ascii="Calibri" w:eastAsia="Calibri" w:hAnsi="Calibri" w:cs="Times New Roman"/>
                <w:bCs/>
                <w:iCs/>
                <w:sz w:val="24"/>
                <w:szCs w:val="24"/>
              </w:rPr>
              <w:t>, M</w:t>
            </w:r>
            <w:r>
              <w:rPr>
                <w:rFonts w:ascii="Calibri" w:eastAsia="Calibri" w:hAnsi="Calibri" w:cs="Times New Roman"/>
                <w:bCs/>
                <w:iCs/>
                <w:sz w:val="24"/>
                <w:szCs w:val="24"/>
              </w:rPr>
              <w:t xml:space="preserve">inisterul </w:t>
            </w:r>
            <w:r w:rsidRPr="000000A9">
              <w:rPr>
                <w:rFonts w:ascii="Calibri" w:eastAsia="Calibri" w:hAnsi="Calibri" w:cs="Times New Roman"/>
                <w:bCs/>
                <w:iCs/>
                <w:sz w:val="24"/>
                <w:szCs w:val="24"/>
              </w:rPr>
              <w:t>A</w:t>
            </w:r>
            <w:r>
              <w:rPr>
                <w:rFonts w:ascii="Calibri" w:eastAsia="Calibri" w:hAnsi="Calibri" w:cs="Times New Roman"/>
                <w:bCs/>
                <w:iCs/>
                <w:sz w:val="24"/>
                <w:szCs w:val="24"/>
              </w:rPr>
              <w:t xml:space="preserve">părării </w:t>
            </w:r>
            <w:r w:rsidRPr="000000A9">
              <w:rPr>
                <w:rFonts w:ascii="Calibri" w:eastAsia="Calibri" w:hAnsi="Calibri" w:cs="Times New Roman"/>
                <w:bCs/>
                <w:iCs/>
                <w:sz w:val="24"/>
                <w:szCs w:val="24"/>
              </w:rPr>
              <w:t>N</w:t>
            </w:r>
            <w:r>
              <w:rPr>
                <w:rFonts w:ascii="Calibri" w:eastAsia="Calibri" w:hAnsi="Calibri" w:cs="Times New Roman"/>
                <w:bCs/>
                <w:iCs/>
                <w:sz w:val="24"/>
                <w:szCs w:val="24"/>
              </w:rPr>
              <w:t>aționale</w:t>
            </w:r>
            <w:r w:rsidRPr="000000A9">
              <w:rPr>
                <w:rFonts w:ascii="Calibri" w:eastAsia="Calibri" w:hAnsi="Calibri" w:cs="Times New Roman"/>
                <w:bCs/>
                <w:iCs/>
                <w:sz w:val="24"/>
                <w:szCs w:val="24"/>
              </w:rPr>
              <w:t>, S</w:t>
            </w:r>
            <w:r>
              <w:rPr>
                <w:rFonts w:ascii="Calibri" w:eastAsia="Calibri" w:hAnsi="Calibri" w:cs="Times New Roman"/>
                <w:bCs/>
                <w:iCs/>
                <w:sz w:val="24"/>
                <w:szCs w:val="24"/>
              </w:rPr>
              <w:t xml:space="preserve">ecretariatul </w:t>
            </w:r>
            <w:r w:rsidRPr="000000A9">
              <w:rPr>
                <w:rFonts w:ascii="Calibri" w:eastAsia="Calibri" w:hAnsi="Calibri" w:cs="Times New Roman"/>
                <w:bCs/>
                <w:iCs/>
                <w:sz w:val="24"/>
                <w:szCs w:val="24"/>
              </w:rPr>
              <w:t>G</w:t>
            </w:r>
            <w:r>
              <w:rPr>
                <w:rFonts w:ascii="Calibri" w:eastAsia="Calibri" w:hAnsi="Calibri" w:cs="Times New Roman"/>
                <w:bCs/>
                <w:iCs/>
                <w:sz w:val="24"/>
                <w:szCs w:val="24"/>
              </w:rPr>
              <w:t xml:space="preserve">eneral al </w:t>
            </w:r>
            <w:r w:rsidRPr="000000A9">
              <w:rPr>
                <w:rFonts w:ascii="Calibri" w:eastAsia="Calibri" w:hAnsi="Calibri" w:cs="Times New Roman"/>
                <w:bCs/>
                <w:iCs/>
                <w:sz w:val="24"/>
                <w:szCs w:val="24"/>
              </w:rPr>
              <w:t>G</w:t>
            </w:r>
            <w:r>
              <w:rPr>
                <w:rFonts w:ascii="Calibri" w:eastAsia="Calibri" w:hAnsi="Calibri" w:cs="Times New Roman"/>
                <w:bCs/>
                <w:iCs/>
                <w:sz w:val="24"/>
                <w:szCs w:val="24"/>
              </w:rPr>
              <w:t>uvernului</w:t>
            </w:r>
            <w:r w:rsidRPr="000000A9">
              <w:rPr>
                <w:rFonts w:ascii="Calibri" w:eastAsia="Calibri" w:hAnsi="Calibri" w:cs="Times New Roman"/>
                <w:bCs/>
                <w:iCs/>
                <w:sz w:val="24"/>
                <w:szCs w:val="24"/>
              </w:rPr>
              <w:t>.</w:t>
            </w:r>
          </w:p>
          <w:p w14:paraId="2541FCF7" w14:textId="77777777" w:rsidR="001C5496" w:rsidRPr="000000A9" w:rsidRDefault="001C5496" w:rsidP="001C5496">
            <w:pPr>
              <w:spacing w:before="120" w:after="120" w:line="240" w:lineRule="auto"/>
              <w:jc w:val="both"/>
              <w:rPr>
                <w:rFonts w:ascii="Calibri" w:eastAsia="Calibri" w:hAnsi="Calibri" w:cs="Times New Roman"/>
                <w:bCs/>
                <w:iCs/>
                <w:sz w:val="24"/>
                <w:szCs w:val="24"/>
              </w:rPr>
            </w:pPr>
            <w:r w:rsidRPr="000000A9">
              <w:rPr>
                <w:rFonts w:ascii="Calibri" w:eastAsia="Calibri" w:hAnsi="Calibri" w:cs="Times New Roman"/>
                <w:bCs/>
                <w:iCs/>
                <w:sz w:val="24"/>
                <w:szCs w:val="24"/>
              </w:rPr>
              <w:t>De asemenea,</w:t>
            </w:r>
            <w:r>
              <w:rPr>
                <w:rFonts w:ascii="Calibri" w:eastAsia="Calibri" w:hAnsi="Calibri" w:cs="Times New Roman"/>
                <w:bCs/>
                <w:iCs/>
                <w:sz w:val="24"/>
                <w:szCs w:val="24"/>
              </w:rPr>
              <w:t xml:space="preserve"> la</w:t>
            </w:r>
            <w:r w:rsidRPr="000000A9">
              <w:rPr>
                <w:rFonts w:ascii="Calibri" w:eastAsia="Calibri" w:hAnsi="Calibri" w:cs="Times New Roman"/>
                <w:bCs/>
                <w:iCs/>
                <w:sz w:val="24"/>
                <w:szCs w:val="24"/>
              </w:rPr>
              <w:t xml:space="preserve"> elaborarea programului </w:t>
            </w:r>
            <w:r>
              <w:rPr>
                <w:rFonts w:ascii="Calibri" w:eastAsia="Calibri" w:hAnsi="Calibri" w:cs="Times New Roman"/>
                <w:bCs/>
                <w:iCs/>
                <w:sz w:val="24"/>
                <w:szCs w:val="24"/>
              </w:rPr>
              <w:t xml:space="preserve">au fost implicate și alte </w:t>
            </w:r>
            <w:r w:rsidRPr="000000A9">
              <w:rPr>
                <w:rFonts w:ascii="Calibri" w:eastAsia="Calibri" w:hAnsi="Calibri" w:cs="Times New Roman"/>
                <w:bCs/>
                <w:iCs/>
                <w:sz w:val="24"/>
                <w:szCs w:val="24"/>
              </w:rPr>
              <w:t>instituții/entit</w:t>
            </w:r>
            <w:r>
              <w:rPr>
                <w:rFonts w:ascii="Calibri" w:eastAsia="Calibri" w:hAnsi="Calibri" w:cs="Times New Roman"/>
                <w:bCs/>
                <w:iCs/>
                <w:sz w:val="24"/>
                <w:szCs w:val="24"/>
              </w:rPr>
              <w:t>ăț</w:t>
            </w:r>
            <w:r w:rsidRPr="000000A9">
              <w:rPr>
                <w:rFonts w:ascii="Calibri" w:eastAsia="Calibri" w:hAnsi="Calibri" w:cs="Times New Roman"/>
                <w:bCs/>
                <w:iCs/>
                <w:sz w:val="24"/>
                <w:szCs w:val="24"/>
              </w:rPr>
              <w:t xml:space="preserve">i </w:t>
            </w:r>
            <w:r>
              <w:rPr>
                <w:rFonts w:ascii="Calibri" w:eastAsia="Calibri" w:hAnsi="Calibri" w:cs="Times New Roman"/>
                <w:bCs/>
                <w:iCs/>
                <w:sz w:val="24"/>
                <w:szCs w:val="24"/>
              </w:rPr>
              <w:t>precum</w:t>
            </w:r>
            <w:r w:rsidRPr="000000A9">
              <w:rPr>
                <w:rFonts w:ascii="Calibri" w:eastAsia="Calibri" w:hAnsi="Calibri" w:cs="Times New Roman"/>
                <w:bCs/>
                <w:iCs/>
                <w:sz w:val="24"/>
                <w:szCs w:val="24"/>
              </w:rPr>
              <w:t>: Administrația Națională Apele Române, Autoritatea Națională pentru Meteorologie, operatorii naționali distribuție energie, Transelectrica, operatorii de distribuţie concesionari ai serviciului public de energie electrică, reprezentanți ai IMM-urilor și ai întreprinderilor</w:t>
            </w:r>
            <w:r>
              <w:rPr>
                <w:rFonts w:ascii="Calibri" w:eastAsia="Calibri" w:hAnsi="Calibri" w:cs="Times New Roman"/>
                <w:bCs/>
                <w:iCs/>
                <w:sz w:val="24"/>
                <w:szCs w:val="24"/>
              </w:rPr>
              <w:t xml:space="preserve"> mari.</w:t>
            </w:r>
          </w:p>
          <w:p w14:paraId="6F924AD9" w14:textId="77777777" w:rsidR="001C5496" w:rsidRPr="00412AB2" w:rsidRDefault="001C5496" w:rsidP="001C5496">
            <w:pPr>
              <w:spacing w:before="120" w:after="120" w:line="240" w:lineRule="auto"/>
              <w:jc w:val="both"/>
              <w:rPr>
                <w:rFonts w:ascii="Calibri" w:eastAsia="Calibri" w:hAnsi="Calibri" w:cs="Times New Roman"/>
                <w:b/>
                <w:bCs/>
                <w:iCs/>
                <w:sz w:val="24"/>
                <w:szCs w:val="24"/>
              </w:rPr>
            </w:pPr>
            <w:r w:rsidRPr="00412AB2">
              <w:rPr>
                <w:rFonts w:ascii="Calibri" w:eastAsia="Calibri" w:hAnsi="Calibri" w:cs="Times New Roman"/>
                <w:b/>
                <w:bCs/>
                <w:iCs/>
                <w:sz w:val="24"/>
                <w:szCs w:val="24"/>
              </w:rPr>
              <w:t>Consultări publice</w:t>
            </w:r>
          </w:p>
          <w:p w14:paraId="5A4E4CBC" w14:textId="77777777" w:rsidR="001C5496" w:rsidRPr="008230BA"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La dezbaterea publică din data de 27 august, au</w:t>
            </w:r>
            <w:r w:rsidRPr="008230BA">
              <w:rPr>
                <w:rFonts w:ascii="Calibri" w:eastAsia="Calibri" w:hAnsi="Calibri" w:cs="Times New Roman"/>
                <w:bCs/>
                <w:iCs/>
                <w:sz w:val="24"/>
                <w:szCs w:val="24"/>
              </w:rPr>
              <w:t xml:space="preserve"> participa</w:t>
            </w:r>
            <w:r>
              <w:rPr>
                <w:rFonts w:ascii="Calibri" w:eastAsia="Calibri" w:hAnsi="Calibri" w:cs="Times New Roman"/>
                <w:bCs/>
                <w:iCs/>
                <w:sz w:val="24"/>
                <w:szCs w:val="24"/>
              </w:rPr>
              <w:t>t 107 persoane/entităț</w:t>
            </w:r>
            <w:r w:rsidRPr="008230BA">
              <w:rPr>
                <w:rFonts w:ascii="Calibri" w:eastAsia="Calibri" w:hAnsi="Calibri" w:cs="Times New Roman"/>
                <w:bCs/>
                <w:iCs/>
                <w:sz w:val="24"/>
                <w:szCs w:val="24"/>
              </w:rPr>
              <w:t>i</w:t>
            </w:r>
            <w:r>
              <w:rPr>
                <w:rFonts w:ascii="Calibri" w:eastAsia="Calibri" w:hAnsi="Calibri" w:cs="Times New Roman"/>
                <w:bCs/>
                <w:iCs/>
                <w:sz w:val="24"/>
                <w:szCs w:val="24"/>
              </w:rPr>
              <w:t xml:space="preserve">, </w:t>
            </w:r>
            <w:r w:rsidRPr="008230BA">
              <w:rPr>
                <w:rFonts w:ascii="Calibri" w:eastAsia="Calibri" w:hAnsi="Calibri" w:cs="Times New Roman"/>
                <w:bCs/>
                <w:iCs/>
                <w:sz w:val="24"/>
                <w:szCs w:val="24"/>
              </w:rPr>
              <w:t xml:space="preserve">reprezentanți ai instituțiilor publice cu atribuții în domeniile de interes acoperite de </w:t>
            </w:r>
            <w:r>
              <w:rPr>
                <w:rFonts w:ascii="Calibri" w:eastAsia="Calibri" w:hAnsi="Calibri" w:cs="Times New Roman"/>
                <w:bCs/>
                <w:iCs/>
                <w:sz w:val="24"/>
                <w:szCs w:val="24"/>
              </w:rPr>
              <w:t>PODD</w:t>
            </w:r>
            <w:r w:rsidRPr="008230BA">
              <w:rPr>
                <w:rFonts w:ascii="Calibri" w:eastAsia="Calibri" w:hAnsi="Calibri" w:cs="Times New Roman"/>
                <w:bCs/>
                <w:iCs/>
                <w:sz w:val="24"/>
                <w:szCs w:val="24"/>
              </w:rPr>
              <w:t>, cât și reprezentanți ai principalilor beneficiari, ai societății civile</w:t>
            </w:r>
            <w:r>
              <w:rPr>
                <w:rFonts w:ascii="Calibri" w:eastAsia="Calibri" w:hAnsi="Calibri" w:cs="Times New Roman"/>
                <w:bCs/>
                <w:iCs/>
                <w:sz w:val="24"/>
                <w:szCs w:val="24"/>
              </w:rPr>
              <w:t>, ai mediului de afaceri etc., î</w:t>
            </w:r>
            <w:r w:rsidRPr="008230BA">
              <w:rPr>
                <w:rFonts w:ascii="Calibri" w:eastAsia="Calibri" w:hAnsi="Calibri" w:cs="Times New Roman"/>
                <w:bCs/>
                <w:iCs/>
                <w:sz w:val="24"/>
                <w:szCs w:val="24"/>
              </w:rPr>
              <w:t>n principal membri ai structurilor parteneriale constituite pentru elaborarea programelor operaționale 2021-2027.</w:t>
            </w:r>
          </w:p>
          <w:p w14:paraId="0C86A0A4" w14:textId="08E2A357" w:rsidR="001C5496" w:rsidRPr="001552C0" w:rsidRDefault="001C5496" w:rsidP="001C5496">
            <w:pPr>
              <w:spacing w:before="120" w:after="120" w:line="360" w:lineRule="auto"/>
              <w:jc w:val="both"/>
              <w:rPr>
                <w:rFonts w:ascii="Times New Roman" w:eastAsia="Times New Roman" w:hAnsi="Times New Roman" w:cs="Times New Roman"/>
                <w:i/>
                <w:noProof/>
              </w:rPr>
            </w:pPr>
            <w:r w:rsidRPr="008230BA">
              <w:rPr>
                <w:rFonts w:ascii="Calibri" w:eastAsia="Calibri" w:hAnsi="Calibri" w:cs="Times New Roman"/>
                <w:bCs/>
                <w:iCs/>
                <w:sz w:val="24"/>
                <w:szCs w:val="24"/>
              </w:rPr>
              <w:t>Ca urmare a desfășurării acestui proces amplu de consultare publică, au fost primite o serie de contribuții, acestea fi</w:t>
            </w:r>
            <w:r>
              <w:rPr>
                <w:rFonts w:ascii="Calibri" w:eastAsia="Calibri" w:hAnsi="Calibri" w:cs="Times New Roman"/>
                <w:bCs/>
                <w:iCs/>
                <w:sz w:val="24"/>
                <w:szCs w:val="24"/>
              </w:rPr>
              <w:t>ind analizate și parțial preluate la nivelul Programului Operațional. MFE a centralizat propunerile primite, modalitatea în care acestea au fost integrate sau o justificare a motivului pentru care acestea nu au fost preluate. Această centralizare a fost publicată pe site-ul MFE.</w:t>
            </w:r>
          </w:p>
        </w:tc>
      </w:tr>
    </w:tbl>
    <w:p w14:paraId="1B0B4958" w14:textId="77777777" w:rsidR="001A17A2" w:rsidRPr="001552C0" w:rsidRDefault="001A17A2" w:rsidP="001A17A2">
      <w:pPr>
        <w:spacing w:before="120" w:after="120" w:line="360" w:lineRule="auto"/>
        <w:rPr>
          <w:rFonts w:ascii="Times New Roman" w:hAnsi="Times New Roman" w:cs="Times New Roman"/>
          <w:b/>
          <w:bCs/>
          <w:noProof/>
          <w:sz w:val="24"/>
        </w:rPr>
      </w:pPr>
    </w:p>
    <w:p w14:paraId="1B09825F" w14:textId="77777777" w:rsidR="001A17A2" w:rsidRPr="001552C0" w:rsidRDefault="001A17A2" w:rsidP="001A17A2">
      <w:pPr>
        <w:spacing w:before="120" w:after="120" w:line="360" w:lineRule="auto"/>
        <w:rPr>
          <w:rFonts w:ascii="Times New Roman" w:hAnsi="Times New Roman" w:cs="Times New Roman"/>
          <w:b/>
          <w:bCs/>
          <w:noProof/>
          <w:sz w:val="24"/>
        </w:rPr>
      </w:pPr>
      <w:r w:rsidRPr="001552C0">
        <w:rPr>
          <w:rFonts w:ascii="Times New Roman" w:hAnsi="Times New Roman" w:cs="Times New Roman"/>
          <w:b/>
          <w:bCs/>
          <w:noProof/>
          <w:sz w:val="24"/>
        </w:rPr>
        <w:t>7.</w:t>
      </w:r>
      <w:r w:rsidRPr="001552C0">
        <w:rPr>
          <w:rFonts w:ascii="Times New Roman" w:hAnsi="Times New Roman" w:cs="Times New Roman"/>
          <w:b/>
          <w:bCs/>
          <w:noProof/>
          <w:sz w:val="24"/>
        </w:rPr>
        <w:tab/>
        <w:t>Communication and visibility</w:t>
      </w:r>
    </w:p>
    <w:p w14:paraId="56DB4257" w14:textId="77777777" w:rsidR="001A17A2" w:rsidRPr="001552C0" w:rsidRDefault="001A17A2" w:rsidP="001A17A2">
      <w:pPr>
        <w:spacing w:before="240" w:after="240" w:line="360" w:lineRule="auto"/>
        <w:rPr>
          <w:rFonts w:ascii="Times New Roman" w:eastAsia="Times New Roman" w:hAnsi="Times New Roman" w:cs="Times New Roman"/>
          <w:i/>
          <w:noProof/>
          <w:sz w:val="24"/>
          <w:szCs w:val="24"/>
        </w:rPr>
      </w:pPr>
      <w:r w:rsidRPr="001552C0">
        <w:rPr>
          <w:rFonts w:ascii="Times New Roman" w:eastAsia="Times New Roman" w:hAnsi="Times New Roman" w:cs="Times New Roman"/>
          <w:i/>
          <w:noProof/>
          <w:sz w:val="24"/>
          <w:szCs w:val="24"/>
        </w:rPr>
        <w:t xml:space="preserve">Reference:  Article 17(3)(i) CPR, Article 42(2) CPR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9"/>
      </w:tblGrid>
      <w:tr w:rsidR="001A17A2" w:rsidRPr="001552C0" w14:paraId="1A0FBBFD" w14:textId="77777777" w:rsidTr="001C5496">
        <w:tc>
          <w:tcPr>
            <w:tcW w:w="13149" w:type="dxa"/>
            <w:tcBorders>
              <w:top w:val="single" w:sz="4" w:space="0" w:color="auto"/>
              <w:left w:val="single" w:sz="4" w:space="0" w:color="auto"/>
              <w:bottom w:val="single" w:sz="4" w:space="0" w:color="auto"/>
              <w:right w:val="single" w:sz="4" w:space="0" w:color="auto"/>
            </w:tcBorders>
            <w:hideMark/>
          </w:tcPr>
          <w:p w14:paraId="56B671D4" w14:textId="77777777" w:rsidR="001A17A2" w:rsidRDefault="001A17A2" w:rsidP="001A17A2">
            <w:pPr>
              <w:spacing w:before="120" w:after="120" w:line="360" w:lineRule="auto"/>
              <w:rPr>
                <w:rFonts w:ascii="Times New Roman" w:eastAsia="Times New Roman" w:hAnsi="Times New Roman" w:cs="Times New Roman"/>
                <w:i/>
                <w:noProof/>
              </w:rPr>
            </w:pPr>
            <w:r w:rsidRPr="001552C0">
              <w:rPr>
                <w:rFonts w:ascii="Times New Roman" w:eastAsia="Times New Roman" w:hAnsi="Times New Roman" w:cs="Times New Roman"/>
                <w:i/>
                <w:noProof/>
              </w:rPr>
              <w:t>Text field [4 500]</w:t>
            </w:r>
          </w:p>
          <w:p w14:paraId="24EBA243" w14:textId="77777777" w:rsidR="001C5496" w:rsidRPr="002A4C9D"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Î</w:t>
            </w:r>
            <w:r w:rsidRPr="006B2EE8">
              <w:rPr>
                <w:rFonts w:ascii="Calibri" w:eastAsia="Calibri" w:hAnsi="Calibri" w:cs="Times New Roman"/>
                <w:bCs/>
                <w:iCs/>
                <w:sz w:val="24"/>
                <w:szCs w:val="24"/>
              </w:rPr>
              <w:t>mbunătățirea vizibilității</w:t>
            </w:r>
            <w:r>
              <w:rPr>
                <w:rFonts w:ascii="Calibri" w:eastAsia="Calibri" w:hAnsi="Calibri" w:cs="Times New Roman"/>
                <w:bCs/>
                <w:iCs/>
                <w:sz w:val="24"/>
                <w:szCs w:val="24"/>
              </w:rPr>
              <w:t xml:space="preserve"> politicii de coeziune reprezintă</w:t>
            </w:r>
            <w:r w:rsidRPr="006B2EE8">
              <w:rPr>
                <w:rFonts w:ascii="Calibri" w:eastAsia="Calibri" w:hAnsi="Calibri" w:cs="Times New Roman"/>
                <w:bCs/>
                <w:iCs/>
                <w:sz w:val="24"/>
                <w:szCs w:val="24"/>
              </w:rPr>
              <w:t xml:space="preserve"> o prioritate majoră</w:t>
            </w:r>
            <w:r>
              <w:rPr>
                <w:rFonts w:ascii="Calibri" w:eastAsia="Calibri" w:hAnsi="Calibri" w:cs="Times New Roman"/>
                <w:bCs/>
                <w:iCs/>
                <w:sz w:val="24"/>
                <w:szCs w:val="24"/>
              </w:rPr>
              <w:t xml:space="preserve"> în perioada de programare financiară 2021-2027, fiind imperios necesară </w:t>
            </w:r>
            <w:r w:rsidRPr="006B2EE8">
              <w:rPr>
                <w:rFonts w:ascii="Calibri" w:eastAsia="Calibri" w:hAnsi="Calibri" w:cs="Times New Roman"/>
                <w:bCs/>
                <w:iCs/>
                <w:sz w:val="24"/>
                <w:szCs w:val="24"/>
              </w:rPr>
              <w:t xml:space="preserve">creșterea gradului de conștientizare a beneficiilor </w:t>
            </w:r>
            <w:r>
              <w:rPr>
                <w:rFonts w:ascii="Calibri" w:eastAsia="Calibri" w:hAnsi="Calibri" w:cs="Times New Roman"/>
                <w:bCs/>
                <w:iCs/>
                <w:sz w:val="24"/>
                <w:szCs w:val="24"/>
              </w:rPr>
              <w:t xml:space="preserve">finanțărilor UE pentru cetățeni. Astfel, vor fi întreprinse demersurile necesare pentru asigurarea </w:t>
            </w:r>
            <w:r w:rsidRPr="006B2EE8">
              <w:rPr>
                <w:rFonts w:ascii="Calibri" w:eastAsia="Calibri" w:hAnsi="Calibri" w:cs="Times New Roman"/>
                <w:bCs/>
                <w:iCs/>
                <w:sz w:val="24"/>
                <w:szCs w:val="24"/>
              </w:rPr>
              <w:t xml:space="preserve"> comunic</w:t>
            </w:r>
            <w:r>
              <w:rPr>
                <w:rFonts w:ascii="Calibri" w:eastAsia="Calibri" w:hAnsi="Calibri" w:cs="Times New Roman"/>
                <w:bCs/>
                <w:iCs/>
                <w:sz w:val="24"/>
                <w:szCs w:val="24"/>
              </w:rPr>
              <w:t>ării</w:t>
            </w:r>
            <w:r w:rsidRPr="006B2EE8">
              <w:rPr>
                <w:rFonts w:ascii="Calibri" w:eastAsia="Calibri" w:hAnsi="Calibri" w:cs="Times New Roman"/>
                <w:bCs/>
                <w:iCs/>
                <w:sz w:val="24"/>
                <w:szCs w:val="24"/>
              </w:rPr>
              <w:t xml:space="preserve"> </w:t>
            </w:r>
            <w:r>
              <w:rPr>
                <w:rFonts w:ascii="Calibri" w:eastAsia="Calibri" w:hAnsi="Calibri" w:cs="Times New Roman"/>
                <w:bCs/>
                <w:iCs/>
                <w:sz w:val="24"/>
                <w:szCs w:val="24"/>
              </w:rPr>
              <w:t xml:space="preserve">și vizibilității, </w:t>
            </w:r>
            <w:r w:rsidRPr="006B2EE8">
              <w:rPr>
                <w:rFonts w:ascii="Calibri" w:eastAsia="Calibri" w:hAnsi="Calibri" w:cs="Times New Roman"/>
                <w:bCs/>
                <w:iCs/>
                <w:sz w:val="24"/>
                <w:szCs w:val="24"/>
              </w:rPr>
              <w:t>pe scară largă și sistematică</w:t>
            </w:r>
            <w:r>
              <w:rPr>
                <w:rFonts w:ascii="Calibri" w:eastAsia="Calibri" w:hAnsi="Calibri" w:cs="Times New Roman"/>
                <w:bCs/>
                <w:iCs/>
                <w:sz w:val="24"/>
                <w:szCs w:val="24"/>
              </w:rPr>
              <w:t>,</w:t>
            </w:r>
            <w:r w:rsidRPr="006B2EE8">
              <w:rPr>
                <w:rFonts w:ascii="Calibri" w:eastAsia="Calibri" w:hAnsi="Calibri" w:cs="Times New Roman"/>
                <w:bCs/>
                <w:iCs/>
                <w:sz w:val="24"/>
                <w:szCs w:val="24"/>
              </w:rPr>
              <w:t xml:space="preserve"> a oportunităților, rezultatelor și </w:t>
            </w:r>
            <w:r w:rsidRPr="006B2EE8">
              <w:rPr>
                <w:rFonts w:ascii="Calibri" w:eastAsia="Calibri" w:hAnsi="Calibri" w:cs="Times New Roman"/>
                <w:bCs/>
                <w:iCs/>
                <w:sz w:val="24"/>
                <w:szCs w:val="24"/>
              </w:rPr>
              <w:lastRenderedPageBreak/>
              <w:t>impactului</w:t>
            </w:r>
            <w:r>
              <w:rPr>
                <w:rFonts w:ascii="Calibri" w:eastAsia="Calibri" w:hAnsi="Calibri" w:cs="Times New Roman"/>
                <w:bCs/>
                <w:iCs/>
                <w:sz w:val="24"/>
                <w:szCs w:val="24"/>
              </w:rPr>
              <w:t xml:space="preserve"> finanțărilor asigurate prin proiectele implementate în temeiul </w:t>
            </w:r>
            <w:r w:rsidRPr="006B2EE8">
              <w:rPr>
                <w:rFonts w:ascii="Calibri" w:eastAsia="Calibri" w:hAnsi="Calibri" w:cs="Times New Roman"/>
                <w:bCs/>
                <w:iCs/>
                <w:sz w:val="24"/>
                <w:szCs w:val="24"/>
              </w:rPr>
              <w:t>politic</w:t>
            </w:r>
            <w:r>
              <w:rPr>
                <w:rFonts w:ascii="Calibri" w:eastAsia="Calibri" w:hAnsi="Calibri" w:cs="Times New Roman"/>
                <w:bCs/>
                <w:iCs/>
                <w:sz w:val="24"/>
                <w:szCs w:val="24"/>
              </w:rPr>
              <w:t>ii de coeziune</w:t>
            </w:r>
            <w:r w:rsidRPr="006B2EE8">
              <w:rPr>
                <w:rFonts w:ascii="Calibri" w:eastAsia="Calibri" w:hAnsi="Calibri" w:cs="Times New Roman"/>
                <w:bCs/>
                <w:iCs/>
                <w:sz w:val="24"/>
                <w:szCs w:val="24"/>
              </w:rPr>
              <w:t xml:space="preserve">. </w:t>
            </w:r>
          </w:p>
          <w:p w14:paraId="7EBCADEA"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În acord cu prevederile art.41</w:t>
            </w:r>
            <w:r w:rsidRPr="002A4C9D">
              <w:rPr>
                <w:rFonts w:ascii="Calibri" w:eastAsia="Calibri" w:hAnsi="Calibri" w:cs="Times New Roman"/>
                <w:bCs/>
                <w:iCs/>
                <w:sz w:val="24"/>
                <w:szCs w:val="24"/>
              </w:rPr>
              <w:t xml:space="preserve"> </w:t>
            </w:r>
            <w:r>
              <w:rPr>
                <w:rFonts w:ascii="Calibri" w:eastAsia="Calibri" w:hAnsi="Calibri" w:cs="Times New Roman"/>
                <w:bCs/>
                <w:iCs/>
                <w:sz w:val="24"/>
                <w:szCs w:val="24"/>
              </w:rPr>
              <w:t>și 43 din CPR privind vizibilitatea, a</w:t>
            </w:r>
            <w:r w:rsidRPr="00487874">
              <w:rPr>
                <w:rFonts w:ascii="Calibri" w:eastAsia="Calibri" w:hAnsi="Calibri" w:cs="Times New Roman"/>
                <w:bCs/>
                <w:iCs/>
                <w:sz w:val="24"/>
                <w:szCs w:val="24"/>
              </w:rPr>
              <w:t>ctivitățile de comunicare vor fi coordonate la nivel național în cadrul unei Strategii naționale de comunicare, care va pune bazele unei comunicări coerente la nivel național a temei fondurilor europene</w:t>
            </w:r>
            <w:r>
              <w:rPr>
                <w:rFonts w:ascii="Calibri" w:eastAsia="Calibri" w:hAnsi="Calibri" w:cs="Times New Roman"/>
                <w:bCs/>
                <w:iCs/>
                <w:sz w:val="24"/>
                <w:szCs w:val="24"/>
              </w:rPr>
              <w:t>. Prin similitudine cu perioada de programare precedentă, această strategie va fi prezentată în Comitetul de Monitorizare al fiecărui program</w:t>
            </w:r>
            <w:r w:rsidRPr="00487874">
              <w:rPr>
                <w:rFonts w:ascii="Calibri" w:eastAsia="Calibri" w:hAnsi="Calibri" w:cs="Times New Roman"/>
                <w:bCs/>
                <w:iCs/>
                <w:sz w:val="24"/>
                <w:szCs w:val="24"/>
              </w:rPr>
              <w:t>.</w:t>
            </w:r>
            <w:r>
              <w:rPr>
                <w:rFonts w:ascii="Calibri" w:eastAsia="Calibri" w:hAnsi="Calibri" w:cs="Times New Roman"/>
                <w:bCs/>
                <w:iCs/>
                <w:sz w:val="24"/>
                <w:szCs w:val="24"/>
              </w:rPr>
              <w:t xml:space="preserve"> Totodată, î</w:t>
            </w:r>
            <w:r w:rsidRPr="005366EC">
              <w:rPr>
                <w:rFonts w:ascii="Calibri" w:eastAsia="Calibri" w:hAnsi="Calibri" w:cs="Times New Roman"/>
                <w:bCs/>
                <w:iCs/>
                <w:sz w:val="24"/>
                <w:szCs w:val="24"/>
              </w:rPr>
              <w:t xml:space="preserve">n conformitate cu obligațiile stabilite prin art 41 (b), </w:t>
            </w:r>
            <w:r>
              <w:rPr>
                <w:rFonts w:ascii="Calibri" w:eastAsia="Calibri" w:hAnsi="Calibri" w:cs="Times New Roman"/>
                <w:bCs/>
                <w:iCs/>
                <w:sz w:val="24"/>
                <w:szCs w:val="24"/>
              </w:rPr>
              <w:t>p</w:t>
            </w:r>
            <w:r w:rsidRPr="00487874">
              <w:rPr>
                <w:rFonts w:ascii="Calibri" w:eastAsia="Calibri" w:hAnsi="Calibri" w:cs="Times New Roman"/>
                <w:bCs/>
                <w:iCs/>
                <w:sz w:val="24"/>
                <w:szCs w:val="24"/>
              </w:rPr>
              <w:t xml:space="preserve">ortalul unic pentru fondurile europene www.fonduri-ue.ro, operaționalizat începând cu anul </w:t>
            </w:r>
            <w:r w:rsidRPr="00FD364B">
              <w:rPr>
                <w:rFonts w:ascii="Calibri" w:eastAsia="Calibri" w:hAnsi="Calibri" w:cs="Times New Roman"/>
                <w:bCs/>
                <w:iCs/>
                <w:sz w:val="24"/>
                <w:szCs w:val="24"/>
              </w:rPr>
              <w:t>2007,</w:t>
            </w:r>
            <w:r w:rsidRPr="00487874">
              <w:rPr>
                <w:rFonts w:ascii="Calibri" w:eastAsia="Calibri" w:hAnsi="Calibri" w:cs="Times New Roman"/>
                <w:bCs/>
                <w:iCs/>
                <w:sz w:val="24"/>
                <w:szCs w:val="24"/>
              </w:rPr>
              <w:t xml:space="preserve"> va oferi </w:t>
            </w:r>
            <w:r>
              <w:rPr>
                <w:rFonts w:ascii="Calibri" w:eastAsia="Calibri" w:hAnsi="Calibri" w:cs="Times New Roman"/>
                <w:bCs/>
                <w:iCs/>
                <w:sz w:val="24"/>
                <w:szCs w:val="24"/>
              </w:rPr>
              <w:t xml:space="preserve">în continuare informații privind politica de coeziune și fondurile aferente acesteia, precum și </w:t>
            </w:r>
            <w:r w:rsidRPr="00487874">
              <w:rPr>
                <w:rFonts w:ascii="Calibri" w:eastAsia="Calibri" w:hAnsi="Calibri" w:cs="Times New Roman"/>
                <w:bCs/>
                <w:iCs/>
                <w:sz w:val="24"/>
                <w:szCs w:val="24"/>
              </w:rPr>
              <w:t xml:space="preserve">acces la toate programele operaționale din România, incluzând obiectivele și activitățile </w:t>
            </w:r>
            <w:r>
              <w:rPr>
                <w:rFonts w:ascii="Calibri" w:eastAsia="Calibri" w:hAnsi="Calibri" w:cs="Times New Roman"/>
                <w:bCs/>
                <w:iCs/>
                <w:sz w:val="24"/>
                <w:szCs w:val="24"/>
              </w:rPr>
              <w:t>acestora</w:t>
            </w:r>
            <w:r w:rsidRPr="00487874">
              <w:rPr>
                <w:rFonts w:ascii="Calibri" w:eastAsia="Calibri" w:hAnsi="Calibri" w:cs="Times New Roman"/>
                <w:bCs/>
                <w:iCs/>
                <w:sz w:val="24"/>
                <w:szCs w:val="24"/>
              </w:rPr>
              <w:t>, oportunități</w:t>
            </w:r>
            <w:r>
              <w:rPr>
                <w:rFonts w:ascii="Calibri" w:eastAsia="Calibri" w:hAnsi="Calibri" w:cs="Times New Roman"/>
                <w:bCs/>
                <w:iCs/>
                <w:sz w:val="24"/>
                <w:szCs w:val="24"/>
              </w:rPr>
              <w:t>le</w:t>
            </w:r>
            <w:r w:rsidRPr="00487874">
              <w:rPr>
                <w:rFonts w:ascii="Calibri" w:eastAsia="Calibri" w:hAnsi="Calibri" w:cs="Times New Roman"/>
                <w:bCs/>
                <w:iCs/>
                <w:sz w:val="24"/>
                <w:szCs w:val="24"/>
              </w:rPr>
              <w:t xml:space="preserve"> de finanțare și rezultate</w:t>
            </w:r>
            <w:r>
              <w:rPr>
                <w:rFonts w:ascii="Calibri" w:eastAsia="Calibri" w:hAnsi="Calibri" w:cs="Times New Roman"/>
                <w:bCs/>
                <w:iCs/>
                <w:sz w:val="24"/>
                <w:szCs w:val="24"/>
              </w:rPr>
              <w:t>le</w:t>
            </w:r>
            <w:r w:rsidRPr="00487874">
              <w:rPr>
                <w:rFonts w:ascii="Calibri" w:eastAsia="Calibri" w:hAnsi="Calibri" w:cs="Times New Roman"/>
                <w:bCs/>
                <w:iCs/>
                <w:sz w:val="24"/>
                <w:szCs w:val="24"/>
              </w:rPr>
              <w:t xml:space="preserve"> obținute în urma implementării. Portalul unic va comunica spre cetățeni rolul și realizările obținute cu fondurile europene, va publica </w:t>
            </w:r>
            <w:r>
              <w:rPr>
                <w:rFonts w:ascii="Calibri" w:eastAsia="Calibri" w:hAnsi="Calibri" w:cs="Times New Roman"/>
                <w:bCs/>
                <w:iCs/>
                <w:sz w:val="24"/>
                <w:szCs w:val="24"/>
              </w:rPr>
              <w:t xml:space="preserve">în format deschis </w:t>
            </w:r>
            <w:r w:rsidRPr="00487874">
              <w:rPr>
                <w:rFonts w:ascii="Calibri" w:eastAsia="Calibri" w:hAnsi="Calibri" w:cs="Times New Roman"/>
                <w:bCs/>
                <w:iCs/>
                <w:sz w:val="24"/>
                <w:szCs w:val="24"/>
              </w:rPr>
              <w:t xml:space="preserve">listele actualizate cu operațiunile (proiectele) cofinanțate de UE, va oferi acces la oportunitățile de finanțare active, </w:t>
            </w:r>
            <w:r>
              <w:rPr>
                <w:rFonts w:ascii="Calibri" w:eastAsia="Calibri" w:hAnsi="Calibri" w:cs="Times New Roman"/>
                <w:bCs/>
                <w:iCs/>
                <w:sz w:val="24"/>
                <w:szCs w:val="24"/>
              </w:rPr>
              <w:t xml:space="preserve">la </w:t>
            </w:r>
            <w:r w:rsidRPr="00487874">
              <w:rPr>
                <w:rFonts w:ascii="Calibri" w:eastAsia="Calibri" w:hAnsi="Calibri" w:cs="Times New Roman"/>
                <w:bCs/>
                <w:iCs/>
                <w:sz w:val="24"/>
                <w:szCs w:val="24"/>
              </w:rPr>
              <w:t xml:space="preserve">calendarul </w:t>
            </w:r>
            <w:r>
              <w:rPr>
                <w:rFonts w:ascii="Calibri" w:eastAsia="Calibri" w:hAnsi="Calibri" w:cs="Times New Roman"/>
                <w:bCs/>
                <w:iCs/>
                <w:sz w:val="24"/>
                <w:szCs w:val="24"/>
              </w:rPr>
              <w:t>apelurilor de proiecte</w:t>
            </w:r>
            <w:r w:rsidRPr="00487874">
              <w:rPr>
                <w:rFonts w:ascii="Calibri" w:eastAsia="Calibri" w:hAnsi="Calibri" w:cs="Times New Roman"/>
                <w:bCs/>
                <w:iCs/>
                <w:sz w:val="24"/>
                <w:szCs w:val="24"/>
              </w:rPr>
              <w:t xml:space="preserve">, </w:t>
            </w:r>
            <w:r>
              <w:rPr>
                <w:rFonts w:ascii="Calibri" w:eastAsia="Calibri" w:hAnsi="Calibri" w:cs="Times New Roman"/>
                <w:bCs/>
                <w:iCs/>
                <w:sz w:val="24"/>
                <w:szCs w:val="24"/>
              </w:rPr>
              <w:t xml:space="preserve">la </w:t>
            </w:r>
            <w:r w:rsidRPr="00C41D81">
              <w:rPr>
                <w:rFonts w:ascii="Calibri" w:eastAsia="Calibri" w:hAnsi="Calibri" w:cs="Times New Roman"/>
                <w:bCs/>
                <w:iCs/>
                <w:sz w:val="24"/>
                <w:szCs w:val="24"/>
              </w:rPr>
              <w:t>mecanismele de acordare a finanțărilor, la evaluările realizate și în general la to</w:t>
            </w:r>
            <w:r w:rsidRPr="00487874">
              <w:rPr>
                <w:rFonts w:ascii="Calibri" w:eastAsia="Calibri" w:hAnsi="Calibri" w:cs="Times New Roman"/>
                <w:bCs/>
                <w:iCs/>
                <w:sz w:val="24"/>
                <w:szCs w:val="24"/>
              </w:rPr>
              <w:t xml:space="preserve">ate documentele relevante pentru finanțarea europeană. </w:t>
            </w:r>
            <w:r w:rsidRPr="005366EC">
              <w:rPr>
                <w:rFonts w:ascii="Calibri" w:eastAsia="Calibri" w:hAnsi="Calibri" w:cs="Times New Roman"/>
                <w:bCs/>
                <w:iCs/>
                <w:sz w:val="24"/>
                <w:szCs w:val="24"/>
              </w:rPr>
              <w:t>Programul operațional... va dispune de o secțiune dedicată pe acest portal, care, in conformitate cu prevederile</w:t>
            </w:r>
            <w:r>
              <w:rPr>
                <w:rFonts w:ascii="Calibri" w:eastAsia="Calibri" w:hAnsi="Calibri" w:cs="Times New Roman"/>
                <w:bCs/>
                <w:iCs/>
                <w:sz w:val="24"/>
                <w:szCs w:val="24"/>
              </w:rPr>
              <w:t xml:space="preserve"> art. 44 (1.), va fi disponibilă în cel mult 6 luni de la aprobarea programului. </w:t>
            </w:r>
          </w:p>
          <w:p w14:paraId="2768F873"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 xml:space="preserve">În concordanță cu art. 43 din CPR, similar perioadei precedente de programare, </w:t>
            </w:r>
            <w:r w:rsidRPr="00487874">
              <w:rPr>
                <w:rFonts w:ascii="Calibri" w:eastAsia="Calibri" w:hAnsi="Calibri" w:cs="Times New Roman"/>
                <w:bCs/>
                <w:iCs/>
                <w:sz w:val="24"/>
                <w:szCs w:val="24"/>
              </w:rPr>
              <w:t>fiecare program operațional va</w:t>
            </w:r>
            <w:r>
              <w:rPr>
                <w:rFonts w:ascii="Calibri" w:eastAsia="Calibri" w:hAnsi="Calibri" w:cs="Times New Roman"/>
                <w:bCs/>
                <w:iCs/>
                <w:sz w:val="24"/>
                <w:szCs w:val="24"/>
              </w:rPr>
              <w:t xml:space="preserve"> avea desemnat un responsabil privind acțiunile de</w:t>
            </w:r>
            <w:r w:rsidRPr="00487874">
              <w:rPr>
                <w:rFonts w:ascii="Calibri" w:eastAsia="Calibri" w:hAnsi="Calibri" w:cs="Times New Roman"/>
                <w:bCs/>
                <w:iCs/>
                <w:sz w:val="24"/>
                <w:szCs w:val="24"/>
              </w:rPr>
              <w:t xml:space="preserve"> comunicare</w:t>
            </w:r>
            <w:r>
              <w:rPr>
                <w:rFonts w:ascii="Calibri" w:eastAsia="Calibri" w:hAnsi="Calibri" w:cs="Times New Roman"/>
                <w:bCs/>
                <w:iCs/>
                <w:sz w:val="24"/>
                <w:szCs w:val="24"/>
              </w:rPr>
              <w:t>.</w:t>
            </w:r>
          </w:p>
          <w:p w14:paraId="011012CC" w14:textId="5F1F3F06"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Abordarea în ceea de privește componenta de comunicare a programului, conform art.17 (i) cuprinde următoarele elemente:</w:t>
            </w:r>
          </w:p>
          <w:p w14:paraId="60ADC65E" w14:textId="77777777" w:rsidR="001C5496" w:rsidRPr="003812C6" w:rsidRDefault="001C5496" w:rsidP="001C5496">
            <w:pPr>
              <w:spacing w:before="120" w:after="120" w:line="240" w:lineRule="auto"/>
              <w:jc w:val="both"/>
              <w:rPr>
                <w:sz w:val="24"/>
                <w:szCs w:val="24"/>
                <w:lang w:val="it-IT"/>
              </w:rPr>
            </w:pPr>
            <w:r w:rsidRPr="00C41D81">
              <w:rPr>
                <w:rFonts w:eastAsia="Times New Roman"/>
                <w:b/>
                <w:iCs/>
                <w:sz w:val="24"/>
                <w:szCs w:val="24"/>
                <w:lang w:val="it-IT"/>
              </w:rPr>
              <w:t>Obiectivele generale de comunicare</w:t>
            </w:r>
            <w:r w:rsidRPr="003812C6">
              <w:rPr>
                <w:rFonts w:eastAsia="Times New Roman"/>
                <w:iCs/>
                <w:sz w:val="24"/>
                <w:szCs w:val="24"/>
                <w:lang w:val="it-IT"/>
              </w:rPr>
              <w:t xml:space="preserve"> ale programului, respectiv:</w:t>
            </w:r>
          </w:p>
          <w:p w14:paraId="059FEF13" w14:textId="77777777" w:rsidR="001C5496" w:rsidRPr="003812C6" w:rsidRDefault="001C5496" w:rsidP="001C5496">
            <w:pPr>
              <w:spacing w:before="120" w:after="120" w:line="240" w:lineRule="auto"/>
              <w:jc w:val="both"/>
              <w:rPr>
                <w:rFonts w:eastAsia="Times New Roman"/>
                <w:iCs/>
                <w:sz w:val="24"/>
                <w:szCs w:val="24"/>
                <w:lang w:val="it-IT"/>
              </w:rPr>
            </w:pPr>
            <w:r w:rsidRPr="003812C6">
              <w:rPr>
                <w:rFonts w:eastAsia="Times New Roman"/>
                <w:iCs/>
                <w:sz w:val="24"/>
                <w:szCs w:val="24"/>
                <w:lang w:val="it-IT"/>
              </w:rPr>
              <w:t>1. Asigurarea transparenței în ceea ce privește obiectivele programului, oportunitățile de finanțare și rezultatele obținute</w:t>
            </w:r>
            <w:r>
              <w:rPr>
                <w:rFonts w:eastAsia="Times New Roman"/>
                <w:iCs/>
                <w:sz w:val="24"/>
                <w:szCs w:val="24"/>
                <w:lang w:val="it-IT"/>
              </w:rPr>
              <w:t>;</w:t>
            </w:r>
          </w:p>
          <w:p w14:paraId="63A3728F" w14:textId="77777777" w:rsidR="001C5496" w:rsidRPr="003812C6" w:rsidRDefault="001C5496" w:rsidP="001C5496">
            <w:pPr>
              <w:spacing w:before="120" w:after="120" w:line="240" w:lineRule="auto"/>
              <w:jc w:val="both"/>
              <w:rPr>
                <w:rFonts w:eastAsia="Times New Roman"/>
                <w:iCs/>
                <w:sz w:val="24"/>
                <w:szCs w:val="24"/>
                <w:lang w:val="it-IT"/>
              </w:rPr>
            </w:pPr>
            <w:r w:rsidRPr="003812C6">
              <w:rPr>
                <w:rFonts w:eastAsia="Times New Roman"/>
                <w:iCs/>
                <w:sz w:val="24"/>
                <w:szCs w:val="24"/>
                <w:lang w:val="it-IT"/>
              </w:rPr>
              <w:t>2. Sprijinirea potențialilor beneficiari cu informații menite să asigure elaborarea de proiecte mature;</w:t>
            </w:r>
          </w:p>
          <w:p w14:paraId="106EBCCE" w14:textId="77777777" w:rsidR="001C5496" w:rsidRPr="003812C6" w:rsidRDefault="001C5496" w:rsidP="001C5496">
            <w:pPr>
              <w:spacing w:before="120" w:after="120" w:line="240" w:lineRule="auto"/>
              <w:jc w:val="both"/>
              <w:rPr>
                <w:rFonts w:eastAsia="Times New Roman"/>
                <w:iCs/>
                <w:sz w:val="24"/>
                <w:szCs w:val="24"/>
                <w:lang w:val="it-IT"/>
              </w:rPr>
            </w:pPr>
            <w:r w:rsidRPr="003812C6">
              <w:rPr>
                <w:rFonts w:eastAsia="Times New Roman"/>
                <w:iCs/>
                <w:sz w:val="24"/>
                <w:szCs w:val="24"/>
                <w:lang w:val="it-IT"/>
              </w:rPr>
              <w:t>3. Sprijinirea beneficiarilor să-și implementeze corect și eficient proiectele.</w:t>
            </w:r>
          </w:p>
          <w:p w14:paraId="034DF10C" w14:textId="77777777" w:rsidR="001C5496" w:rsidRPr="003812C6" w:rsidRDefault="001C5496" w:rsidP="001C5496">
            <w:pPr>
              <w:spacing w:before="120" w:after="120" w:line="240" w:lineRule="auto"/>
              <w:jc w:val="both"/>
              <w:rPr>
                <w:rFonts w:eastAsia="Times New Roman"/>
                <w:iCs/>
                <w:sz w:val="24"/>
                <w:szCs w:val="24"/>
                <w:lang w:val="it-IT"/>
              </w:rPr>
            </w:pPr>
            <w:r w:rsidRPr="00C41D81">
              <w:rPr>
                <w:rFonts w:eastAsia="Times New Roman"/>
                <w:b/>
                <w:iCs/>
                <w:sz w:val="24"/>
                <w:szCs w:val="24"/>
                <w:lang w:val="it-IT"/>
              </w:rPr>
              <w:t>Publicul țintă</w:t>
            </w:r>
            <w:r w:rsidRPr="003812C6">
              <w:rPr>
                <w:rFonts w:eastAsia="Times New Roman"/>
                <w:iCs/>
                <w:sz w:val="24"/>
                <w:szCs w:val="24"/>
                <w:lang w:val="it-IT"/>
              </w:rPr>
              <w:t xml:space="preserve"> căruia se a</w:t>
            </w:r>
            <w:r>
              <w:rPr>
                <w:rFonts w:eastAsia="Times New Roman"/>
                <w:iCs/>
                <w:sz w:val="24"/>
                <w:szCs w:val="24"/>
                <w:lang w:val="it-IT"/>
              </w:rPr>
              <w:t>dresează masurile de comunicare este reprezentat de: p</w:t>
            </w:r>
            <w:r w:rsidRPr="003812C6">
              <w:rPr>
                <w:rFonts w:eastAsia="Times New Roman"/>
                <w:iCs/>
                <w:sz w:val="24"/>
                <w:szCs w:val="24"/>
                <w:lang w:val="it-IT"/>
              </w:rPr>
              <w:t>otențialii beneficiari și beneficiarii;</w:t>
            </w:r>
            <w:r>
              <w:rPr>
                <w:rFonts w:eastAsia="Times New Roman"/>
                <w:iCs/>
                <w:sz w:val="24"/>
                <w:szCs w:val="24"/>
                <w:lang w:val="it-IT"/>
              </w:rPr>
              <w:t xml:space="preserve"> p</w:t>
            </w:r>
            <w:r w:rsidRPr="003812C6">
              <w:rPr>
                <w:rFonts w:eastAsia="Times New Roman"/>
                <w:iCs/>
                <w:sz w:val="24"/>
                <w:szCs w:val="24"/>
                <w:lang w:val="it-IT"/>
              </w:rPr>
              <w:t>ublicul larg;</w:t>
            </w:r>
            <w:r>
              <w:rPr>
                <w:rFonts w:eastAsia="Times New Roman"/>
                <w:iCs/>
                <w:sz w:val="24"/>
                <w:szCs w:val="24"/>
                <w:lang w:val="it-IT"/>
              </w:rPr>
              <w:t xml:space="preserve"> a</w:t>
            </w:r>
            <w:r w:rsidRPr="003812C6">
              <w:rPr>
                <w:rFonts w:eastAsia="Times New Roman"/>
                <w:iCs/>
                <w:sz w:val="24"/>
                <w:szCs w:val="24"/>
                <w:lang w:val="it-IT"/>
              </w:rPr>
              <w:t>ctorii implicați, partenerii sociali, presa.</w:t>
            </w:r>
          </w:p>
          <w:p w14:paraId="60251467" w14:textId="77777777" w:rsidR="001C5496" w:rsidRDefault="001C5496" w:rsidP="001C5496">
            <w:pPr>
              <w:spacing w:before="120" w:after="120" w:line="240" w:lineRule="auto"/>
              <w:jc w:val="both"/>
              <w:rPr>
                <w:rFonts w:eastAsia="Times New Roman"/>
                <w:iCs/>
                <w:sz w:val="24"/>
                <w:szCs w:val="24"/>
                <w:lang w:val="it-IT"/>
              </w:rPr>
            </w:pPr>
            <w:r w:rsidRPr="003812C6">
              <w:rPr>
                <w:rFonts w:eastAsia="Times New Roman"/>
                <w:iCs/>
                <w:sz w:val="24"/>
                <w:szCs w:val="24"/>
                <w:lang w:val="it-IT"/>
              </w:rPr>
              <w:t xml:space="preserve">Principalele </w:t>
            </w:r>
            <w:r w:rsidRPr="00C41D81">
              <w:rPr>
                <w:rFonts w:eastAsia="Times New Roman"/>
                <w:b/>
                <w:bCs/>
                <w:iCs/>
                <w:sz w:val="24"/>
                <w:szCs w:val="24"/>
                <w:lang w:val="it-IT"/>
              </w:rPr>
              <w:t xml:space="preserve">canale </w:t>
            </w:r>
            <w:r w:rsidRPr="00C41D81">
              <w:rPr>
                <w:rFonts w:eastAsia="Times New Roman"/>
                <w:b/>
                <w:bCs/>
                <w:iCs/>
                <w:sz w:val="24"/>
                <w:szCs w:val="24"/>
              </w:rPr>
              <w:t xml:space="preserve">și </w:t>
            </w:r>
            <w:r w:rsidRPr="00C41D81">
              <w:rPr>
                <w:rFonts w:eastAsia="Times New Roman"/>
                <w:b/>
                <w:bCs/>
                <w:iCs/>
                <w:sz w:val="24"/>
                <w:szCs w:val="24"/>
                <w:lang w:val="it-IT"/>
              </w:rPr>
              <w:t>mijloacele de comunicare</w:t>
            </w:r>
            <w:r>
              <w:rPr>
                <w:rFonts w:eastAsia="Times New Roman"/>
                <w:iCs/>
                <w:sz w:val="24"/>
                <w:szCs w:val="24"/>
                <w:lang w:val="it-IT"/>
              </w:rPr>
              <w:t xml:space="preserve"> utilizate vor fi: e</w:t>
            </w:r>
            <w:r w:rsidRPr="003812C6">
              <w:rPr>
                <w:rFonts w:eastAsia="Times New Roman"/>
                <w:iCs/>
                <w:sz w:val="24"/>
                <w:szCs w:val="24"/>
                <w:lang w:val="it-IT"/>
              </w:rPr>
              <w:t>venimente și consultări (offline sau online);</w:t>
            </w:r>
            <w:r>
              <w:rPr>
                <w:rFonts w:eastAsia="Times New Roman"/>
                <w:iCs/>
                <w:sz w:val="24"/>
                <w:szCs w:val="24"/>
                <w:lang w:val="it-IT"/>
              </w:rPr>
              <w:t xml:space="preserve"> m</w:t>
            </w:r>
            <w:r w:rsidRPr="003812C6">
              <w:rPr>
                <w:rFonts w:eastAsia="Times New Roman"/>
                <w:iCs/>
                <w:sz w:val="24"/>
                <w:szCs w:val="24"/>
                <w:lang w:val="it-IT"/>
              </w:rPr>
              <w:t>ateriale de comunicare publicate online (ex tutoriale, ghiduri practice etc)</w:t>
            </w:r>
            <w:r>
              <w:rPr>
                <w:rFonts w:eastAsia="Times New Roman"/>
                <w:iCs/>
                <w:sz w:val="24"/>
                <w:szCs w:val="24"/>
                <w:lang w:val="it-IT"/>
              </w:rPr>
              <w:t>; p</w:t>
            </w:r>
            <w:r w:rsidRPr="003812C6">
              <w:rPr>
                <w:rFonts w:eastAsia="Times New Roman"/>
                <w:iCs/>
                <w:sz w:val="24"/>
                <w:szCs w:val="24"/>
                <w:lang w:val="it-IT"/>
              </w:rPr>
              <w:t>agina specifica programului pe website-ul unic, cu informații la zi;</w:t>
            </w:r>
            <w:r>
              <w:rPr>
                <w:rFonts w:eastAsia="Times New Roman"/>
                <w:iCs/>
                <w:sz w:val="24"/>
                <w:szCs w:val="24"/>
                <w:lang w:val="it-IT"/>
              </w:rPr>
              <w:t xml:space="preserve"> s</w:t>
            </w:r>
            <w:r w:rsidRPr="003812C6">
              <w:rPr>
                <w:rFonts w:eastAsia="Times New Roman"/>
                <w:iCs/>
                <w:sz w:val="24"/>
                <w:szCs w:val="24"/>
                <w:lang w:val="it-IT"/>
              </w:rPr>
              <w:t>prijin specific în cadrul centrului de informare pentru fonduri europene;</w:t>
            </w:r>
            <w:r>
              <w:rPr>
                <w:rFonts w:eastAsia="Times New Roman"/>
                <w:iCs/>
                <w:sz w:val="24"/>
                <w:szCs w:val="24"/>
                <w:lang w:val="it-IT"/>
              </w:rPr>
              <w:t xml:space="preserve"> c</w:t>
            </w:r>
            <w:r w:rsidRPr="003812C6">
              <w:rPr>
                <w:rFonts w:eastAsia="Times New Roman"/>
                <w:iCs/>
                <w:sz w:val="24"/>
                <w:szCs w:val="24"/>
                <w:lang w:val="it-IT"/>
              </w:rPr>
              <w:t>olaborarea cu reprezentanții presei, cu liderii de opinie și reprezentanții new media pentru informarea obiectivă a publicului larg și a categoriilor de public specific;</w:t>
            </w:r>
            <w:r>
              <w:rPr>
                <w:rFonts w:eastAsia="Times New Roman"/>
                <w:iCs/>
                <w:sz w:val="24"/>
                <w:szCs w:val="24"/>
                <w:lang w:val="it-IT"/>
              </w:rPr>
              <w:t xml:space="preserve"> p</w:t>
            </w:r>
            <w:r w:rsidRPr="003812C6">
              <w:rPr>
                <w:rFonts w:eastAsia="Times New Roman"/>
                <w:iCs/>
                <w:sz w:val="24"/>
                <w:szCs w:val="24"/>
                <w:lang w:val="it-IT"/>
              </w:rPr>
              <w:t>ublicitate.</w:t>
            </w:r>
          </w:p>
          <w:p w14:paraId="098C925C" w14:textId="77777777" w:rsidR="001C5496" w:rsidRPr="00C41D81" w:rsidRDefault="001C5496" w:rsidP="001C5496">
            <w:pPr>
              <w:spacing w:before="120" w:after="120" w:line="360" w:lineRule="auto"/>
              <w:jc w:val="both"/>
              <w:rPr>
                <w:rFonts w:eastAsia="Times New Roman"/>
                <w:iCs/>
                <w:sz w:val="24"/>
                <w:szCs w:val="24"/>
                <w:lang w:val="it-IT"/>
              </w:rPr>
            </w:pPr>
            <w:r w:rsidRPr="00C41D81">
              <w:rPr>
                <w:rFonts w:eastAsia="Times New Roman"/>
                <w:iCs/>
                <w:sz w:val="24"/>
                <w:szCs w:val="24"/>
                <w:lang w:val="it-IT"/>
              </w:rPr>
              <w:lastRenderedPageBreak/>
              <w:t xml:space="preserve">Orientativ, </w:t>
            </w:r>
            <w:r w:rsidRPr="00C41D81">
              <w:rPr>
                <w:rFonts w:eastAsia="Times New Roman"/>
                <w:b/>
                <w:bCs/>
                <w:iCs/>
                <w:sz w:val="24"/>
                <w:szCs w:val="24"/>
                <w:lang w:val="it-IT"/>
              </w:rPr>
              <w:t>bugetul</w:t>
            </w:r>
            <w:r w:rsidRPr="00C41D81">
              <w:rPr>
                <w:rFonts w:eastAsia="Times New Roman"/>
                <w:iCs/>
                <w:sz w:val="24"/>
                <w:szCs w:val="24"/>
                <w:lang w:val="it-IT"/>
              </w:rPr>
              <w:t xml:space="preserve"> utilizat pentru promovarea specific</w:t>
            </w:r>
            <w:r>
              <w:rPr>
                <w:rFonts w:eastAsia="Times New Roman"/>
                <w:iCs/>
                <w:sz w:val="24"/>
                <w:szCs w:val="24"/>
                <w:lang w:val="it-IT"/>
              </w:rPr>
              <w:t>ă</w:t>
            </w:r>
            <w:r w:rsidRPr="00C41D81">
              <w:rPr>
                <w:rFonts w:eastAsia="Times New Roman"/>
                <w:iCs/>
                <w:sz w:val="24"/>
                <w:szCs w:val="24"/>
                <w:lang w:val="it-IT"/>
              </w:rPr>
              <w:t xml:space="preserve"> a programului este de aproximativ …. euro. </w:t>
            </w:r>
          </w:p>
          <w:p w14:paraId="70D77CDB" w14:textId="77777777" w:rsidR="001C5496" w:rsidRPr="00C41D81" w:rsidRDefault="001C5496" w:rsidP="001C5496">
            <w:pPr>
              <w:spacing w:before="120" w:after="120" w:line="240" w:lineRule="auto"/>
              <w:jc w:val="both"/>
              <w:rPr>
                <w:rFonts w:eastAsia="Times New Roman"/>
                <w:iCs/>
                <w:sz w:val="24"/>
                <w:szCs w:val="24"/>
                <w:lang w:val="it-IT"/>
              </w:rPr>
            </w:pPr>
            <w:r w:rsidRPr="00C41D81">
              <w:rPr>
                <w:rFonts w:eastAsia="Times New Roman"/>
                <w:b/>
                <w:bCs/>
                <w:iCs/>
                <w:sz w:val="24"/>
                <w:szCs w:val="24"/>
                <w:lang w:val="it-IT"/>
              </w:rPr>
              <w:t>Indicatorii</w:t>
            </w:r>
            <w:r w:rsidRPr="00C41D81">
              <w:rPr>
                <w:rFonts w:eastAsia="Times New Roman"/>
                <w:iCs/>
                <w:sz w:val="24"/>
                <w:szCs w:val="24"/>
                <w:lang w:val="it-IT"/>
              </w:rPr>
              <w:t xml:space="preserve"> care vor fi utilizați pentru monitorizarea și evaluarea comunicării sunt: grad de cunoaștere a publicului larg cu privire la proiectele finanțate de UE</w:t>
            </w:r>
            <w:r>
              <w:rPr>
                <w:rFonts w:eastAsia="Times New Roman"/>
                <w:iCs/>
                <w:sz w:val="24"/>
                <w:szCs w:val="24"/>
                <w:lang w:val="it-IT"/>
              </w:rPr>
              <w:t xml:space="preserve"> în aria de interes a programului</w:t>
            </w:r>
            <w:r w:rsidRPr="00C41D81">
              <w:rPr>
                <w:rFonts w:eastAsia="Times New Roman"/>
                <w:iCs/>
                <w:sz w:val="24"/>
                <w:szCs w:val="24"/>
                <w:lang w:val="it-IT"/>
              </w:rPr>
              <w:t xml:space="preserve">, număr de accesări a paginii specifice </w:t>
            </w:r>
            <w:r>
              <w:rPr>
                <w:rFonts w:eastAsia="Times New Roman"/>
                <w:iCs/>
                <w:sz w:val="24"/>
                <w:szCs w:val="24"/>
                <w:lang w:val="it-IT"/>
              </w:rPr>
              <w:t>programului</w:t>
            </w:r>
            <w:r w:rsidRPr="00C41D81">
              <w:rPr>
                <w:rFonts w:eastAsia="Times New Roman"/>
                <w:iCs/>
                <w:sz w:val="24"/>
                <w:szCs w:val="24"/>
                <w:lang w:val="it-IT"/>
              </w:rPr>
              <w:t xml:space="preserve"> pe portalul unic.</w:t>
            </w:r>
          </w:p>
          <w:p w14:paraId="15DDC88F" w14:textId="77777777" w:rsidR="001C5496" w:rsidRDefault="001C5496" w:rsidP="001C5496">
            <w:pPr>
              <w:spacing w:before="120" w:after="120" w:line="240" w:lineRule="auto"/>
              <w:jc w:val="both"/>
              <w:rPr>
                <w:rFonts w:ascii="Calibri" w:eastAsia="Calibri" w:hAnsi="Calibri" w:cs="Times New Roman"/>
                <w:bCs/>
                <w:iCs/>
                <w:sz w:val="24"/>
                <w:szCs w:val="24"/>
              </w:rPr>
            </w:pPr>
            <w:r>
              <w:rPr>
                <w:rFonts w:ascii="Calibri" w:eastAsia="Calibri" w:hAnsi="Calibri" w:cs="Times New Roman"/>
                <w:bCs/>
                <w:iCs/>
                <w:sz w:val="24"/>
                <w:szCs w:val="24"/>
              </w:rPr>
              <w:t xml:space="preserve">De asemenea, conform art. 42 din </w:t>
            </w:r>
            <w:r w:rsidRPr="007C0E83">
              <w:rPr>
                <w:rFonts w:ascii="Calibri" w:eastAsia="Calibri" w:hAnsi="Calibri" w:cs="Times New Roman"/>
                <w:bCs/>
                <w:iCs/>
                <w:sz w:val="24"/>
                <w:szCs w:val="24"/>
              </w:rPr>
              <w:t>CPR și</w:t>
            </w:r>
            <w:r w:rsidRPr="00C41D81">
              <w:rPr>
                <w:rFonts w:ascii="Calibri" w:eastAsia="Calibri" w:hAnsi="Calibri" w:cs="Times New Roman"/>
                <w:bCs/>
                <w:iCs/>
                <w:sz w:val="24"/>
                <w:szCs w:val="24"/>
              </w:rPr>
              <w:t xml:space="preserve"> pentru a sprijini aplicarea prevederilor art.41 (a) și art.45, va fi e</w:t>
            </w:r>
            <w:r>
              <w:rPr>
                <w:rFonts w:ascii="Calibri" w:eastAsia="Calibri" w:hAnsi="Calibri" w:cs="Times New Roman"/>
                <w:bCs/>
                <w:iCs/>
                <w:sz w:val="24"/>
                <w:szCs w:val="24"/>
              </w:rPr>
              <w:t xml:space="preserve">laborat un manual de identitate vizuală care va fi aplicat la nivel național și care va conține elementele de vizibilitate ce vor fi utilizate pentru </w:t>
            </w:r>
            <w:r w:rsidRPr="00487874">
              <w:rPr>
                <w:rFonts w:ascii="Calibri" w:eastAsia="Calibri" w:hAnsi="Calibri" w:cs="Times New Roman"/>
                <w:bCs/>
                <w:iCs/>
                <w:sz w:val="24"/>
                <w:szCs w:val="24"/>
              </w:rPr>
              <w:t>toate materialele de comunicare și publicitate pentru operațiunile cofinanțate în cadrul tuturor programelor operaționale</w:t>
            </w:r>
            <w:r>
              <w:rPr>
                <w:rFonts w:ascii="Calibri" w:eastAsia="Calibri" w:hAnsi="Calibri" w:cs="Times New Roman"/>
                <w:bCs/>
                <w:iCs/>
                <w:sz w:val="24"/>
                <w:szCs w:val="24"/>
              </w:rPr>
              <w:t xml:space="preserve">. </w:t>
            </w:r>
          </w:p>
          <w:p w14:paraId="7863D81C" w14:textId="77777777" w:rsidR="001C5496" w:rsidRDefault="001C5496" w:rsidP="001C5496">
            <w:pPr>
              <w:spacing w:before="120" w:after="120" w:line="240" w:lineRule="auto"/>
              <w:jc w:val="both"/>
              <w:rPr>
                <w:rFonts w:ascii="Calibri" w:eastAsia="Calibri" w:hAnsi="Calibri" w:cs="Times New Roman"/>
                <w:bCs/>
                <w:iCs/>
                <w:sz w:val="24"/>
                <w:szCs w:val="24"/>
              </w:rPr>
            </w:pPr>
            <w:r w:rsidRPr="00487874">
              <w:rPr>
                <w:rFonts w:ascii="Calibri" w:eastAsia="Calibri" w:hAnsi="Calibri" w:cs="Times New Roman"/>
                <w:bCs/>
                <w:iCs/>
                <w:sz w:val="24"/>
                <w:szCs w:val="24"/>
              </w:rPr>
              <w:t xml:space="preserve">Un alt instrument orizontal </w:t>
            </w:r>
            <w:r>
              <w:rPr>
                <w:rFonts w:ascii="Calibri" w:eastAsia="Calibri" w:hAnsi="Calibri" w:cs="Times New Roman"/>
                <w:bCs/>
                <w:iCs/>
                <w:sz w:val="24"/>
                <w:szCs w:val="24"/>
              </w:rPr>
              <w:t xml:space="preserve">avut în vedere </w:t>
            </w:r>
            <w:r w:rsidRPr="00487874">
              <w:rPr>
                <w:rFonts w:ascii="Calibri" w:eastAsia="Calibri" w:hAnsi="Calibri" w:cs="Times New Roman"/>
                <w:bCs/>
                <w:iCs/>
                <w:sz w:val="24"/>
                <w:szCs w:val="24"/>
              </w:rPr>
              <w:t xml:space="preserve">în perioada 2021-2027 </w:t>
            </w:r>
            <w:r>
              <w:rPr>
                <w:rFonts w:ascii="Calibri" w:eastAsia="Calibri" w:hAnsi="Calibri" w:cs="Times New Roman"/>
                <w:bCs/>
                <w:iCs/>
                <w:sz w:val="24"/>
                <w:szCs w:val="24"/>
              </w:rPr>
              <w:t>este</w:t>
            </w:r>
            <w:r w:rsidRPr="00487874">
              <w:rPr>
                <w:rFonts w:ascii="Calibri" w:eastAsia="Calibri" w:hAnsi="Calibri" w:cs="Times New Roman"/>
                <w:bCs/>
                <w:iCs/>
                <w:sz w:val="24"/>
                <w:szCs w:val="24"/>
              </w:rPr>
              <w:t xml:space="preserve"> centrul de informare pentru fonduri europene, care va oferi informații publicului larg cu privire la finanțările europene, sprijin potențialilor beneficiari în identificarea oportunităților de finanțare și beneficiarilor în implementarea proiectelor lor. </w:t>
            </w:r>
          </w:p>
          <w:p w14:paraId="348CD68D" w14:textId="296692EC" w:rsidR="001C5496" w:rsidRPr="001552C0" w:rsidRDefault="001C5496" w:rsidP="001C5496">
            <w:pPr>
              <w:spacing w:before="120" w:after="120" w:line="360" w:lineRule="auto"/>
              <w:rPr>
                <w:rFonts w:ascii="Times New Roman" w:eastAsia="Times New Roman" w:hAnsi="Times New Roman" w:cs="Times New Roman"/>
                <w:i/>
                <w:noProof/>
              </w:rPr>
            </w:pPr>
            <w:r>
              <w:rPr>
                <w:rFonts w:ascii="Calibri" w:eastAsia="Calibri" w:hAnsi="Calibri" w:cs="Times New Roman"/>
                <w:bCs/>
                <w:iCs/>
                <w:sz w:val="24"/>
                <w:szCs w:val="24"/>
              </w:rPr>
              <w:t xml:space="preserve">In acord cu art 44, autoritatea de management va informa beneficiarii cu privire la publicarea datelor referitoare la acordarea finanțării. De asemenea, le va aduce la cunoștință obligația ca, la cerere, să pună materiale de informare și promovare la dispoziția </w:t>
            </w:r>
            <w:r w:rsidRPr="00852EB0">
              <w:rPr>
                <w:rFonts w:ascii="Calibri" w:eastAsia="Calibri" w:hAnsi="Calibri" w:cs="Times New Roman"/>
                <w:bCs/>
                <w:iCs/>
                <w:sz w:val="24"/>
                <w:szCs w:val="24"/>
              </w:rPr>
              <w:t>instituțiilor, organismelor sau agențiilor Uniunii</w:t>
            </w:r>
            <w:r>
              <w:rPr>
                <w:rFonts w:ascii="Calibri" w:eastAsia="Calibri" w:hAnsi="Calibri" w:cs="Times New Roman"/>
                <w:bCs/>
                <w:iCs/>
                <w:sz w:val="24"/>
                <w:szCs w:val="24"/>
              </w:rPr>
              <w:t xml:space="preserve">, </w:t>
            </w:r>
            <w:r w:rsidRPr="00852EB0">
              <w:rPr>
                <w:rFonts w:ascii="Calibri" w:eastAsia="Calibri" w:hAnsi="Calibri" w:cs="Times New Roman"/>
                <w:bCs/>
                <w:iCs/>
                <w:sz w:val="24"/>
                <w:szCs w:val="24"/>
              </w:rPr>
              <w:t>fără drepturi de autor, neexclusive și irevocabile pentru utilizarea acest</w:t>
            </w:r>
            <w:r>
              <w:rPr>
                <w:rFonts w:ascii="Calibri" w:eastAsia="Calibri" w:hAnsi="Calibri" w:cs="Times New Roman"/>
                <w:bCs/>
                <w:iCs/>
                <w:sz w:val="24"/>
                <w:szCs w:val="24"/>
              </w:rPr>
              <w:t>ora ș</w:t>
            </w:r>
            <w:r w:rsidRPr="00852EB0">
              <w:rPr>
                <w:rFonts w:ascii="Calibri" w:eastAsia="Calibri" w:hAnsi="Calibri" w:cs="Times New Roman"/>
                <w:bCs/>
                <w:iCs/>
                <w:sz w:val="24"/>
                <w:szCs w:val="24"/>
              </w:rPr>
              <w:t xml:space="preserve">i </w:t>
            </w:r>
            <w:r>
              <w:rPr>
                <w:rFonts w:ascii="Calibri" w:eastAsia="Calibri" w:hAnsi="Calibri" w:cs="Times New Roman"/>
                <w:bCs/>
                <w:iCs/>
                <w:sz w:val="24"/>
                <w:szCs w:val="24"/>
              </w:rPr>
              <w:t>cedarea</w:t>
            </w:r>
            <w:r w:rsidRPr="00852EB0">
              <w:rPr>
                <w:rFonts w:ascii="Calibri" w:eastAsia="Calibri" w:hAnsi="Calibri" w:cs="Times New Roman"/>
                <w:bCs/>
                <w:iCs/>
                <w:sz w:val="24"/>
                <w:szCs w:val="24"/>
              </w:rPr>
              <w:t xml:space="preserve"> oricăror drepturi preexistente atașate acest</w:t>
            </w:r>
            <w:r>
              <w:rPr>
                <w:rFonts w:ascii="Calibri" w:eastAsia="Calibri" w:hAnsi="Calibri" w:cs="Times New Roman"/>
                <w:bCs/>
                <w:iCs/>
                <w:sz w:val="24"/>
                <w:szCs w:val="24"/>
              </w:rPr>
              <w:t>ora (</w:t>
            </w:r>
            <w:r w:rsidRPr="00852EB0">
              <w:rPr>
                <w:rFonts w:ascii="Calibri" w:eastAsia="Calibri" w:hAnsi="Calibri" w:cs="Times New Roman"/>
                <w:bCs/>
                <w:iCs/>
                <w:sz w:val="24"/>
                <w:szCs w:val="24"/>
              </w:rPr>
              <w:t>în conformitate cu anexa VIII</w:t>
            </w:r>
            <w:r>
              <w:rPr>
                <w:rFonts w:ascii="Calibri" w:eastAsia="Calibri" w:hAnsi="Calibri" w:cs="Times New Roman"/>
                <w:bCs/>
                <w:iCs/>
                <w:sz w:val="24"/>
                <w:szCs w:val="24"/>
              </w:rPr>
              <w:t xml:space="preserve"> la Regulamentului...).</w:t>
            </w:r>
          </w:p>
        </w:tc>
      </w:tr>
    </w:tbl>
    <w:p w14:paraId="68AB8770" w14:textId="77777777" w:rsidR="001A17A2" w:rsidRPr="001552C0" w:rsidRDefault="001A17A2" w:rsidP="001A17A2">
      <w:pPr>
        <w:spacing w:before="120" w:after="120" w:line="360" w:lineRule="auto"/>
        <w:rPr>
          <w:rFonts w:ascii="Times New Roman" w:hAnsi="Times New Roman" w:cs="Times New Roman"/>
          <w:b/>
          <w:bCs/>
          <w:noProof/>
          <w:sz w:val="24"/>
        </w:rPr>
      </w:pPr>
    </w:p>
    <w:p w14:paraId="3A186958" w14:textId="77777777" w:rsidR="00F000AD" w:rsidRPr="001552C0" w:rsidRDefault="00F000AD" w:rsidP="00871DAF">
      <w:pPr>
        <w:spacing w:after="160" w:line="256" w:lineRule="auto"/>
        <w:jc w:val="center"/>
      </w:pPr>
    </w:p>
    <w:sectPr w:rsidR="00F000AD" w:rsidRPr="001552C0" w:rsidSect="00871DAF">
      <w:headerReference w:type="default" r:id="rId25"/>
      <w:footerReference w:type="default" r:id="rId26"/>
      <w:pgSz w:w="16838" w:h="11906" w:orient="landscape"/>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AAD92" w14:textId="77777777" w:rsidR="00D96A9A" w:rsidRDefault="00D96A9A" w:rsidP="00F000AD">
      <w:pPr>
        <w:spacing w:after="0" w:line="240" w:lineRule="auto"/>
      </w:pPr>
      <w:r>
        <w:separator/>
      </w:r>
    </w:p>
  </w:endnote>
  <w:endnote w:type="continuationSeparator" w:id="0">
    <w:p w14:paraId="36F869B0" w14:textId="77777777" w:rsidR="00D96A9A" w:rsidRDefault="00D96A9A" w:rsidP="00F0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charset w:val="00"/>
    <w:family w:val="roman"/>
    <w:pitch w:val="default"/>
  </w:font>
  <w:font w:name="Times New Roman Bold">
    <w:panose1 w:val="02020803070505020304"/>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AngsanaUPC">
    <w:altName w:val="Arial Unicode MS"/>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5E2FBD" w:rsidRPr="00D94637" w14:paraId="7C9B1B1A" w14:textId="77777777" w:rsidTr="00F000AD">
      <w:trPr>
        <w:jc w:val="center"/>
      </w:trPr>
      <w:tc>
        <w:tcPr>
          <w:tcW w:w="5000" w:type="pct"/>
          <w:gridSpan w:val="7"/>
          <w:shd w:val="clear" w:color="auto" w:fill="auto"/>
          <w:tcMar>
            <w:top w:w="57" w:type="dxa"/>
          </w:tcMar>
        </w:tcPr>
        <w:p w14:paraId="03876785" w14:textId="77777777" w:rsidR="005E2FBD" w:rsidRPr="00D94637" w:rsidRDefault="005E2FBD" w:rsidP="00F000AD">
          <w:pPr>
            <w:pStyle w:val="FooterText"/>
            <w:pBdr>
              <w:top w:val="single" w:sz="4" w:space="1" w:color="auto"/>
            </w:pBdr>
            <w:spacing w:before="200"/>
            <w:rPr>
              <w:sz w:val="2"/>
              <w:szCs w:val="2"/>
            </w:rPr>
          </w:pPr>
        </w:p>
      </w:tc>
    </w:tr>
    <w:tr w:rsidR="005E2FBD" w:rsidRPr="00B310DC" w14:paraId="5ADE1C58" w14:textId="77777777" w:rsidTr="00F000AD">
      <w:trPr>
        <w:jc w:val="center"/>
      </w:trPr>
      <w:tc>
        <w:tcPr>
          <w:tcW w:w="2500" w:type="pct"/>
          <w:gridSpan w:val="2"/>
          <w:shd w:val="clear" w:color="auto" w:fill="auto"/>
          <w:tcMar>
            <w:top w:w="0" w:type="dxa"/>
          </w:tcMar>
        </w:tcPr>
        <w:p w14:paraId="656BA0B7" w14:textId="77777777" w:rsidR="005E2FBD" w:rsidRPr="00AD7BF2" w:rsidRDefault="005E2FBD" w:rsidP="00F000AD">
          <w:pPr>
            <w:pStyle w:val="FooterText"/>
          </w:pPr>
          <w:r>
            <w:t>10291/19</w:t>
          </w:r>
          <w:r w:rsidRPr="002511D8">
            <w:t xml:space="preserve"> </w:t>
          </w:r>
        </w:p>
      </w:tc>
      <w:tc>
        <w:tcPr>
          <w:tcW w:w="625" w:type="pct"/>
          <w:shd w:val="clear" w:color="auto" w:fill="auto"/>
          <w:tcMar>
            <w:top w:w="0" w:type="dxa"/>
          </w:tcMar>
        </w:tcPr>
        <w:p w14:paraId="6D017873" w14:textId="77777777" w:rsidR="005E2FBD" w:rsidRPr="00AD7BF2" w:rsidRDefault="005E2FBD" w:rsidP="00F000AD">
          <w:pPr>
            <w:pStyle w:val="FooterText"/>
            <w:jc w:val="center"/>
          </w:pPr>
        </w:p>
      </w:tc>
      <w:tc>
        <w:tcPr>
          <w:tcW w:w="1286" w:type="pct"/>
          <w:gridSpan w:val="3"/>
          <w:shd w:val="clear" w:color="auto" w:fill="auto"/>
          <w:tcMar>
            <w:top w:w="0" w:type="dxa"/>
          </w:tcMar>
        </w:tcPr>
        <w:p w14:paraId="6C76CA29" w14:textId="77777777" w:rsidR="005E2FBD" w:rsidRPr="002511D8" w:rsidRDefault="005E2FBD" w:rsidP="00F000AD">
          <w:pPr>
            <w:pStyle w:val="FooterText"/>
            <w:jc w:val="center"/>
          </w:pPr>
          <w:r>
            <w:t>NTC/AFG/cs</w:t>
          </w:r>
        </w:p>
      </w:tc>
      <w:tc>
        <w:tcPr>
          <w:tcW w:w="589" w:type="pct"/>
          <w:shd w:val="clear" w:color="auto" w:fill="auto"/>
          <w:tcMar>
            <w:top w:w="0" w:type="dxa"/>
          </w:tcMar>
        </w:tcPr>
        <w:p w14:paraId="243686CD" w14:textId="4DACC7A6" w:rsidR="005E2FBD" w:rsidRPr="00B310DC" w:rsidRDefault="005E2FBD" w:rsidP="00F000AD">
          <w:pPr>
            <w:pStyle w:val="FooterText"/>
            <w:jc w:val="right"/>
          </w:pPr>
          <w:r>
            <w:fldChar w:fldCharType="begin"/>
          </w:r>
          <w:r>
            <w:instrText xml:space="preserve"> PAGE  \* MERGEFORMAT </w:instrText>
          </w:r>
          <w:r>
            <w:fldChar w:fldCharType="separate"/>
          </w:r>
          <w:r w:rsidR="006B186E">
            <w:rPr>
              <w:noProof/>
            </w:rPr>
            <w:t>1</w:t>
          </w:r>
          <w:r>
            <w:fldChar w:fldCharType="end"/>
          </w:r>
        </w:p>
      </w:tc>
    </w:tr>
    <w:tr w:rsidR="005E2FBD" w:rsidRPr="00D94637" w14:paraId="7AFACBF9" w14:textId="77777777" w:rsidTr="00F000AD">
      <w:trPr>
        <w:jc w:val="center"/>
      </w:trPr>
      <w:tc>
        <w:tcPr>
          <w:tcW w:w="1774" w:type="pct"/>
          <w:shd w:val="clear" w:color="auto" w:fill="auto"/>
        </w:tcPr>
        <w:p w14:paraId="15F24CD0" w14:textId="77777777" w:rsidR="005E2FBD" w:rsidRPr="00AD7BF2" w:rsidRDefault="005E2FBD" w:rsidP="00F000AD">
          <w:pPr>
            <w:pStyle w:val="FooterText"/>
            <w:spacing w:before="40"/>
          </w:pPr>
          <w:r>
            <w:t>ANNEX</w:t>
          </w:r>
        </w:p>
      </w:tc>
      <w:tc>
        <w:tcPr>
          <w:tcW w:w="1455" w:type="pct"/>
          <w:gridSpan w:val="3"/>
          <w:shd w:val="clear" w:color="auto" w:fill="auto"/>
        </w:tcPr>
        <w:p w14:paraId="0B79902C" w14:textId="77777777" w:rsidR="005E2FBD" w:rsidRPr="00AD7BF2" w:rsidRDefault="005E2FBD" w:rsidP="00F000AD">
          <w:pPr>
            <w:pStyle w:val="FooterText"/>
            <w:spacing w:before="40"/>
            <w:jc w:val="center"/>
          </w:pPr>
          <w:r>
            <w:t>ECOMP.2.B</w:t>
          </w:r>
        </w:p>
      </w:tc>
      <w:tc>
        <w:tcPr>
          <w:tcW w:w="742" w:type="pct"/>
          <w:shd w:val="clear" w:color="auto" w:fill="auto"/>
        </w:tcPr>
        <w:p w14:paraId="519C9BD6" w14:textId="77777777" w:rsidR="005E2FBD" w:rsidRPr="00D94637" w:rsidRDefault="005E2FBD" w:rsidP="00F000AD">
          <w:pPr>
            <w:pStyle w:val="FooterText"/>
            <w:jc w:val="center"/>
            <w:rPr>
              <w:b/>
              <w:position w:val="-4"/>
              <w:sz w:val="36"/>
            </w:rPr>
          </w:pPr>
        </w:p>
      </w:tc>
      <w:tc>
        <w:tcPr>
          <w:tcW w:w="1029" w:type="pct"/>
          <w:gridSpan w:val="2"/>
          <w:shd w:val="clear" w:color="auto" w:fill="auto"/>
        </w:tcPr>
        <w:p w14:paraId="00132EE6" w14:textId="77777777" w:rsidR="005E2FBD" w:rsidRPr="000310C2" w:rsidRDefault="005E2FBD" w:rsidP="00F000AD">
          <w:pPr>
            <w:pStyle w:val="FooterText"/>
            <w:jc w:val="right"/>
            <w:rPr>
              <w:spacing w:val="-20"/>
              <w:sz w:val="16"/>
            </w:rPr>
          </w:pPr>
          <w:r>
            <w:rPr>
              <w:b/>
              <w:spacing w:val="-20"/>
              <w:position w:val="-4"/>
              <w:sz w:val="36"/>
            </w:rPr>
            <w:t>EN</w:t>
          </w:r>
        </w:p>
      </w:tc>
    </w:tr>
  </w:tbl>
  <w:p w14:paraId="027005ED" w14:textId="77777777" w:rsidR="005E2FBD" w:rsidRPr="00674D71" w:rsidRDefault="005E2FBD" w:rsidP="00F000AD">
    <w:pPr>
      <w:pStyle w:val="FooterCounci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F4DCB" w14:textId="77777777" w:rsidR="005E2FBD" w:rsidRDefault="005E2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61811"/>
      <w:docPartObj>
        <w:docPartGallery w:val="Page Numbers (Bottom of Page)"/>
        <w:docPartUnique/>
      </w:docPartObj>
    </w:sdtPr>
    <w:sdtEndPr>
      <w:rPr>
        <w:noProof/>
      </w:rPr>
    </w:sdtEndPr>
    <w:sdtContent>
      <w:p w14:paraId="08265D33" w14:textId="09A5D713" w:rsidR="005E2FBD" w:rsidRDefault="005E2FBD">
        <w:pPr>
          <w:pStyle w:val="Footer"/>
          <w:jc w:val="center"/>
        </w:pPr>
        <w:r>
          <w:fldChar w:fldCharType="begin"/>
        </w:r>
        <w:r>
          <w:instrText xml:space="preserve"> PAGE   \* MERGEFORMAT </w:instrText>
        </w:r>
        <w:r>
          <w:fldChar w:fldCharType="separate"/>
        </w:r>
        <w:r w:rsidR="006B186E">
          <w:rPr>
            <w:noProof/>
          </w:rPr>
          <w:t>69</w:t>
        </w:r>
        <w:r>
          <w:rPr>
            <w:noProof/>
          </w:rPr>
          <w:fldChar w:fldCharType="end"/>
        </w:r>
      </w:p>
    </w:sdtContent>
  </w:sdt>
  <w:p w14:paraId="42D230D0" w14:textId="77777777" w:rsidR="005E2FBD" w:rsidRDefault="005E2F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A2A72" w14:textId="77777777" w:rsidR="005E2FBD" w:rsidRDefault="005E2F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1"/>
      <w:gridCol w:w="303"/>
      <w:gridCol w:w="2162"/>
      <w:gridCol w:w="1282"/>
      <w:gridCol w:w="1716"/>
    </w:tblGrid>
    <w:tr w:rsidR="005E2FBD" w:rsidRPr="00D94637" w14:paraId="59C399F7" w14:textId="77777777" w:rsidTr="00174F85">
      <w:trPr>
        <w:jc w:val="center"/>
      </w:trPr>
      <w:tc>
        <w:tcPr>
          <w:tcW w:w="5000" w:type="pct"/>
          <w:gridSpan w:val="7"/>
          <w:shd w:val="clear" w:color="auto" w:fill="auto"/>
          <w:tcMar>
            <w:top w:w="57" w:type="dxa"/>
          </w:tcMar>
        </w:tcPr>
        <w:p w14:paraId="4C32F3E6" w14:textId="77777777" w:rsidR="005E2FBD" w:rsidRPr="00D94637" w:rsidRDefault="005E2FBD" w:rsidP="00174F85">
          <w:pPr>
            <w:pStyle w:val="FooterText"/>
            <w:pBdr>
              <w:top w:val="single" w:sz="4" w:space="1" w:color="auto"/>
            </w:pBdr>
            <w:spacing w:before="200"/>
            <w:rPr>
              <w:sz w:val="2"/>
              <w:szCs w:val="2"/>
            </w:rPr>
          </w:pPr>
        </w:p>
      </w:tc>
    </w:tr>
    <w:tr w:rsidR="005E2FBD" w:rsidRPr="00B310DC" w14:paraId="4566936B" w14:textId="77777777" w:rsidTr="00174F85">
      <w:trPr>
        <w:jc w:val="center"/>
      </w:trPr>
      <w:tc>
        <w:tcPr>
          <w:tcW w:w="2500" w:type="pct"/>
          <w:gridSpan w:val="2"/>
          <w:shd w:val="clear" w:color="auto" w:fill="auto"/>
          <w:tcMar>
            <w:top w:w="0" w:type="dxa"/>
          </w:tcMar>
        </w:tcPr>
        <w:p w14:paraId="3FF689A6" w14:textId="77777777" w:rsidR="005E2FBD" w:rsidRPr="00AD7BF2" w:rsidRDefault="005E2FBD" w:rsidP="00174F85">
          <w:pPr>
            <w:pStyle w:val="FooterText"/>
          </w:pPr>
          <w:r>
            <w:t>10291/19</w:t>
          </w:r>
          <w:r w:rsidRPr="002511D8">
            <w:t xml:space="preserve"> </w:t>
          </w:r>
        </w:p>
      </w:tc>
      <w:tc>
        <w:tcPr>
          <w:tcW w:w="625" w:type="pct"/>
          <w:shd w:val="clear" w:color="auto" w:fill="auto"/>
          <w:tcMar>
            <w:top w:w="0" w:type="dxa"/>
          </w:tcMar>
        </w:tcPr>
        <w:p w14:paraId="700B74E0" w14:textId="77777777" w:rsidR="005E2FBD" w:rsidRPr="00AD7BF2" w:rsidRDefault="005E2FBD" w:rsidP="00174F85">
          <w:pPr>
            <w:pStyle w:val="FooterText"/>
            <w:jc w:val="center"/>
          </w:pPr>
        </w:p>
      </w:tc>
      <w:tc>
        <w:tcPr>
          <w:tcW w:w="1286" w:type="pct"/>
          <w:gridSpan w:val="3"/>
          <w:shd w:val="clear" w:color="auto" w:fill="auto"/>
          <w:tcMar>
            <w:top w:w="0" w:type="dxa"/>
          </w:tcMar>
        </w:tcPr>
        <w:p w14:paraId="028FB1D6" w14:textId="77777777" w:rsidR="005E2FBD" w:rsidRPr="002511D8" w:rsidRDefault="005E2FBD" w:rsidP="00174F85">
          <w:pPr>
            <w:pStyle w:val="FooterText"/>
            <w:jc w:val="center"/>
          </w:pPr>
          <w:r>
            <w:t>NTC/AFG/cs</w:t>
          </w:r>
        </w:p>
      </w:tc>
      <w:tc>
        <w:tcPr>
          <w:tcW w:w="589" w:type="pct"/>
          <w:shd w:val="clear" w:color="auto" w:fill="auto"/>
          <w:tcMar>
            <w:top w:w="0" w:type="dxa"/>
          </w:tcMar>
        </w:tcPr>
        <w:p w14:paraId="5DA606FA" w14:textId="30A49FCD" w:rsidR="005E2FBD" w:rsidRPr="00B310DC" w:rsidRDefault="005E2FBD" w:rsidP="00174F85">
          <w:pPr>
            <w:pStyle w:val="FooterText"/>
            <w:jc w:val="right"/>
          </w:pPr>
          <w:r>
            <w:fldChar w:fldCharType="begin"/>
          </w:r>
          <w:r>
            <w:instrText xml:space="preserve"> PAGE  \* MERGEFORMAT </w:instrText>
          </w:r>
          <w:r>
            <w:fldChar w:fldCharType="separate"/>
          </w:r>
          <w:r w:rsidR="006B186E">
            <w:rPr>
              <w:noProof/>
            </w:rPr>
            <w:t>74</w:t>
          </w:r>
          <w:r>
            <w:fldChar w:fldCharType="end"/>
          </w:r>
        </w:p>
      </w:tc>
    </w:tr>
    <w:tr w:rsidR="005E2FBD" w:rsidRPr="00D94637" w14:paraId="2BA9FED4" w14:textId="77777777" w:rsidTr="00174F85">
      <w:trPr>
        <w:jc w:val="center"/>
      </w:trPr>
      <w:tc>
        <w:tcPr>
          <w:tcW w:w="1774" w:type="pct"/>
          <w:shd w:val="clear" w:color="auto" w:fill="auto"/>
        </w:tcPr>
        <w:p w14:paraId="0B323E40" w14:textId="77777777" w:rsidR="005E2FBD" w:rsidRPr="00AD7BF2" w:rsidRDefault="005E2FBD" w:rsidP="00174F85">
          <w:pPr>
            <w:pStyle w:val="FooterText"/>
            <w:spacing w:before="40"/>
          </w:pPr>
          <w:r>
            <w:t>ANNEX</w:t>
          </w:r>
        </w:p>
      </w:tc>
      <w:tc>
        <w:tcPr>
          <w:tcW w:w="1455" w:type="pct"/>
          <w:gridSpan w:val="3"/>
          <w:shd w:val="clear" w:color="auto" w:fill="auto"/>
        </w:tcPr>
        <w:p w14:paraId="218AD094" w14:textId="77777777" w:rsidR="005E2FBD" w:rsidRPr="00AD7BF2" w:rsidRDefault="005E2FBD" w:rsidP="00174F85">
          <w:pPr>
            <w:pStyle w:val="FooterText"/>
            <w:spacing w:before="40"/>
            <w:jc w:val="center"/>
          </w:pPr>
          <w:r>
            <w:t>ECOMP.2.B</w:t>
          </w:r>
        </w:p>
      </w:tc>
      <w:tc>
        <w:tcPr>
          <w:tcW w:w="742" w:type="pct"/>
          <w:shd w:val="clear" w:color="auto" w:fill="auto"/>
        </w:tcPr>
        <w:p w14:paraId="65708180" w14:textId="77777777" w:rsidR="005E2FBD" w:rsidRPr="00D94637" w:rsidRDefault="005E2FBD" w:rsidP="00174F85">
          <w:pPr>
            <w:pStyle w:val="FooterText"/>
            <w:jc w:val="center"/>
            <w:rPr>
              <w:b/>
              <w:position w:val="-4"/>
              <w:sz w:val="36"/>
            </w:rPr>
          </w:pPr>
        </w:p>
      </w:tc>
      <w:tc>
        <w:tcPr>
          <w:tcW w:w="1029" w:type="pct"/>
          <w:gridSpan w:val="2"/>
          <w:shd w:val="clear" w:color="auto" w:fill="auto"/>
        </w:tcPr>
        <w:p w14:paraId="2824ED22" w14:textId="77777777" w:rsidR="005E2FBD" w:rsidRPr="000310C2" w:rsidRDefault="005E2FBD" w:rsidP="00174F85">
          <w:pPr>
            <w:pStyle w:val="FooterText"/>
            <w:jc w:val="right"/>
            <w:rPr>
              <w:spacing w:val="-20"/>
              <w:sz w:val="16"/>
            </w:rPr>
          </w:pPr>
          <w:r>
            <w:rPr>
              <w:b/>
              <w:spacing w:val="-20"/>
              <w:position w:val="-4"/>
              <w:sz w:val="36"/>
            </w:rPr>
            <w:t>EN</w:t>
          </w:r>
        </w:p>
      </w:tc>
    </w:tr>
  </w:tbl>
  <w:p w14:paraId="33A1DDD0" w14:textId="77777777" w:rsidR="005E2FBD" w:rsidRPr="00674D71" w:rsidRDefault="005E2FBD" w:rsidP="00174F85">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13F1B" w14:textId="77777777" w:rsidR="00D96A9A" w:rsidRDefault="00D96A9A" w:rsidP="00F000AD">
      <w:pPr>
        <w:spacing w:after="0" w:line="240" w:lineRule="auto"/>
      </w:pPr>
      <w:r>
        <w:separator/>
      </w:r>
    </w:p>
  </w:footnote>
  <w:footnote w:type="continuationSeparator" w:id="0">
    <w:p w14:paraId="2EC96147" w14:textId="77777777" w:rsidR="00D96A9A" w:rsidRDefault="00D96A9A" w:rsidP="00F000AD">
      <w:pPr>
        <w:spacing w:after="0" w:line="240" w:lineRule="auto"/>
      </w:pPr>
      <w:r>
        <w:continuationSeparator/>
      </w:r>
    </w:p>
  </w:footnote>
  <w:footnote w:id="1">
    <w:p w14:paraId="0C652DF5" w14:textId="77777777" w:rsidR="005E2FBD" w:rsidRDefault="005E2FBD" w:rsidP="00F000AD">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2">
    <w:p w14:paraId="20A0D64A" w14:textId="77777777" w:rsidR="005E2FBD" w:rsidRDefault="005E2FBD" w:rsidP="00F000AD">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3">
    <w:p w14:paraId="5549A265" w14:textId="77777777" w:rsidR="005E2FBD" w:rsidRDefault="005E2FBD" w:rsidP="00F000AD">
      <w:pPr>
        <w:pStyle w:val="FootnoteText"/>
        <w:rPr>
          <w:sz w:val="22"/>
        </w:rPr>
      </w:pPr>
      <w:r>
        <w:rPr>
          <w:rStyle w:val="FootnoteReference"/>
        </w:rPr>
        <w:footnoteRef/>
      </w:r>
      <w:r>
        <w:t xml:space="preserve"> </w:t>
      </w:r>
      <w:r>
        <w:tab/>
      </w:r>
      <w:r>
        <w:rPr>
          <w:sz w:val="22"/>
        </w:rPr>
        <w:t>Not relevant for CF</w:t>
      </w:r>
    </w:p>
  </w:footnote>
  <w:footnote w:id="4">
    <w:p w14:paraId="04E7E628" w14:textId="77777777" w:rsidR="005E2FBD" w:rsidRDefault="005E2FBD" w:rsidP="002E744B">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5">
    <w:p w14:paraId="2BD76AA5" w14:textId="77777777" w:rsidR="005E2FBD" w:rsidRDefault="005E2FBD" w:rsidP="00BC1256">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6">
    <w:p w14:paraId="469AF3C6" w14:textId="77777777" w:rsidR="005E2FBD" w:rsidRDefault="005E2FBD" w:rsidP="007A5E59">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7">
    <w:p w14:paraId="4186DEE7" w14:textId="77777777" w:rsidR="005E2FBD" w:rsidRDefault="005E2FBD" w:rsidP="007A5E59">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8">
    <w:p w14:paraId="6E2213F0" w14:textId="77777777" w:rsidR="005E2FBD" w:rsidRDefault="005E2FBD" w:rsidP="007A5E59">
      <w:pPr>
        <w:pStyle w:val="FootnoteText"/>
        <w:rPr>
          <w:sz w:val="22"/>
        </w:rPr>
      </w:pPr>
      <w:r>
        <w:rPr>
          <w:rStyle w:val="FootnoteReference"/>
        </w:rPr>
        <w:footnoteRef/>
      </w:r>
      <w:r>
        <w:t xml:space="preserve"> </w:t>
      </w:r>
      <w:r>
        <w:tab/>
      </w:r>
      <w:r>
        <w:rPr>
          <w:sz w:val="22"/>
        </w:rPr>
        <w:t>Not relevant for CF</w:t>
      </w:r>
    </w:p>
  </w:footnote>
  <w:footnote w:id="9">
    <w:p w14:paraId="2C63DE17" w14:textId="77777777" w:rsidR="005E2FBD" w:rsidRDefault="005E2FBD" w:rsidP="007A5E59">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0">
    <w:p w14:paraId="7181B4A6" w14:textId="77777777" w:rsidR="005E2FBD" w:rsidRPr="00607EA8" w:rsidRDefault="005E2FBD" w:rsidP="00434A7C">
      <w:pPr>
        <w:rPr>
          <w:sz w:val="20"/>
          <w:szCs w:val="20"/>
        </w:rPr>
      </w:pPr>
      <w:r>
        <w:rPr>
          <w:rStyle w:val="FootnoteReference"/>
        </w:rPr>
        <w:footnoteRef/>
      </w:r>
      <w:r>
        <w:t xml:space="preserve"> </w:t>
      </w:r>
      <w:hyperlink r:id="rId1" w:history="1">
        <w:r w:rsidRPr="006D45B3">
          <w:rPr>
            <w:rStyle w:val="Hyperlink"/>
            <w:sz w:val="20"/>
            <w:szCs w:val="20"/>
          </w:rPr>
          <w:t>http://insse.ro/cms/ro/content/distribu%c5%a3ia-apei-%c3%aen-anul-2018</w:t>
        </w:r>
      </w:hyperlink>
      <w:r>
        <w:rPr>
          <w:sz w:val="20"/>
          <w:szCs w:val="20"/>
        </w:rPr>
        <w:t xml:space="preserve"> </w:t>
      </w:r>
    </w:p>
    <w:p w14:paraId="17FC2CAF" w14:textId="77777777" w:rsidR="005E2FBD" w:rsidRPr="0041213E" w:rsidRDefault="005E2FBD" w:rsidP="00434A7C">
      <w:pPr>
        <w:pStyle w:val="FootnoteText"/>
      </w:pPr>
    </w:p>
  </w:footnote>
  <w:footnote w:id="11">
    <w:p w14:paraId="52E07C5B" w14:textId="77777777" w:rsidR="005E2FBD" w:rsidRPr="00745731" w:rsidRDefault="005E2FBD" w:rsidP="0094172E">
      <w:pPr>
        <w:autoSpaceDE w:val="0"/>
        <w:autoSpaceDN w:val="0"/>
        <w:adjustRightInd w:val="0"/>
        <w:spacing w:after="0" w:line="240" w:lineRule="auto"/>
        <w:rPr>
          <w:rFonts w:ascii="Calibri" w:hAnsi="Calibri" w:cs="Calibri"/>
          <w:color w:val="000000"/>
          <w:sz w:val="16"/>
          <w:szCs w:val="16"/>
          <w:lang w:val="it-IT"/>
        </w:rPr>
      </w:pPr>
      <w:r>
        <w:rPr>
          <w:rStyle w:val="FootnoteReference"/>
        </w:rPr>
        <w:footnoteRef/>
      </w:r>
      <w:r>
        <w:t xml:space="preserve"> </w:t>
      </w:r>
      <w:r w:rsidRPr="00745731">
        <w:rPr>
          <w:rFonts w:ascii="Calibri" w:hAnsi="Calibri" w:cs="Calibri"/>
          <w:color w:val="000000"/>
          <w:sz w:val="16"/>
          <w:szCs w:val="16"/>
          <w:lang w:val="it-IT"/>
        </w:rPr>
        <w:t>Comisia Europeană, Raport privind punerea în aplicare a legislației UE privind deșeurile, care include raportul de alertă timpurie pentru statele</w:t>
      </w:r>
    </w:p>
    <w:p w14:paraId="090F987D" w14:textId="77777777" w:rsidR="005E2FBD" w:rsidRPr="00745731" w:rsidRDefault="005E2FBD" w:rsidP="0094172E">
      <w:pPr>
        <w:autoSpaceDE w:val="0"/>
        <w:autoSpaceDN w:val="0"/>
        <w:adjustRightInd w:val="0"/>
        <w:spacing w:after="0" w:line="240" w:lineRule="auto"/>
        <w:rPr>
          <w:lang w:val="it-IT"/>
        </w:rPr>
      </w:pPr>
      <w:r w:rsidRPr="00745731">
        <w:rPr>
          <w:rFonts w:ascii="Calibri" w:hAnsi="Calibri" w:cs="Calibri"/>
          <w:color w:val="000000"/>
          <w:sz w:val="16"/>
          <w:szCs w:val="16"/>
          <w:lang w:val="it-IT"/>
        </w:rPr>
        <w:t xml:space="preserve">membre care riscă să nu își îndeplinească obiectivul de a pregăti pentru reutilizare/reciclare 50 % din deșeurile municipale până în 2020, </w:t>
      </w:r>
      <w:r w:rsidRPr="00745731">
        <w:rPr>
          <w:rFonts w:ascii="Calibri" w:hAnsi="Calibri" w:cs="Calibri"/>
          <w:color w:val="0000FF"/>
          <w:sz w:val="16"/>
          <w:szCs w:val="16"/>
          <w:lang w:val="it-IT"/>
        </w:rPr>
        <w:t>SWD(2018)423</w:t>
      </w:r>
      <w:r w:rsidRPr="00745731">
        <w:rPr>
          <w:rFonts w:ascii="Calibri" w:hAnsi="Calibri" w:cs="Calibri"/>
          <w:color w:val="000000"/>
          <w:sz w:val="16"/>
          <w:szCs w:val="16"/>
          <w:lang w:val="it-IT"/>
        </w:rPr>
        <w:t xml:space="preserve">, care însoțește </w:t>
      </w:r>
      <w:r w:rsidRPr="00745731">
        <w:rPr>
          <w:rFonts w:ascii="Calibri" w:hAnsi="Calibri" w:cs="Calibri"/>
          <w:color w:val="0000FF"/>
          <w:sz w:val="16"/>
          <w:szCs w:val="16"/>
          <w:lang w:val="it-IT"/>
        </w:rPr>
        <w:t>COM(2018) 656</w:t>
      </w:r>
      <w:r w:rsidRPr="00745731">
        <w:rPr>
          <w:rFonts w:ascii="Calibri" w:hAnsi="Calibri" w:cs="Calibri"/>
          <w:color w:val="000000"/>
          <w:sz w:val="16"/>
          <w:szCs w:val="16"/>
          <w:lang w:val="it-IT"/>
        </w:rPr>
        <w:t>.</w:t>
      </w:r>
    </w:p>
  </w:footnote>
  <w:footnote w:id="12">
    <w:p w14:paraId="2EA1C6A6" w14:textId="77777777" w:rsidR="005E2FBD" w:rsidRDefault="005E2FBD" w:rsidP="007A5E59">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13">
    <w:p w14:paraId="0F4E9C4F" w14:textId="77777777" w:rsidR="005E2FBD" w:rsidRDefault="005E2FBD" w:rsidP="007A5E59">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14">
    <w:p w14:paraId="55CF398C" w14:textId="77777777" w:rsidR="005E2FBD" w:rsidRDefault="005E2FBD" w:rsidP="007A5E59">
      <w:pPr>
        <w:pStyle w:val="FootnoteText"/>
        <w:rPr>
          <w:sz w:val="22"/>
        </w:rPr>
      </w:pPr>
      <w:r>
        <w:rPr>
          <w:rStyle w:val="FootnoteReference"/>
        </w:rPr>
        <w:footnoteRef/>
      </w:r>
      <w:r>
        <w:t xml:space="preserve"> </w:t>
      </w:r>
      <w:r>
        <w:tab/>
      </w:r>
      <w:r>
        <w:rPr>
          <w:sz w:val="22"/>
        </w:rPr>
        <w:t>Not relevant for CF</w:t>
      </w:r>
    </w:p>
  </w:footnote>
  <w:footnote w:id="15">
    <w:p w14:paraId="09DF8834" w14:textId="77777777" w:rsidR="005E2FBD" w:rsidRDefault="005E2FBD" w:rsidP="007A5E59">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16">
    <w:p w14:paraId="544108AD" w14:textId="77777777" w:rsidR="005E2FBD" w:rsidRDefault="005E2FBD" w:rsidP="007A5E59">
      <w:pPr>
        <w:pStyle w:val="FootnoteText"/>
        <w:rPr>
          <w:bCs/>
          <w:sz w:val="22"/>
        </w:rPr>
      </w:pPr>
      <w:r>
        <w:rPr>
          <w:rStyle w:val="FootnoteReference"/>
          <w:bCs/>
          <w:sz w:val="22"/>
        </w:rPr>
        <w:footnoteRef/>
      </w:r>
      <w:r>
        <w:rPr>
          <w:bCs/>
          <w:sz w:val="22"/>
        </w:rPr>
        <w:t xml:space="preserve"> </w:t>
      </w:r>
      <w:r>
        <w:rPr>
          <w:bCs/>
          <w:sz w:val="22"/>
        </w:rPr>
        <w:tab/>
      </w:r>
      <w:r>
        <w:rPr>
          <w:bCs/>
          <w:szCs w:val="18"/>
        </w:rPr>
        <w:t>Not relevant for CF</w:t>
      </w:r>
    </w:p>
  </w:footnote>
  <w:footnote w:id="17">
    <w:p w14:paraId="5DF6BBCC" w14:textId="77777777" w:rsidR="005E2FBD" w:rsidRDefault="005E2FBD" w:rsidP="007A5E59">
      <w:pPr>
        <w:pStyle w:val="FootnoteText"/>
      </w:pPr>
      <w:r>
        <w:rPr>
          <w:rStyle w:val="FootnoteReference"/>
          <w:bCs/>
          <w:sz w:val="22"/>
        </w:rPr>
        <w:footnoteRef/>
      </w:r>
      <w:r>
        <w:rPr>
          <w:bCs/>
          <w:sz w:val="22"/>
        </w:rPr>
        <w:t xml:space="preserve"> </w:t>
      </w:r>
      <w:r>
        <w:rPr>
          <w:bCs/>
          <w:sz w:val="22"/>
        </w:rPr>
        <w:tab/>
      </w:r>
      <w:r>
        <w:rPr>
          <w:bCs/>
          <w:szCs w:val="18"/>
        </w:rPr>
        <w:t>Not relevant for CF</w:t>
      </w:r>
    </w:p>
  </w:footnote>
  <w:footnote w:id="18">
    <w:p w14:paraId="5D8F70FA" w14:textId="77777777" w:rsidR="005E2FBD" w:rsidRDefault="005E2FBD" w:rsidP="007A5E59">
      <w:pPr>
        <w:pStyle w:val="FootnoteText"/>
        <w:rPr>
          <w:sz w:val="22"/>
        </w:rPr>
      </w:pPr>
      <w:r>
        <w:rPr>
          <w:rStyle w:val="FootnoteReference"/>
        </w:rPr>
        <w:footnoteRef/>
      </w:r>
      <w:r>
        <w:t xml:space="preserve"> </w:t>
      </w:r>
      <w:r>
        <w:tab/>
      </w:r>
      <w:r>
        <w:rPr>
          <w:sz w:val="22"/>
        </w:rPr>
        <w:t>Not relevant for CF</w:t>
      </w:r>
    </w:p>
  </w:footnote>
  <w:footnote w:id="19">
    <w:p w14:paraId="62EE07ED" w14:textId="77777777" w:rsidR="005E2FBD" w:rsidRDefault="005E2FBD" w:rsidP="007A5E59">
      <w:pPr>
        <w:pStyle w:val="FootnoteText"/>
        <w:rPr>
          <w:sz w:val="22"/>
        </w:rPr>
      </w:pPr>
      <w:r>
        <w:rPr>
          <w:rStyle w:val="FootnoteReference"/>
        </w:rPr>
        <w:footnoteRef/>
      </w:r>
      <w:r>
        <w:t xml:space="preserve"> </w:t>
      </w:r>
      <w:r>
        <w:tab/>
      </w:r>
      <w:r>
        <w:rPr>
          <w:sz w:val="22"/>
        </w:rPr>
        <w:t>Except for a specific objective set out in Article 4(1)(c)(</w:t>
      </w:r>
      <w:r>
        <w:rPr>
          <w:bCs/>
          <w:sz w:val="22"/>
        </w:rPr>
        <w:t>xi)</w:t>
      </w:r>
      <w:r>
        <w:rPr>
          <w:sz w:val="22"/>
        </w:rPr>
        <w:t xml:space="preserve"> of the ESF+ Regulation.</w:t>
      </w:r>
    </w:p>
  </w:footnote>
  <w:footnote w:id="20">
    <w:p w14:paraId="610E33EC" w14:textId="77777777" w:rsidR="005E2FBD" w:rsidRDefault="005E2FBD" w:rsidP="00F000AD">
      <w:pPr>
        <w:pStyle w:val="FootnoteText"/>
      </w:pPr>
      <w:r>
        <w:rPr>
          <w:rStyle w:val="FootnoteReference"/>
        </w:rPr>
        <w:footnoteRef/>
      </w:r>
      <w:r>
        <w:t xml:space="preserve"> </w:t>
      </w:r>
      <w:r>
        <w:tab/>
      </w:r>
      <w:r>
        <w:rPr>
          <w:sz w:val="22"/>
        </w:rPr>
        <w:t>Applicable only to programme amendments in line with Article 10 and 21, CPR.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3C862" w14:textId="77777777" w:rsidR="005E2FBD" w:rsidRPr="00674D71" w:rsidRDefault="005E2FBD" w:rsidP="00F000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3E01D" w14:textId="77777777" w:rsidR="005E2FBD" w:rsidRDefault="005E2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0861A" w14:textId="77777777" w:rsidR="005E2FBD" w:rsidRDefault="005E2F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7A96" w14:textId="77777777" w:rsidR="005E2FBD" w:rsidRDefault="005E2FB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7B1F" w14:textId="77777777" w:rsidR="005E2FBD" w:rsidRPr="00674D71" w:rsidRDefault="005E2FBD" w:rsidP="00174F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C0E4893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4F25F1D"/>
    <w:multiLevelType w:val="hybridMultilevel"/>
    <w:tmpl w:val="4A60B804"/>
    <w:lvl w:ilvl="0" w:tplc="FEACAD0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abc"/>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9">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1">
    <w:nsid w:val="0D5813D3"/>
    <w:multiLevelType w:val="hybridMultilevel"/>
    <w:tmpl w:val="BE1C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413672"/>
    <w:multiLevelType w:val="hybridMultilevel"/>
    <w:tmpl w:val="82EC22FC"/>
    <w:lvl w:ilvl="0" w:tplc="0E60EF50">
      <w:start w:val="1"/>
      <w:numFmt w:val="decimal"/>
      <w:pStyle w:val="StyleHeading1Left0cm"/>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112B5CB0"/>
    <w:multiLevelType w:val="hybridMultilevel"/>
    <w:tmpl w:val="108AFDA2"/>
    <w:lvl w:ilvl="0" w:tplc="0418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6">
    <w:nsid w:val="1B3C78B8"/>
    <w:multiLevelType w:val="multilevel"/>
    <w:tmpl w:val="ADB23302"/>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417"/>
        </w:tabs>
        <w:ind w:left="1417" w:hanging="567"/>
      </w:pPr>
      <w:rPr>
        <w:strike w:val="0"/>
        <w:dstrike w:val="0"/>
        <w:u w:val="none"/>
        <w:effect w:val="none"/>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8">
    <w:nsid w:val="21143F30"/>
    <w:multiLevelType w:val="hybridMultilevel"/>
    <w:tmpl w:val="86CA9CFA"/>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6443017"/>
    <w:multiLevelType w:val="hybridMultilevel"/>
    <w:tmpl w:val="2E3CFA60"/>
    <w:lvl w:ilvl="0" w:tplc="8166AC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9FF5A85"/>
    <w:multiLevelType w:val="hybridMultilevel"/>
    <w:tmpl w:val="8280ED2C"/>
    <w:lvl w:ilvl="0" w:tplc="9536D086">
      <w:start w:val="1"/>
      <w:numFmt w:val="decimal"/>
      <w:pStyle w:val="Considerant"/>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2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8">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29">
    <w:nsid w:val="30A868F9"/>
    <w:multiLevelType w:val="hybridMultilevel"/>
    <w:tmpl w:val="AF0AC544"/>
    <w:lvl w:ilvl="0" w:tplc="FFAE61E2">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203472"/>
    <w:multiLevelType w:val="hybridMultilevel"/>
    <w:tmpl w:val="48CC2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34740CFB"/>
    <w:multiLevelType w:val="hybridMultilevel"/>
    <w:tmpl w:val="4E80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EC0EC5"/>
    <w:multiLevelType w:val="hybridMultilevel"/>
    <w:tmpl w:val="A2D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34">
    <w:nsid w:val="3AFD326F"/>
    <w:multiLevelType w:val="hybridMultilevel"/>
    <w:tmpl w:val="69987D88"/>
    <w:lvl w:ilvl="0" w:tplc="0D3E4B90">
      <w:numFmt w:val="bullet"/>
      <w:lvlText w:val="•"/>
      <w:lvlJc w:val="left"/>
      <w:pPr>
        <w:ind w:left="1067" w:hanging="70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36">
    <w:nsid w:val="3F932394"/>
    <w:multiLevelType w:val="hybridMultilevel"/>
    <w:tmpl w:val="507E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3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9">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2D11822"/>
    <w:multiLevelType w:val="hybridMultilevel"/>
    <w:tmpl w:val="73E2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4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43">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4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F40112A"/>
    <w:multiLevelType w:val="hybridMultilevel"/>
    <w:tmpl w:val="BDFCE65E"/>
    <w:lvl w:ilvl="0" w:tplc="5ED47B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B043F9"/>
    <w:multiLevelType w:val="hybridMultilevel"/>
    <w:tmpl w:val="B4DCDC3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0">
    <w:nsid w:val="528F0059"/>
    <w:multiLevelType w:val="hybridMultilevel"/>
    <w:tmpl w:val="08E81BDC"/>
    <w:lvl w:ilvl="0" w:tplc="371221A4">
      <w:start w:val="1"/>
      <w:numFmt w:val="decimal"/>
      <w:lvlText w:val="%1."/>
      <w:lvlJc w:val="left"/>
      <w:pPr>
        <w:ind w:left="720" w:hanging="360"/>
      </w:pPr>
      <w:rPr>
        <w:rFonts w:cstheme="minorHAnsi" w:hint="default"/>
        <w:b w:val="0"/>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52">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B1034F6"/>
    <w:multiLevelType w:val="hybridMultilevel"/>
    <w:tmpl w:val="1686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5">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56">
    <w:nsid w:val="5F21341D"/>
    <w:multiLevelType w:val="hybridMultilevel"/>
    <w:tmpl w:val="3AFE8212"/>
    <w:lvl w:ilvl="0" w:tplc="D5CC7E28">
      <w:start w:val="1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1303403"/>
    <w:multiLevelType w:val="hybridMultilevel"/>
    <w:tmpl w:val="1A56C1F2"/>
    <w:lvl w:ilvl="0" w:tplc="AFDABD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9">
    <w:nsid w:val="66562F56"/>
    <w:multiLevelType w:val="hybridMultilevel"/>
    <w:tmpl w:val="F47E3068"/>
    <w:lvl w:ilvl="0" w:tplc="DE90C31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nsid w:val="66E35F4D"/>
    <w:multiLevelType w:val="hybridMultilevel"/>
    <w:tmpl w:val="FEDCD47C"/>
    <w:lvl w:ilvl="0" w:tplc="F55A3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3">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64">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65">
    <w:nsid w:val="68955737"/>
    <w:multiLevelType w:val="hybridMultilevel"/>
    <w:tmpl w:val="3FC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67">
    <w:nsid w:val="6B2548F2"/>
    <w:multiLevelType w:val="hybridMultilevel"/>
    <w:tmpl w:val="5356753A"/>
    <w:lvl w:ilvl="0" w:tplc="7360C4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6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7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72">
    <w:nsid w:val="74010AA9"/>
    <w:multiLevelType w:val="hybridMultilevel"/>
    <w:tmpl w:val="74BAA93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74">
    <w:nsid w:val="756F7098"/>
    <w:multiLevelType w:val="hybridMultilevel"/>
    <w:tmpl w:val="B00A196C"/>
    <w:lvl w:ilvl="0" w:tplc="B25E3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StyleHeading3BoldNotItalic"/>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77">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7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79">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8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abstractNum w:abstractNumId="81">
    <w:nsid w:val="7DD2268F"/>
    <w:multiLevelType w:val="hybridMultilevel"/>
    <w:tmpl w:val="DDB063FC"/>
    <w:lvl w:ilvl="0" w:tplc="FB241D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9"/>
  </w:num>
  <w:num w:numId="3">
    <w:abstractNumId w:val="71"/>
  </w:num>
  <w:num w:numId="4">
    <w:abstractNumId w:val="55"/>
  </w:num>
  <w:num w:numId="5">
    <w:abstractNumId w:val="10"/>
  </w:num>
  <w:num w:numId="6">
    <w:abstractNumId w:val="76"/>
  </w:num>
  <w:num w:numId="7">
    <w:abstractNumId w:val="79"/>
  </w:num>
  <w:num w:numId="8">
    <w:abstractNumId w:val="51"/>
  </w:num>
  <w:num w:numId="9">
    <w:abstractNumId w:val="73"/>
  </w:num>
  <w:num w:numId="10">
    <w:abstractNumId w:val="63"/>
  </w:num>
  <w:num w:numId="11">
    <w:abstractNumId w:val="43"/>
  </w:num>
  <w:num w:numId="12">
    <w:abstractNumId w:val="17"/>
  </w:num>
  <w:num w:numId="13">
    <w:abstractNumId w:val="15"/>
  </w:num>
  <w:num w:numId="14">
    <w:abstractNumId w:val="66"/>
  </w:num>
  <w:num w:numId="15">
    <w:abstractNumId w:val="77"/>
  </w:num>
  <w:num w:numId="16">
    <w:abstractNumId w:val="8"/>
  </w:num>
  <w:num w:numId="17">
    <w:abstractNumId w:val="23"/>
  </w:num>
  <w:num w:numId="18">
    <w:abstractNumId w:val="14"/>
  </w:num>
  <w:num w:numId="19">
    <w:abstractNumId w:val="24"/>
  </w:num>
  <w:num w:numId="20">
    <w:abstractNumId w:val="5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2"/>
  </w:num>
  <w:num w:numId="27">
    <w:abstractNumId w:val="1"/>
  </w:num>
  <w:num w:numId="28">
    <w:abstractNumId w:val="0"/>
    <w:lvlOverride w:ilvl="0">
      <w:startOverride w:val="1"/>
    </w:lvlOverride>
  </w:num>
  <w:num w:numId="29">
    <w:abstractNumId w:val="37"/>
    <w:lvlOverride w:ilvl="0">
      <w:startOverride w:val="1"/>
    </w:lvlOverride>
  </w:num>
  <w:num w:numId="30">
    <w:abstractNumId w:val="78"/>
  </w:num>
  <w:num w:numId="31">
    <w:abstractNumId w:val="42"/>
  </w:num>
  <w:num w:numId="32">
    <w:abstractNumId w:val="33"/>
    <w:lvlOverride w:ilvl="0">
      <w:startOverride w:val="1"/>
    </w:lvlOverride>
  </w:num>
  <w:num w:numId="33">
    <w:abstractNumId w:val="69"/>
    <w:lvlOverride w:ilvl="0">
      <w:startOverride w:val="1"/>
    </w:lvlOverride>
  </w:num>
  <w:num w:numId="34">
    <w:abstractNumId w:val="19"/>
  </w:num>
  <w:num w:numId="35">
    <w:abstractNumId w:val="27"/>
    <w:lvlOverride w:ilvl="0">
      <w:startOverride w:val="1"/>
    </w:lvlOverride>
  </w:num>
  <w:num w:numId="36">
    <w:abstractNumId w:val="28"/>
    <w:lvlOverride w:ilvl="0">
      <w:startOverride w:val="1"/>
    </w:lvlOverride>
  </w:num>
  <w:num w:numId="37">
    <w:abstractNumId w:val="35"/>
    <w:lvlOverride w:ilvl="0">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62"/>
  </w:num>
  <w:num w:numId="42">
    <w:abstractNumId w:val="60"/>
  </w:num>
  <w:num w:numId="43">
    <w:abstractNumId w:val="70"/>
  </w:num>
  <w:num w:numId="44">
    <w:abstractNumId w:val="21"/>
  </w:num>
  <w:num w:numId="45">
    <w:abstractNumId w:val="4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5"/>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38"/>
  </w:num>
  <w:num w:numId="53">
    <w:abstractNumId w:val="64"/>
  </w:num>
  <w:num w:numId="54">
    <w:abstractNumId w:val="26"/>
  </w:num>
  <w:num w:numId="55">
    <w:abstractNumId w:val="41"/>
  </w:num>
  <w:num w:numId="56">
    <w:abstractNumId w:val="45"/>
  </w:num>
  <w:num w:numId="57">
    <w:abstractNumId w:val="80"/>
    <w:lvlOverride w:ilvl="0">
      <w:startOverride w:val="1"/>
    </w:lvlOverride>
  </w:num>
  <w:num w:numId="58">
    <w:abstractNumId w:val="72"/>
  </w:num>
  <w:num w:numId="59">
    <w:abstractNumId w:val="29"/>
  </w:num>
  <w:num w:numId="60">
    <w:abstractNumId w:val="67"/>
  </w:num>
  <w:num w:numId="61">
    <w:abstractNumId w:val="81"/>
  </w:num>
  <w:num w:numId="62">
    <w:abstractNumId w:val="74"/>
  </w:num>
  <w:num w:numId="63">
    <w:abstractNumId w:val="31"/>
  </w:num>
  <w:num w:numId="64">
    <w:abstractNumId w:val="49"/>
  </w:num>
  <w:num w:numId="65">
    <w:abstractNumId w:val="34"/>
  </w:num>
  <w:num w:numId="66">
    <w:abstractNumId w:val="36"/>
  </w:num>
  <w:num w:numId="67">
    <w:abstractNumId w:val="18"/>
  </w:num>
  <w:num w:numId="68">
    <w:abstractNumId w:val="13"/>
  </w:num>
  <w:num w:numId="69">
    <w:abstractNumId w:val="48"/>
  </w:num>
  <w:num w:numId="70">
    <w:abstractNumId w:val="65"/>
  </w:num>
  <w:num w:numId="71">
    <w:abstractNumId w:val="32"/>
  </w:num>
  <w:num w:numId="72">
    <w:abstractNumId w:val="53"/>
  </w:num>
  <w:num w:numId="73">
    <w:abstractNumId w:val="6"/>
  </w:num>
  <w:num w:numId="74">
    <w:abstractNumId w:val="59"/>
  </w:num>
  <w:num w:numId="75">
    <w:abstractNumId w:val="22"/>
  </w:num>
  <w:num w:numId="76">
    <w:abstractNumId w:val="61"/>
  </w:num>
  <w:num w:numId="77">
    <w:abstractNumId w:val="57"/>
  </w:num>
  <w:num w:numId="78">
    <w:abstractNumId w:val="11"/>
  </w:num>
  <w:num w:numId="79">
    <w:abstractNumId w:val="40"/>
  </w:num>
  <w:num w:numId="80">
    <w:abstractNumId w:val="50"/>
  </w:num>
  <w:num w:numId="81">
    <w:abstractNumId w:val="30"/>
  </w:num>
  <w:num w:numId="82">
    <w:abstractNumId w:val="5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n MĂRGĂRIT">
    <w15:presenceInfo w15:providerId="None" w15:userId="Adrian MĂRGĂR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AD"/>
    <w:rsid w:val="0000488D"/>
    <w:rsid w:val="000054F0"/>
    <w:rsid w:val="00007906"/>
    <w:rsid w:val="00011F57"/>
    <w:rsid w:val="000124E9"/>
    <w:rsid w:val="000135E2"/>
    <w:rsid w:val="00014C90"/>
    <w:rsid w:val="00016408"/>
    <w:rsid w:val="00017696"/>
    <w:rsid w:val="00026D48"/>
    <w:rsid w:val="00027526"/>
    <w:rsid w:val="00031C04"/>
    <w:rsid w:val="00032DD8"/>
    <w:rsid w:val="00033BE7"/>
    <w:rsid w:val="00034C37"/>
    <w:rsid w:val="000356D2"/>
    <w:rsid w:val="0004123D"/>
    <w:rsid w:val="0004627F"/>
    <w:rsid w:val="00050EE8"/>
    <w:rsid w:val="00053980"/>
    <w:rsid w:val="00063279"/>
    <w:rsid w:val="000643A3"/>
    <w:rsid w:val="00064473"/>
    <w:rsid w:val="00064DE1"/>
    <w:rsid w:val="000658CA"/>
    <w:rsid w:val="00065D46"/>
    <w:rsid w:val="000662B2"/>
    <w:rsid w:val="0006690E"/>
    <w:rsid w:val="00071A3D"/>
    <w:rsid w:val="00071DC1"/>
    <w:rsid w:val="00071F70"/>
    <w:rsid w:val="0007200C"/>
    <w:rsid w:val="0007269B"/>
    <w:rsid w:val="0007335B"/>
    <w:rsid w:val="0007595B"/>
    <w:rsid w:val="00075D98"/>
    <w:rsid w:val="000768FA"/>
    <w:rsid w:val="000812ED"/>
    <w:rsid w:val="00082532"/>
    <w:rsid w:val="00083B97"/>
    <w:rsid w:val="000840C1"/>
    <w:rsid w:val="00084950"/>
    <w:rsid w:val="00085083"/>
    <w:rsid w:val="0008611D"/>
    <w:rsid w:val="00087621"/>
    <w:rsid w:val="00087BBE"/>
    <w:rsid w:val="000907D5"/>
    <w:rsid w:val="000910CA"/>
    <w:rsid w:val="000922CE"/>
    <w:rsid w:val="00092C9D"/>
    <w:rsid w:val="00093024"/>
    <w:rsid w:val="00095866"/>
    <w:rsid w:val="00096786"/>
    <w:rsid w:val="00097D2A"/>
    <w:rsid w:val="000A1960"/>
    <w:rsid w:val="000A34D5"/>
    <w:rsid w:val="000A3E5A"/>
    <w:rsid w:val="000A4A4F"/>
    <w:rsid w:val="000A5293"/>
    <w:rsid w:val="000A7C95"/>
    <w:rsid w:val="000B27F3"/>
    <w:rsid w:val="000B2815"/>
    <w:rsid w:val="000B2900"/>
    <w:rsid w:val="000B33C2"/>
    <w:rsid w:val="000B6B9B"/>
    <w:rsid w:val="000C3602"/>
    <w:rsid w:val="000C6477"/>
    <w:rsid w:val="000C7854"/>
    <w:rsid w:val="000D17DE"/>
    <w:rsid w:val="000D20AE"/>
    <w:rsid w:val="000D23A8"/>
    <w:rsid w:val="000D25DE"/>
    <w:rsid w:val="000D2AF6"/>
    <w:rsid w:val="000D5101"/>
    <w:rsid w:val="000D526C"/>
    <w:rsid w:val="000D7232"/>
    <w:rsid w:val="000E053A"/>
    <w:rsid w:val="000E293F"/>
    <w:rsid w:val="000E34EE"/>
    <w:rsid w:val="000E7168"/>
    <w:rsid w:val="000F12B1"/>
    <w:rsid w:val="000F5CBE"/>
    <w:rsid w:val="000F7DB7"/>
    <w:rsid w:val="001008FD"/>
    <w:rsid w:val="00101616"/>
    <w:rsid w:val="00101901"/>
    <w:rsid w:val="00101CBB"/>
    <w:rsid w:val="00104FA6"/>
    <w:rsid w:val="00106952"/>
    <w:rsid w:val="00107BF7"/>
    <w:rsid w:val="0011515F"/>
    <w:rsid w:val="00115835"/>
    <w:rsid w:val="00117CC1"/>
    <w:rsid w:val="0012007C"/>
    <w:rsid w:val="00122345"/>
    <w:rsid w:val="00126A72"/>
    <w:rsid w:val="0012715D"/>
    <w:rsid w:val="00131AFC"/>
    <w:rsid w:val="00132C0B"/>
    <w:rsid w:val="0013370A"/>
    <w:rsid w:val="0013439E"/>
    <w:rsid w:val="0013572E"/>
    <w:rsid w:val="00135732"/>
    <w:rsid w:val="00136B42"/>
    <w:rsid w:val="00136EF3"/>
    <w:rsid w:val="0014005E"/>
    <w:rsid w:val="00141D71"/>
    <w:rsid w:val="0014369D"/>
    <w:rsid w:val="00145318"/>
    <w:rsid w:val="00146003"/>
    <w:rsid w:val="00146030"/>
    <w:rsid w:val="00146519"/>
    <w:rsid w:val="001477E5"/>
    <w:rsid w:val="00151913"/>
    <w:rsid w:val="0015356C"/>
    <w:rsid w:val="0015409C"/>
    <w:rsid w:val="001552C0"/>
    <w:rsid w:val="00155D4C"/>
    <w:rsid w:val="0015612A"/>
    <w:rsid w:val="00160218"/>
    <w:rsid w:val="00161C44"/>
    <w:rsid w:val="00166C35"/>
    <w:rsid w:val="00170224"/>
    <w:rsid w:val="001740CC"/>
    <w:rsid w:val="00174F85"/>
    <w:rsid w:val="00175CD6"/>
    <w:rsid w:val="0018015E"/>
    <w:rsid w:val="001813E8"/>
    <w:rsid w:val="00182006"/>
    <w:rsid w:val="0019023B"/>
    <w:rsid w:val="001913E5"/>
    <w:rsid w:val="001957A1"/>
    <w:rsid w:val="0019637E"/>
    <w:rsid w:val="00196FD3"/>
    <w:rsid w:val="001971A7"/>
    <w:rsid w:val="001A0CFF"/>
    <w:rsid w:val="001A124C"/>
    <w:rsid w:val="001A17A2"/>
    <w:rsid w:val="001A1FB7"/>
    <w:rsid w:val="001A2279"/>
    <w:rsid w:val="001A4F8B"/>
    <w:rsid w:val="001A5C24"/>
    <w:rsid w:val="001A6C0A"/>
    <w:rsid w:val="001B419F"/>
    <w:rsid w:val="001B4C14"/>
    <w:rsid w:val="001B5B35"/>
    <w:rsid w:val="001B5B73"/>
    <w:rsid w:val="001B6701"/>
    <w:rsid w:val="001C1DD5"/>
    <w:rsid w:val="001C5496"/>
    <w:rsid w:val="001C6434"/>
    <w:rsid w:val="001C6855"/>
    <w:rsid w:val="001C710D"/>
    <w:rsid w:val="001C7488"/>
    <w:rsid w:val="001D1C54"/>
    <w:rsid w:val="001D1DF2"/>
    <w:rsid w:val="001D27CD"/>
    <w:rsid w:val="001D32E4"/>
    <w:rsid w:val="001D3509"/>
    <w:rsid w:val="001D5E18"/>
    <w:rsid w:val="001D7C03"/>
    <w:rsid w:val="001E02BE"/>
    <w:rsid w:val="001E11D3"/>
    <w:rsid w:val="001E2955"/>
    <w:rsid w:val="001E2B13"/>
    <w:rsid w:val="001E4728"/>
    <w:rsid w:val="001E4C26"/>
    <w:rsid w:val="001E66B4"/>
    <w:rsid w:val="001E6F09"/>
    <w:rsid w:val="001F2C6C"/>
    <w:rsid w:val="001F5C2C"/>
    <w:rsid w:val="001F7339"/>
    <w:rsid w:val="001F7576"/>
    <w:rsid w:val="00201D78"/>
    <w:rsid w:val="00203754"/>
    <w:rsid w:val="00205444"/>
    <w:rsid w:val="002054EE"/>
    <w:rsid w:val="002061A8"/>
    <w:rsid w:val="00207B14"/>
    <w:rsid w:val="002134DF"/>
    <w:rsid w:val="00214744"/>
    <w:rsid w:val="00215848"/>
    <w:rsid w:val="00217212"/>
    <w:rsid w:val="00217B5B"/>
    <w:rsid w:val="0022403A"/>
    <w:rsid w:val="0022523C"/>
    <w:rsid w:val="002262EC"/>
    <w:rsid w:val="00226BD9"/>
    <w:rsid w:val="00227898"/>
    <w:rsid w:val="002320ED"/>
    <w:rsid w:val="00232F1D"/>
    <w:rsid w:val="00233F36"/>
    <w:rsid w:val="0023405D"/>
    <w:rsid w:val="00236265"/>
    <w:rsid w:val="002366E5"/>
    <w:rsid w:val="00236A0E"/>
    <w:rsid w:val="00236A43"/>
    <w:rsid w:val="002427EA"/>
    <w:rsid w:val="002437A3"/>
    <w:rsid w:val="002444D4"/>
    <w:rsid w:val="0024788E"/>
    <w:rsid w:val="00247901"/>
    <w:rsid w:val="00247B10"/>
    <w:rsid w:val="002600F7"/>
    <w:rsid w:val="00261AA7"/>
    <w:rsid w:val="00264C39"/>
    <w:rsid w:val="00266500"/>
    <w:rsid w:val="002721B2"/>
    <w:rsid w:val="00280621"/>
    <w:rsid w:val="0028272C"/>
    <w:rsid w:val="002828EE"/>
    <w:rsid w:val="002852F5"/>
    <w:rsid w:val="00287641"/>
    <w:rsid w:val="00287DC7"/>
    <w:rsid w:val="0029672E"/>
    <w:rsid w:val="00296DAD"/>
    <w:rsid w:val="002A1D2F"/>
    <w:rsid w:val="002A2475"/>
    <w:rsid w:val="002A2CB3"/>
    <w:rsid w:val="002A37A9"/>
    <w:rsid w:val="002A3E89"/>
    <w:rsid w:val="002A7730"/>
    <w:rsid w:val="002B43D6"/>
    <w:rsid w:val="002B5F74"/>
    <w:rsid w:val="002C08B5"/>
    <w:rsid w:val="002C2F4C"/>
    <w:rsid w:val="002C330E"/>
    <w:rsid w:val="002C3753"/>
    <w:rsid w:val="002C460C"/>
    <w:rsid w:val="002D3D3A"/>
    <w:rsid w:val="002D4693"/>
    <w:rsid w:val="002E31FA"/>
    <w:rsid w:val="002E3428"/>
    <w:rsid w:val="002E363A"/>
    <w:rsid w:val="002E424B"/>
    <w:rsid w:val="002E744B"/>
    <w:rsid w:val="002E7CE6"/>
    <w:rsid w:val="002E7E46"/>
    <w:rsid w:val="002F4E34"/>
    <w:rsid w:val="00300205"/>
    <w:rsid w:val="00300CF0"/>
    <w:rsid w:val="00304D35"/>
    <w:rsid w:val="003064BC"/>
    <w:rsid w:val="0030668A"/>
    <w:rsid w:val="00313EB3"/>
    <w:rsid w:val="00315961"/>
    <w:rsid w:val="00316954"/>
    <w:rsid w:val="00316CF3"/>
    <w:rsid w:val="003223FF"/>
    <w:rsid w:val="003227D4"/>
    <w:rsid w:val="00322D77"/>
    <w:rsid w:val="0033328E"/>
    <w:rsid w:val="003332C9"/>
    <w:rsid w:val="00334AAD"/>
    <w:rsid w:val="00334EA1"/>
    <w:rsid w:val="00335DD0"/>
    <w:rsid w:val="00337A92"/>
    <w:rsid w:val="00340FA0"/>
    <w:rsid w:val="00341ED3"/>
    <w:rsid w:val="00344DC1"/>
    <w:rsid w:val="0034797C"/>
    <w:rsid w:val="003530D8"/>
    <w:rsid w:val="0035433E"/>
    <w:rsid w:val="00354B36"/>
    <w:rsid w:val="003552F5"/>
    <w:rsid w:val="00355550"/>
    <w:rsid w:val="00360557"/>
    <w:rsid w:val="00363A1C"/>
    <w:rsid w:val="003700FE"/>
    <w:rsid w:val="003725C9"/>
    <w:rsid w:val="00373725"/>
    <w:rsid w:val="0038020D"/>
    <w:rsid w:val="00381A59"/>
    <w:rsid w:val="00381C10"/>
    <w:rsid w:val="00381F10"/>
    <w:rsid w:val="0038491D"/>
    <w:rsid w:val="003867DD"/>
    <w:rsid w:val="00395A0E"/>
    <w:rsid w:val="00396A19"/>
    <w:rsid w:val="003A18DC"/>
    <w:rsid w:val="003A3B02"/>
    <w:rsid w:val="003A79A0"/>
    <w:rsid w:val="003B0617"/>
    <w:rsid w:val="003B07EF"/>
    <w:rsid w:val="003B08B5"/>
    <w:rsid w:val="003B20F3"/>
    <w:rsid w:val="003B22CD"/>
    <w:rsid w:val="003B271F"/>
    <w:rsid w:val="003B37E4"/>
    <w:rsid w:val="003C033A"/>
    <w:rsid w:val="003C5841"/>
    <w:rsid w:val="003C61EA"/>
    <w:rsid w:val="003C624E"/>
    <w:rsid w:val="003C680B"/>
    <w:rsid w:val="003D0139"/>
    <w:rsid w:val="003D2D45"/>
    <w:rsid w:val="003D4DA8"/>
    <w:rsid w:val="003D6560"/>
    <w:rsid w:val="003E0F72"/>
    <w:rsid w:val="003F0751"/>
    <w:rsid w:val="003F0EF4"/>
    <w:rsid w:val="003F545D"/>
    <w:rsid w:val="003F7EDF"/>
    <w:rsid w:val="00404B80"/>
    <w:rsid w:val="00410921"/>
    <w:rsid w:val="0041213E"/>
    <w:rsid w:val="004124A8"/>
    <w:rsid w:val="00413892"/>
    <w:rsid w:val="0041577F"/>
    <w:rsid w:val="004161E4"/>
    <w:rsid w:val="00416C50"/>
    <w:rsid w:val="00416F88"/>
    <w:rsid w:val="00424832"/>
    <w:rsid w:val="004269EC"/>
    <w:rsid w:val="004276E4"/>
    <w:rsid w:val="00430620"/>
    <w:rsid w:val="00431DA8"/>
    <w:rsid w:val="00434A7C"/>
    <w:rsid w:val="00435C1D"/>
    <w:rsid w:val="0044097D"/>
    <w:rsid w:val="00442912"/>
    <w:rsid w:val="00445593"/>
    <w:rsid w:val="00450152"/>
    <w:rsid w:val="00451927"/>
    <w:rsid w:val="00451D3E"/>
    <w:rsid w:val="00453765"/>
    <w:rsid w:val="00453AF9"/>
    <w:rsid w:val="00455552"/>
    <w:rsid w:val="00457765"/>
    <w:rsid w:val="00461312"/>
    <w:rsid w:val="00464D32"/>
    <w:rsid w:val="004658CD"/>
    <w:rsid w:val="00466C08"/>
    <w:rsid w:val="00466D26"/>
    <w:rsid w:val="0047064C"/>
    <w:rsid w:val="00471081"/>
    <w:rsid w:val="00473849"/>
    <w:rsid w:val="00475E37"/>
    <w:rsid w:val="00482883"/>
    <w:rsid w:val="00484976"/>
    <w:rsid w:val="004877B5"/>
    <w:rsid w:val="00487C6B"/>
    <w:rsid w:val="00492CE4"/>
    <w:rsid w:val="00495566"/>
    <w:rsid w:val="00495D3D"/>
    <w:rsid w:val="00496B4A"/>
    <w:rsid w:val="004A0AB2"/>
    <w:rsid w:val="004A2333"/>
    <w:rsid w:val="004A2A0F"/>
    <w:rsid w:val="004A363D"/>
    <w:rsid w:val="004A4C1A"/>
    <w:rsid w:val="004A6771"/>
    <w:rsid w:val="004B06B5"/>
    <w:rsid w:val="004B1402"/>
    <w:rsid w:val="004B2A6E"/>
    <w:rsid w:val="004B3B02"/>
    <w:rsid w:val="004B776A"/>
    <w:rsid w:val="004B77E7"/>
    <w:rsid w:val="004B7D0B"/>
    <w:rsid w:val="004C1C4F"/>
    <w:rsid w:val="004C5A61"/>
    <w:rsid w:val="004C7DC8"/>
    <w:rsid w:val="004D3626"/>
    <w:rsid w:val="004D3EA1"/>
    <w:rsid w:val="004D5DB1"/>
    <w:rsid w:val="004D6ADA"/>
    <w:rsid w:val="004D738F"/>
    <w:rsid w:val="004E13A9"/>
    <w:rsid w:val="004E3A7A"/>
    <w:rsid w:val="004F32B2"/>
    <w:rsid w:val="004F5BEF"/>
    <w:rsid w:val="004F69CA"/>
    <w:rsid w:val="0050088B"/>
    <w:rsid w:val="005018A0"/>
    <w:rsid w:val="00501E11"/>
    <w:rsid w:val="005045FE"/>
    <w:rsid w:val="0050480E"/>
    <w:rsid w:val="00512C94"/>
    <w:rsid w:val="00513199"/>
    <w:rsid w:val="0051379E"/>
    <w:rsid w:val="00513A4A"/>
    <w:rsid w:val="0051614E"/>
    <w:rsid w:val="00520987"/>
    <w:rsid w:val="00521452"/>
    <w:rsid w:val="005219C1"/>
    <w:rsid w:val="00523EAD"/>
    <w:rsid w:val="00523F44"/>
    <w:rsid w:val="00524AB9"/>
    <w:rsid w:val="0052587F"/>
    <w:rsid w:val="005328E5"/>
    <w:rsid w:val="00532960"/>
    <w:rsid w:val="0054198D"/>
    <w:rsid w:val="00547095"/>
    <w:rsid w:val="00547DD4"/>
    <w:rsid w:val="00550844"/>
    <w:rsid w:val="00552B34"/>
    <w:rsid w:val="0055737F"/>
    <w:rsid w:val="005617A2"/>
    <w:rsid w:val="00563E24"/>
    <w:rsid w:val="00570A68"/>
    <w:rsid w:val="00572567"/>
    <w:rsid w:val="005744DB"/>
    <w:rsid w:val="005811FC"/>
    <w:rsid w:val="00582D93"/>
    <w:rsid w:val="00582DFE"/>
    <w:rsid w:val="00582E51"/>
    <w:rsid w:val="00582EB3"/>
    <w:rsid w:val="005860A0"/>
    <w:rsid w:val="00586BEE"/>
    <w:rsid w:val="00591837"/>
    <w:rsid w:val="00591CB6"/>
    <w:rsid w:val="0059281A"/>
    <w:rsid w:val="005A14B8"/>
    <w:rsid w:val="005A1592"/>
    <w:rsid w:val="005A26EB"/>
    <w:rsid w:val="005A5555"/>
    <w:rsid w:val="005A58E1"/>
    <w:rsid w:val="005A5EC8"/>
    <w:rsid w:val="005B1276"/>
    <w:rsid w:val="005B1BFB"/>
    <w:rsid w:val="005B36B1"/>
    <w:rsid w:val="005C0BEF"/>
    <w:rsid w:val="005C1BBE"/>
    <w:rsid w:val="005C226E"/>
    <w:rsid w:val="005C307D"/>
    <w:rsid w:val="005C5D97"/>
    <w:rsid w:val="005C5DF7"/>
    <w:rsid w:val="005C6861"/>
    <w:rsid w:val="005D1299"/>
    <w:rsid w:val="005D3EE8"/>
    <w:rsid w:val="005D433C"/>
    <w:rsid w:val="005D47B1"/>
    <w:rsid w:val="005D61C2"/>
    <w:rsid w:val="005D68F8"/>
    <w:rsid w:val="005D6C21"/>
    <w:rsid w:val="005D7279"/>
    <w:rsid w:val="005D73F4"/>
    <w:rsid w:val="005E045B"/>
    <w:rsid w:val="005E08B4"/>
    <w:rsid w:val="005E1123"/>
    <w:rsid w:val="005E141B"/>
    <w:rsid w:val="005E1FCE"/>
    <w:rsid w:val="005E2FBD"/>
    <w:rsid w:val="005F11F3"/>
    <w:rsid w:val="005F2563"/>
    <w:rsid w:val="005F29BF"/>
    <w:rsid w:val="005F3142"/>
    <w:rsid w:val="005F4B4B"/>
    <w:rsid w:val="005F65B1"/>
    <w:rsid w:val="005F6CE5"/>
    <w:rsid w:val="006006F3"/>
    <w:rsid w:val="00601A27"/>
    <w:rsid w:val="0060222E"/>
    <w:rsid w:val="00603627"/>
    <w:rsid w:val="006056C1"/>
    <w:rsid w:val="00607EA8"/>
    <w:rsid w:val="00611485"/>
    <w:rsid w:val="00611D7E"/>
    <w:rsid w:val="006165C8"/>
    <w:rsid w:val="00623A75"/>
    <w:rsid w:val="00624881"/>
    <w:rsid w:val="0062719B"/>
    <w:rsid w:val="0062797E"/>
    <w:rsid w:val="006407E7"/>
    <w:rsid w:val="0064449C"/>
    <w:rsid w:val="00645D63"/>
    <w:rsid w:val="00650E3E"/>
    <w:rsid w:val="00650FEE"/>
    <w:rsid w:val="00653AB2"/>
    <w:rsid w:val="00653EB3"/>
    <w:rsid w:val="00654BDB"/>
    <w:rsid w:val="0066003C"/>
    <w:rsid w:val="00660FC0"/>
    <w:rsid w:val="00665B2F"/>
    <w:rsid w:val="00666157"/>
    <w:rsid w:val="006701D7"/>
    <w:rsid w:val="00670684"/>
    <w:rsid w:val="006731CD"/>
    <w:rsid w:val="0067436E"/>
    <w:rsid w:val="00676672"/>
    <w:rsid w:val="00680CD5"/>
    <w:rsid w:val="00684AC2"/>
    <w:rsid w:val="00686393"/>
    <w:rsid w:val="0069218D"/>
    <w:rsid w:val="00693489"/>
    <w:rsid w:val="00693855"/>
    <w:rsid w:val="00693C74"/>
    <w:rsid w:val="006941D5"/>
    <w:rsid w:val="006A151E"/>
    <w:rsid w:val="006A2970"/>
    <w:rsid w:val="006A47AF"/>
    <w:rsid w:val="006A701B"/>
    <w:rsid w:val="006A7F3D"/>
    <w:rsid w:val="006B186E"/>
    <w:rsid w:val="006B332C"/>
    <w:rsid w:val="006B7B2A"/>
    <w:rsid w:val="006B7E27"/>
    <w:rsid w:val="006C02E6"/>
    <w:rsid w:val="006C4D22"/>
    <w:rsid w:val="006C6AB4"/>
    <w:rsid w:val="006C6D51"/>
    <w:rsid w:val="006C7E32"/>
    <w:rsid w:val="006D0A98"/>
    <w:rsid w:val="006D1CB4"/>
    <w:rsid w:val="006D49B0"/>
    <w:rsid w:val="006D4E82"/>
    <w:rsid w:val="006E0F7A"/>
    <w:rsid w:val="006E4166"/>
    <w:rsid w:val="006E6985"/>
    <w:rsid w:val="006F1429"/>
    <w:rsid w:val="006F7AAC"/>
    <w:rsid w:val="006F7C9D"/>
    <w:rsid w:val="00700C37"/>
    <w:rsid w:val="007017B3"/>
    <w:rsid w:val="00703745"/>
    <w:rsid w:val="0070675A"/>
    <w:rsid w:val="00711605"/>
    <w:rsid w:val="00715EB7"/>
    <w:rsid w:val="0071682D"/>
    <w:rsid w:val="00717839"/>
    <w:rsid w:val="00720FC3"/>
    <w:rsid w:val="00723203"/>
    <w:rsid w:val="007242AC"/>
    <w:rsid w:val="00725D2F"/>
    <w:rsid w:val="00725F92"/>
    <w:rsid w:val="007320E9"/>
    <w:rsid w:val="007324E4"/>
    <w:rsid w:val="00734448"/>
    <w:rsid w:val="007355F5"/>
    <w:rsid w:val="00737284"/>
    <w:rsid w:val="00740E38"/>
    <w:rsid w:val="007418A0"/>
    <w:rsid w:val="00743F97"/>
    <w:rsid w:val="00745731"/>
    <w:rsid w:val="00746E30"/>
    <w:rsid w:val="0075080A"/>
    <w:rsid w:val="00751211"/>
    <w:rsid w:val="007532ED"/>
    <w:rsid w:val="00753634"/>
    <w:rsid w:val="007540AF"/>
    <w:rsid w:val="0075511B"/>
    <w:rsid w:val="00756C94"/>
    <w:rsid w:val="00763E7F"/>
    <w:rsid w:val="00765728"/>
    <w:rsid w:val="00766AC9"/>
    <w:rsid w:val="00773AC8"/>
    <w:rsid w:val="00774427"/>
    <w:rsid w:val="007752BC"/>
    <w:rsid w:val="0077656C"/>
    <w:rsid w:val="00780E94"/>
    <w:rsid w:val="007906D8"/>
    <w:rsid w:val="00791727"/>
    <w:rsid w:val="007924D3"/>
    <w:rsid w:val="00793577"/>
    <w:rsid w:val="007945E4"/>
    <w:rsid w:val="0079466B"/>
    <w:rsid w:val="007A014E"/>
    <w:rsid w:val="007A0DEA"/>
    <w:rsid w:val="007A3C3E"/>
    <w:rsid w:val="007A5507"/>
    <w:rsid w:val="007A5652"/>
    <w:rsid w:val="007A57F0"/>
    <w:rsid w:val="007A5E59"/>
    <w:rsid w:val="007A63C2"/>
    <w:rsid w:val="007A6BF5"/>
    <w:rsid w:val="007A77EE"/>
    <w:rsid w:val="007B00F4"/>
    <w:rsid w:val="007B0CF4"/>
    <w:rsid w:val="007B5B2A"/>
    <w:rsid w:val="007B7E21"/>
    <w:rsid w:val="007C239A"/>
    <w:rsid w:val="007C3902"/>
    <w:rsid w:val="007C6002"/>
    <w:rsid w:val="007C625C"/>
    <w:rsid w:val="007C7B6A"/>
    <w:rsid w:val="007C7F0B"/>
    <w:rsid w:val="007D16FF"/>
    <w:rsid w:val="007D1A9B"/>
    <w:rsid w:val="007D37E9"/>
    <w:rsid w:val="007D3D94"/>
    <w:rsid w:val="007D526E"/>
    <w:rsid w:val="007D68AA"/>
    <w:rsid w:val="007D72A6"/>
    <w:rsid w:val="007D7EF7"/>
    <w:rsid w:val="007E2734"/>
    <w:rsid w:val="00802C4C"/>
    <w:rsid w:val="00810330"/>
    <w:rsid w:val="00814835"/>
    <w:rsid w:val="00821A21"/>
    <w:rsid w:val="0082345A"/>
    <w:rsid w:val="00827349"/>
    <w:rsid w:val="008310CE"/>
    <w:rsid w:val="00831F38"/>
    <w:rsid w:val="00832F46"/>
    <w:rsid w:val="00835F67"/>
    <w:rsid w:val="00842F93"/>
    <w:rsid w:val="008433E3"/>
    <w:rsid w:val="008448D0"/>
    <w:rsid w:val="00845307"/>
    <w:rsid w:val="00846F16"/>
    <w:rsid w:val="008533BE"/>
    <w:rsid w:val="00853635"/>
    <w:rsid w:val="008536AE"/>
    <w:rsid w:val="00854A8A"/>
    <w:rsid w:val="00855676"/>
    <w:rsid w:val="00871DAF"/>
    <w:rsid w:val="00873430"/>
    <w:rsid w:val="00874C62"/>
    <w:rsid w:val="00875E30"/>
    <w:rsid w:val="0087655B"/>
    <w:rsid w:val="00883B9B"/>
    <w:rsid w:val="00891247"/>
    <w:rsid w:val="00891B35"/>
    <w:rsid w:val="00897399"/>
    <w:rsid w:val="008A035E"/>
    <w:rsid w:val="008A19EE"/>
    <w:rsid w:val="008A6366"/>
    <w:rsid w:val="008B030E"/>
    <w:rsid w:val="008B23AC"/>
    <w:rsid w:val="008B4A07"/>
    <w:rsid w:val="008C29FA"/>
    <w:rsid w:val="008C35F2"/>
    <w:rsid w:val="008C6176"/>
    <w:rsid w:val="008D4680"/>
    <w:rsid w:val="008D7310"/>
    <w:rsid w:val="008E00CD"/>
    <w:rsid w:val="008E1AF1"/>
    <w:rsid w:val="008E4704"/>
    <w:rsid w:val="008E541B"/>
    <w:rsid w:val="008E5B0E"/>
    <w:rsid w:val="008E65C6"/>
    <w:rsid w:val="008F3391"/>
    <w:rsid w:val="009047A8"/>
    <w:rsid w:val="00905E62"/>
    <w:rsid w:val="009064EB"/>
    <w:rsid w:val="00906CEB"/>
    <w:rsid w:val="00914517"/>
    <w:rsid w:val="0091770F"/>
    <w:rsid w:val="00920453"/>
    <w:rsid w:val="00923253"/>
    <w:rsid w:val="009233FE"/>
    <w:rsid w:val="009245FF"/>
    <w:rsid w:val="00926BF8"/>
    <w:rsid w:val="00930830"/>
    <w:rsid w:val="00931F72"/>
    <w:rsid w:val="0094172E"/>
    <w:rsid w:val="0094504F"/>
    <w:rsid w:val="0095005B"/>
    <w:rsid w:val="00951DE0"/>
    <w:rsid w:val="00952D78"/>
    <w:rsid w:val="009534FB"/>
    <w:rsid w:val="00954D2E"/>
    <w:rsid w:val="00957C11"/>
    <w:rsid w:val="00964827"/>
    <w:rsid w:val="00966055"/>
    <w:rsid w:val="00967A2A"/>
    <w:rsid w:val="009709B0"/>
    <w:rsid w:val="00975AB8"/>
    <w:rsid w:val="00977DF9"/>
    <w:rsid w:val="00983886"/>
    <w:rsid w:val="0098504F"/>
    <w:rsid w:val="00985EC5"/>
    <w:rsid w:val="00990057"/>
    <w:rsid w:val="00992B57"/>
    <w:rsid w:val="009951F5"/>
    <w:rsid w:val="009B0AEA"/>
    <w:rsid w:val="009B1415"/>
    <w:rsid w:val="009B2B85"/>
    <w:rsid w:val="009C0007"/>
    <w:rsid w:val="009C0388"/>
    <w:rsid w:val="009C297E"/>
    <w:rsid w:val="009C3DC9"/>
    <w:rsid w:val="009C516E"/>
    <w:rsid w:val="009C6646"/>
    <w:rsid w:val="009C6BDF"/>
    <w:rsid w:val="009D009F"/>
    <w:rsid w:val="009D1B6B"/>
    <w:rsid w:val="009D34BB"/>
    <w:rsid w:val="009D55C5"/>
    <w:rsid w:val="009E30E2"/>
    <w:rsid w:val="009E4C0F"/>
    <w:rsid w:val="009E59CF"/>
    <w:rsid w:val="009E7501"/>
    <w:rsid w:val="009F1E38"/>
    <w:rsid w:val="009F2031"/>
    <w:rsid w:val="00A051DA"/>
    <w:rsid w:val="00A05E05"/>
    <w:rsid w:val="00A10869"/>
    <w:rsid w:val="00A11BB7"/>
    <w:rsid w:val="00A11C96"/>
    <w:rsid w:val="00A12C09"/>
    <w:rsid w:val="00A13422"/>
    <w:rsid w:val="00A14E24"/>
    <w:rsid w:val="00A2158F"/>
    <w:rsid w:val="00A22B96"/>
    <w:rsid w:val="00A2356B"/>
    <w:rsid w:val="00A237E3"/>
    <w:rsid w:val="00A2779C"/>
    <w:rsid w:val="00A30D13"/>
    <w:rsid w:val="00A32609"/>
    <w:rsid w:val="00A3536E"/>
    <w:rsid w:val="00A36349"/>
    <w:rsid w:val="00A43413"/>
    <w:rsid w:val="00A446DA"/>
    <w:rsid w:val="00A44DAD"/>
    <w:rsid w:val="00A46299"/>
    <w:rsid w:val="00A53963"/>
    <w:rsid w:val="00A53EC9"/>
    <w:rsid w:val="00A600EC"/>
    <w:rsid w:val="00A61349"/>
    <w:rsid w:val="00A7273C"/>
    <w:rsid w:val="00A73E3C"/>
    <w:rsid w:val="00A74BB0"/>
    <w:rsid w:val="00A855AC"/>
    <w:rsid w:val="00A85E8A"/>
    <w:rsid w:val="00A92A89"/>
    <w:rsid w:val="00AA0210"/>
    <w:rsid w:val="00AA03F3"/>
    <w:rsid w:val="00AA1F5D"/>
    <w:rsid w:val="00AA3124"/>
    <w:rsid w:val="00AA3DA7"/>
    <w:rsid w:val="00AB2573"/>
    <w:rsid w:val="00AB2F4B"/>
    <w:rsid w:val="00AB5EA9"/>
    <w:rsid w:val="00AC4F4B"/>
    <w:rsid w:val="00AC6390"/>
    <w:rsid w:val="00AD35B9"/>
    <w:rsid w:val="00AD4E02"/>
    <w:rsid w:val="00AE0470"/>
    <w:rsid w:val="00AE0B89"/>
    <w:rsid w:val="00AE0DEB"/>
    <w:rsid w:val="00AE188E"/>
    <w:rsid w:val="00AE36B6"/>
    <w:rsid w:val="00AF194C"/>
    <w:rsid w:val="00AF4C8A"/>
    <w:rsid w:val="00AF5A40"/>
    <w:rsid w:val="00AF6BB3"/>
    <w:rsid w:val="00B03ABF"/>
    <w:rsid w:val="00B03BF5"/>
    <w:rsid w:val="00B05615"/>
    <w:rsid w:val="00B07FED"/>
    <w:rsid w:val="00B11CFD"/>
    <w:rsid w:val="00B129CC"/>
    <w:rsid w:val="00B1776B"/>
    <w:rsid w:val="00B2090C"/>
    <w:rsid w:val="00B2207F"/>
    <w:rsid w:val="00B235F4"/>
    <w:rsid w:val="00B25060"/>
    <w:rsid w:val="00B34D96"/>
    <w:rsid w:val="00B35D56"/>
    <w:rsid w:val="00B42A31"/>
    <w:rsid w:val="00B444E4"/>
    <w:rsid w:val="00B46FDB"/>
    <w:rsid w:val="00B52526"/>
    <w:rsid w:val="00B53203"/>
    <w:rsid w:val="00B56261"/>
    <w:rsid w:val="00B57941"/>
    <w:rsid w:val="00B57AD6"/>
    <w:rsid w:val="00B61811"/>
    <w:rsid w:val="00B61B38"/>
    <w:rsid w:val="00B65BE9"/>
    <w:rsid w:val="00B704CE"/>
    <w:rsid w:val="00B70B35"/>
    <w:rsid w:val="00B72969"/>
    <w:rsid w:val="00B73D2F"/>
    <w:rsid w:val="00B75900"/>
    <w:rsid w:val="00B763F0"/>
    <w:rsid w:val="00B76823"/>
    <w:rsid w:val="00B770D3"/>
    <w:rsid w:val="00B77276"/>
    <w:rsid w:val="00B77FE9"/>
    <w:rsid w:val="00B815F2"/>
    <w:rsid w:val="00B83488"/>
    <w:rsid w:val="00B905FF"/>
    <w:rsid w:val="00B94F11"/>
    <w:rsid w:val="00B9524D"/>
    <w:rsid w:val="00B96B06"/>
    <w:rsid w:val="00B97B80"/>
    <w:rsid w:val="00BA7E8B"/>
    <w:rsid w:val="00BB3F01"/>
    <w:rsid w:val="00BB4260"/>
    <w:rsid w:val="00BB5FF4"/>
    <w:rsid w:val="00BC0CE9"/>
    <w:rsid w:val="00BC1256"/>
    <w:rsid w:val="00BC1934"/>
    <w:rsid w:val="00BC34FF"/>
    <w:rsid w:val="00BC3703"/>
    <w:rsid w:val="00BC3CB2"/>
    <w:rsid w:val="00BC638C"/>
    <w:rsid w:val="00BD14CE"/>
    <w:rsid w:val="00BD1FC1"/>
    <w:rsid w:val="00BD30D3"/>
    <w:rsid w:val="00BD3C00"/>
    <w:rsid w:val="00BD5E74"/>
    <w:rsid w:val="00BE2FBA"/>
    <w:rsid w:val="00BF4EE3"/>
    <w:rsid w:val="00BF5D39"/>
    <w:rsid w:val="00C0095D"/>
    <w:rsid w:val="00C020A2"/>
    <w:rsid w:val="00C03087"/>
    <w:rsid w:val="00C054C4"/>
    <w:rsid w:val="00C05944"/>
    <w:rsid w:val="00C072CD"/>
    <w:rsid w:val="00C11381"/>
    <w:rsid w:val="00C11B22"/>
    <w:rsid w:val="00C15B98"/>
    <w:rsid w:val="00C16A00"/>
    <w:rsid w:val="00C16F86"/>
    <w:rsid w:val="00C17066"/>
    <w:rsid w:val="00C17437"/>
    <w:rsid w:val="00C176AB"/>
    <w:rsid w:val="00C206F9"/>
    <w:rsid w:val="00C26F15"/>
    <w:rsid w:val="00C32282"/>
    <w:rsid w:val="00C32A63"/>
    <w:rsid w:val="00C34C37"/>
    <w:rsid w:val="00C36862"/>
    <w:rsid w:val="00C372CF"/>
    <w:rsid w:val="00C37459"/>
    <w:rsid w:val="00C4076E"/>
    <w:rsid w:val="00C421D0"/>
    <w:rsid w:val="00C4290C"/>
    <w:rsid w:val="00C43411"/>
    <w:rsid w:val="00C44806"/>
    <w:rsid w:val="00C501B0"/>
    <w:rsid w:val="00C527D9"/>
    <w:rsid w:val="00C52B2C"/>
    <w:rsid w:val="00C536B8"/>
    <w:rsid w:val="00C57D8A"/>
    <w:rsid w:val="00C63B08"/>
    <w:rsid w:val="00C72698"/>
    <w:rsid w:val="00C74300"/>
    <w:rsid w:val="00C76839"/>
    <w:rsid w:val="00C852BC"/>
    <w:rsid w:val="00C85384"/>
    <w:rsid w:val="00C853E7"/>
    <w:rsid w:val="00C85BA3"/>
    <w:rsid w:val="00C9122B"/>
    <w:rsid w:val="00C91726"/>
    <w:rsid w:val="00C9226A"/>
    <w:rsid w:val="00C93DED"/>
    <w:rsid w:val="00C96BCA"/>
    <w:rsid w:val="00C97BAF"/>
    <w:rsid w:val="00CA0467"/>
    <w:rsid w:val="00CA4503"/>
    <w:rsid w:val="00CA46AB"/>
    <w:rsid w:val="00CA6907"/>
    <w:rsid w:val="00CA7306"/>
    <w:rsid w:val="00CA74FE"/>
    <w:rsid w:val="00CB0111"/>
    <w:rsid w:val="00CB0E5D"/>
    <w:rsid w:val="00CC12BC"/>
    <w:rsid w:val="00CC2E0D"/>
    <w:rsid w:val="00CC323C"/>
    <w:rsid w:val="00CC326A"/>
    <w:rsid w:val="00CC52F3"/>
    <w:rsid w:val="00CC69CC"/>
    <w:rsid w:val="00CC6C0F"/>
    <w:rsid w:val="00CD0F68"/>
    <w:rsid w:val="00CD6EEB"/>
    <w:rsid w:val="00CD7F59"/>
    <w:rsid w:val="00CE1B71"/>
    <w:rsid w:val="00CE4E0A"/>
    <w:rsid w:val="00CE7A9A"/>
    <w:rsid w:val="00CF356F"/>
    <w:rsid w:val="00CF4F9F"/>
    <w:rsid w:val="00CF6603"/>
    <w:rsid w:val="00CF6F1E"/>
    <w:rsid w:val="00D060AF"/>
    <w:rsid w:val="00D06E45"/>
    <w:rsid w:val="00D108AC"/>
    <w:rsid w:val="00D11773"/>
    <w:rsid w:val="00D1427C"/>
    <w:rsid w:val="00D14508"/>
    <w:rsid w:val="00D153C2"/>
    <w:rsid w:val="00D21F85"/>
    <w:rsid w:val="00D2674E"/>
    <w:rsid w:val="00D31B23"/>
    <w:rsid w:val="00D32FD4"/>
    <w:rsid w:val="00D3414B"/>
    <w:rsid w:val="00D35EAA"/>
    <w:rsid w:val="00D36B8A"/>
    <w:rsid w:val="00D42115"/>
    <w:rsid w:val="00D42921"/>
    <w:rsid w:val="00D45369"/>
    <w:rsid w:val="00D50849"/>
    <w:rsid w:val="00D51107"/>
    <w:rsid w:val="00D53A14"/>
    <w:rsid w:val="00D57CDE"/>
    <w:rsid w:val="00D64A7E"/>
    <w:rsid w:val="00D709D5"/>
    <w:rsid w:val="00D73DD3"/>
    <w:rsid w:val="00D74467"/>
    <w:rsid w:val="00D81ECB"/>
    <w:rsid w:val="00D825A4"/>
    <w:rsid w:val="00D83497"/>
    <w:rsid w:val="00D85355"/>
    <w:rsid w:val="00D85C9F"/>
    <w:rsid w:val="00D8762D"/>
    <w:rsid w:val="00D91484"/>
    <w:rsid w:val="00D95798"/>
    <w:rsid w:val="00D96351"/>
    <w:rsid w:val="00D96A9A"/>
    <w:rsid w:val="00DA132A"/>
    <w:rsid w:val="00DA1407"/>
    <w:rsid w:val="00DA1936"/>
    <w:rsid w:val="00DA583F"/>
    <w:rsid w:val="00DA768E"/>
    <w:rsid w:val="00DB087A"/>
    <w:rsid w:val="00DB0F17"/>
    <w:rsid w:val="00DB345D"/>
    <w:rsid w:val="00DB48E3"/>
    <w:rsid w:val="00DC0E0C"/>
    <w:rsid w:val="00DC2310"/>
    <w:rsid w:val="00DD4992"/>
    <w:rsid w:val="00DE3B87"/>
    <w:rsid w:val="00DE3F35"/>
    <w:rsid w:val="00DE7773"/>
    <w:rsid w:val="00DF5EBF"/>
    <w:rsid w:val="00E004CA"/>
    <w:rsid w:val="00E011C8"/>
    <w:rsid w:val="00E0173C"/>
    <w:rsid w:val="00E02838"/>
    <w:rsid w:val="00E02C41"/>
    <w:rsid w:val="00E0788C"/>
    <w:rsid w:val="00E11318"/>
    <w:rsid w:val="00E13B5B"/>
    <w:rsid w:val="00E1462F"/>
    <w:rsid w:val="00E14BC8"/>
    <w:rsid w:val="00E166B3"/>
    <w:rsid w:val="00E16D81"/>
    <w:rsid w:val="00E20A06"/>
    <w:rsid w:val="00E21B81"/>
    <w:rsid w:val="00E247A3"/>
    <w:rsid w:val="00E248EA"/>
    <w:rsid w:val="00E2565B"/>
    <w:rsid w:val="00E25C60"/>
    <w:rsid w:val="00E273CF"/>
    <w:rsid w:val="00E27DED"/>
    <w:rsid w:val="00E31604"/>
    <w:rsid w:val="00E36001"/>
    <w:rsid w:val="00E3613F"/>
    <w:rsid w:val="00E40929"/>
    <w:rsid w:val="00E46752"/>
    <w:rsid w:val="00E47098"/>
    <w:rsid w:val="00E51126"/>
    <w:rsid w:val="00E51626"/>
    <w:rsid w:val="00E51D64"/>
    <w:rsid w:val="00E543A8"/>
    <w:rsid w:val="00E54FDB"/>
    <w:rsid w:val="00E61A4B"/>
    <w:rsid w:val="00E6790B"/>
    <w:rsid w:val="00E67DD9"/>
    <w:rsid w:val="00E70FFC"/>
    <w:rsid w:val="00E75BBB"/>
    <w:rsid w:val="00E775CA"/>
    <w:rsid w:val="00E80410"/>
    <w:rsid w:val="00E81886"/>
    <w:rsid w:val="00E8387B"/>
    <w:rsid w:val="00E849FA"/>
    <w:rsid w:val="00E85845"/>
    <w:rsid w:val="00E95B67"/>
    <w:rsid w:val="00E96115"/>
    <w:rsid w:val="00E9643B"/>
    <w:rsid w:val="00EA0257"/>
    <w:rsid w:val="00EA06F6"/>
    <w:rsid w:val="00EA3035"/>
    <w:rsid w:val="00EA3D42"/>
    <w:rsid w:val="00EA45B6"/>
    <w:rsid w:val="00EA4F2D"/>
    <w:rsid w:val="00EA7551"/>
    <w:rsid w:val="00EB47D7"/>
    <w:rsid w:val="00EB654E"/>
    <w:rsid w:val="00EC01AB"/>
    <w:rsid w:val="00EC2A1F"/>
    <w:rsid w:val="00EC3FA0"/>
    <w:rsid w:val="00EC3FE9"/>
    <w:rsid w:val="00EC5511"/>
    <w:rsid w:val="00EC7332"/>
    <w:rsid w:val="00ED206D"/>
    <w:rsid w:val="00EE6BBA"/>
    <w:rsid w:val="00EE727D"/>
    <w:rsid w:val="00EE7F11"/>
    <w:rsid w:val="00EF20F7"/>
    <w:rsid w:val="00EF29B2"/>
    <w:rsid w:val="00EF376C"/>
    <w:rsid w:val="00EF6C3B"/>
    <w:rsid w:val="00F000AD"/>
    <w:rsid w:val="00F02809"/>
    <w:rsid w:val="00F034E5"/>
    <w:rsid w:val="00F04407"/>
    <w:rsid w:val="00F04C85"/>
    <w:rsid w:val="00F0567C"/>
    <w:rsid w:val="00F06245"/>
    <w:rsid w:val="00F125DF"/>
    <w:rsid w:val="00F155C1"/>
    <w:rsid w:val="00F1578A"/>
    <w:rsid w:val="00F158F1"/>
    <w:rsid w:val="00F167FD"/>
    <w:rsid w:val="00F2759A"/>
    <w:rsid w:val="00F27CD7"/>
    <w:rsid w:val="00F30A86"/>
    <w:rsid w:val="00F322FE"/>
    <w:rsid w:val="00F37836"/>
    <w:rsid w:val="00F4135F"/>
    <w:rsid w:val="00F44CC2"/>
    <w:rsid w:val="00F46741"/>
    <w:rsid w:val="00F52407"/>
    <w:rsid w:val="00F55F9A"/>
    <w:rsid w:val="00F57D28"/>
    <w:rsid w:val="00F610C7"/>
    <w:rsid w:val="00F635AD"/>
    <w:rsid w:val="00F64E10"/>
    <w:rsid w:val="00F6638B"/>
    <w:rsid w:val="00F6655C"/>
    <w:rsid w:val="00F668FE"/>
    <w:rsid w:val="00F755F4"/>
    <w:rsid w:val="00F82818"/>
    <w:rsid w:val="00F8412D"/>
    <w:rsid w:val="00F84C27"/>
    <w:rsid w:val="00F85DCF"/>
    <w:rsid w:val="00F86403"/>
    <w:rsid w:val="00F90A4C"/>
    <w:rsid w:val="00F91611"/>
    <w:rsid w:val="00F97BED"/>
    <w:rsid w:val="00FA3298"/>
    <w:rsid w:val="00FA3B15"/>
    <w:rsid w:val="00FB0FA8"/>
    <w:rsid w:val="00FB10AC"/>
    <w:rsid w:val="00FB364E"/>
    <w:rsid w:val="00FB493C"/>
    <w:rsid w:val="00FB49C1"/>
    <w:rsid w:val="00FB534D"/>
    <w:rsid w:val="00FB77A4"/>
    <w:rsid w:val="00FC1A6D"/>
    <w:rsid w:val="00FC1B5F"/>
    <w:rsid w:val="00FC1E9E"/>
    <w:rsid w:val="00FD11A3"/>
    <w:rsid w:val="00FD1576"/>
    <w:rsid w:val="00FD17AD"/>
    <w:rsid w:val="00FD23B7"/>
    <w:rsid w:val="00FD457B"/>
    <w:rsid w:val="00FD51CD"/>
    <w:rsid w:val="00FD5DFF"/>
    <w:rsid w:val="00FD6A9F"/>
    <w:rsid w:val="00FE0EF4"/>
    <w:rsid w:val="00FE1080"/>
    <w:rsid w:val="00FE41B2"/>
    <w:rsid w:val="00FE4CF8"/>
    <w:rsid w:val="00FE51D2"/>
    <w:rsid w:val="00FF0C1F"/>
    <w:rsid w:val="00FF1FAC"/>
    <w:rsid w:val="00FF2927"/>
    <w:rsid w:val="00FF54A8"/>
    <w:rsid w:val="00FF6666"/>
    <w:rsid w:val="00FF68FF"/>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caption" w:uiPriority="35" w:qFormat="1"/>
    <w:lsdException w:name="footnote reference" w:qFormat="1"/>
    <w:lsdException w:name="endnote reference" w:uiPriority="0"/>
    <w:lsdException w:name="endnote text" w:uiPriority="0"/>
    <w:lsdException w:name="macro"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F7"/>
  </w:style>
  <w:style w:type="paragraph" w:styleId="Heading1">
    <w:name w:val="heading 1"/>
    <w:basedOn w:val="Normal"/>
    <w:next w:val="Normal"/>
    <w:link w:val="Heading1Char"/>
    <w:uiPriority w:val="9"/>
    <w:qFormat/>
    <w:rsid w:val="004C7DC8"/>
    <w:pPr>
      <w:keepNext/>
      <w:numPr>
        <w:numId w:val="21"/>
      </w:numPr>
      <w:spacing w:before="360" w:after="120" w:line="240" w:lineRule="auto"/>
      <w:jc w:val="both"/>
      <w:outlineLvl w:val="0"/>
    </w:pPr>
    <w:rPr>
      <w:rFonts w:ascii="Times New Roman" w:eastAsia="Calibri" w:hAnsi="Times New Roman" w:cs="Arial"/>
      <w:b/>
      <w:smallCaps/>
      <w:sz w:val="24"/>
      <w:lang w:val="en-US"/>
    </w:rPr>
  </w:style>
  <w:style w:type="paragraph" w:styleId="Heading2">
    <w:name w:val="heading 2"/>
    <w:basedOn w:val="Normal"/>
    <w:next w:val="Normal"/>
    <w:link w:val="Heading2Char"/>
    <w:uiPriority w:val="9"/>
    <w:semiHidden/>
    <w:unhideWhenUsed/>
    <w:qFormat/>
    <w:rsid w:val="004C7DC8"/>
    <w:pPr>
      <w:keepNext/>
      <w:numPr>
        <w:ilvl w:val="1"/>
        <w:numId w:val="21"/>
      </w:numPr>
      <w:spacing w:before="120" w:after="120" w:line="240" w:lineRule="auto"/>
      <w:jc w:val="both"/>
      <w:outlineLvl w:val="1"/>
    </w:pPr>
    <w:rPr>
      <w:rFonts w:ascii="Times New Roman" w:eastAsia="Calibri" w:hAnsi="Times New Roman" w:cs="Arial"/>
      <w:b/>
      <w:sz w:val="24"/>
      <w:lang w:val="en-US"/>
    </w:rPr>
  </w:style>
  <w:style w:type="paragraph" w:styleId="Heading3">
    <w:name w:val="heading 3"/>
    <w:basedOn w:val="Normal"/>
    <w:next w:val="Normal"/>
    <w:link w:val="Heading3Char"/>
    <w:uiPriority w:val="9"/>
    <w:semiHidden/>
    <w:unhideWhenUsed/>
    <w:qFormat/>
    <w:rsid w:val="004C7DC8"/>
    <w:pPr>
      <w:keepNext/>
      <w:numPr>
        <w:ilvl w:val="2"/>
        <w:numId w:val="21"/>
      </w:numPr>
      <w:spacing w:before="120" w:after="120" w:line="240" w:lineRule="auto"/>
      <w:jc w:val="both"/>
      <w:outlineLvl w:val="2"/>
    </w:pPr>
    <w:rPr>
      <w:rFonts w:ascii="Times New Roman" w:eastAsia="Calibri" w:hAnsi="Times New Roman" w:cs="Arial"/>
      <w:i/>
      <w:sz w:val="24"/>
      <w:lang w:val="en-US"/>
    </w:rPr>
  </w:style>
  <w:style w:type="paragraph" w:styleId="Heading4">
    <w:name w:val="heading 4"/>
    <w:basedOn w:val="Normal"/>
    <w:next w:val="Normal"/>
    <w:link w:val="Heading4Char"/>
    <w:uiPriority w:val="9"/>
    <w:semiHidden/>
    <w:unhideWhenUsed/>
    <w:qFormat/>
    <w:rsid w:val="004C7DC8"/>
    <w:pPr>
      <w:keepNext/>
      <w:numPr>
        <w:ilvl w:val="3"/>
        <w:numId w:val="21"/>
      </w:numPr>
      <w:spacing w:before="120" w:after="120" w:line="240" w:lineRule="auto"/>
      <w:jc w:val="both"/>
      <w:outlineLvl w:val="3"/>
    </w:pPr>
    <w:rPr>
      <w:rFonts w:ascii="Times New Roman" w:eastAsia="Calibri" w:hAnsi="Times New Roman" w:cs="Arial"/>
      <w:sz w:val="24"/>
      <w:lang w:val="en-US"/>
    </w:rPr>
  </w:style>
  <w:style w:type="paragraph" w:styleId="Heading5">
    <w:name w:val="heading 5"/>
    <w:basedOn w:val="Normal"/>
    <w:next w:val="Normal"/>
    <w:link w:val="Heading5Char"/>
    <w:semiHidden/>
    <w:unhideWhenUsed/>
    <w:qFormat/>
    <w:rsid w:val="004C7DC8"/>
    <w:pPr>
      <w:spacing w:before="240" w:after="60" w:line="240" w:lineRule="auto"/>
      <w:jc w:val="both"/>
      <w:outlineLvl w:val="4"/>
    </w:pPr>
    <w:rPr>
      <w:rFonts w:ascii="Arial" w:eastAsia="Calibri" w:hAnsi="Arial" w:cs="Arial"/>
      <w:lang w:val="en-US"/>
    </w:rPr>
  </w:style>
  <w:style w:type="paragraph" w:styleId="Heading6">
    <w:name w:val="heading 6"/>
    <w:basedOn w:val="Normal"/>
    <w:next w:val="Normal"/>
    <w:link w:val="Heading6Char"/>
    <w:semiHidden/>
    <w:unhideWhenUsed/>
    <w:qFormat/>
    <w:rsid w:val="004C7DC8"/>
    <w:pPr>
      <w:spacing w:before="240" w:after="60" w:line="240" w:lineRule="auto"/>
      <w:jc w:val="both"/>
      <w:outlineLvl w:val="5"/>
    </w:pPr>
    <w:rPr>
      <w:rFonts w:ascii="Arial" w:eastAsia="Calibri" w:hAnsi="Arial" w:cs="Arial"/>
      <w:i/>
      <w:lang w:val="en-US"/>
    </w:rPr>
  </w:style>
  <w:style w:type="paragraph" w:styleId="Heading7">
    <w:name w:val="heading 7"/>
    <w:basedOn w:val="Normal"/>
    <w:next w:val="Normal"/>
    <w:link w:val="Heading7Char"/>
    <w:semiHidden/>
    <w:unhideWhenUsed/>
    <w:qFormat/>
    <w:rsid w:val="004C7DC8"/>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semiHidden/>
    <w:unhideWhenUsed/>
    <w:qFormat/>
    <w:rsid w:val="004C7DC8"/>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semiHidden/>
    <w:unhideWhenUsed/>
    <w:qFormat/>
    <w:rsid w:val="004C7DC8"/>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link w:val="FootnoteTextChar"/>
    <w:unhideWhenUsed/>
    <w:rsid w:val="00F000AD"/>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rsid w:val="00F000AD"/>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R1"/>
    <w:basedOn w:val="DefaultParagraphFont"/>
    <w:link w:val="ftrefCaracterCaracterCaracter"/>
    <w:uiPriority w:val="99"/>
    <w:unhideWhenUsed/>
    <w:qFormat/>
    <w:rsid w:val="00F000AD"/>
    <w:rPr>
      <w:b/>
      <w:shd w:val="clear" w:color="auto" w:fill="auto"/>
      <w:vertAlign w:val="superscript"/>
    </w:rPr>
  </w:style>
  <w:style w:type="table" w:customStyle="1" w:styleId="TableGrid1">
    <w:name w:val="Table Grid1"/>
    <w:basedOn w:val="TableNormal"/>
    <w:next w:val="TableGrid"/>
    <w:uiPriority w:val="59"/>
    <w:unhideWhenUsed/>
    <w:rsid w:val="00F000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0AD"/>
  </w:style>
  <w:style w:type="paragraph" w:customStyle="1" w:styleId="FooterCouncil">
    <w:name w:val="Footer Council"/>
    <w:basedOn w:val="Normal"/>
    <w:link w:val="FooterCouncilChar"/>
    <w:rsid w:val="00F000AD"/>
    <w:pPr>
      <w:spacing w:after="0" w:line="240" w:lineRule="auto"/>
    </w:pPr>
    <w:rPr>
      <w:rFonts w:ascii="Times New Roman" w:hAnsi="Times New Roman" w:cs="Times New Roman"/>
      <w:sz w:val="2"/>
      <w:lang w:val="en-GB"/>
    </w:rPr>
  </w:style>
  <w:style w:type="character" w:customStyle="1" w:styleId="FooterCouncilChar">
    <w:name w:val="Footer Council Char"/>
    <w:link w:val="FooterCouncil"/>
    <w:locked/>
    <w:rsid w:val="00F000AD"/>
    <w:rPr>
      <w:rFonts w:ascii="Times New Roman" w:hAnsi="Times New Roman" w:cs="Times New Roman"/>
      <w:sz w:val="2"/>
      <w:lang w:val="en-GB"/>
    </w:rPr>
  </w:style>
  <w:style w:type="paragraph" w:customStyle="1" w:styleId="FooterText">
    <w:name w:val="Footer Text"/>
    <w:basedOn w:val="Normal"/>
    <w:rsid w:val="00F000AD"/>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C7DC8"/>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semiHidden/>
    <w:rsid w:val="004C7DC8"/>
    <w:rPr>
      <w:rFonts w:ascii="Times New Roman" w:eastAsia="Calibri" w:hAnsi="Times New Roman" w:cs="Arial"/>
      <w:b/>
      <w:sz w:val="24"/>
      <w:lang w:val="en-US"/>
    </w:rPr>
  </w:style>
  <w:style w:type="character" w:customStyle="1" w:styleId="Heading3Char">
    <w:name w:val="Heading 3 Char"/>
    <w:basedOn w:val="DefaultParagraphFont"/>
    <w:link w:val="Heading3"/>
    <w:uiPriority w:val="9"/>
    <w:semiHidden/>
    <w:rsid w:val="004C7DC8"/>
    <w:rPr>
      <w:rFonts w:ascii="Times New Roman" w:eastAsia="Calibri" w:hAnsi="Times New Roman" w:cs="Arial"/>
      <w:i/>
      <w:sz w:val="24"/>
      <w:lang w:val="en-US"/>
    </w:rPr>
  </w:style>
  <w:style w:type="character" w:customStyle="1" w:styleId="Heading4Char">
    <w:name w:val="Heading 4 Char"/>
    <w:basedOn w:val="DefaultParagraphFont"/>
    <w:link w:val="Heading4"/>
    <w:uiPriority w:val="9"/>
    <w:semiHidden/>
    <w:rsid w:val="004C7DC8"/>
    <w:rPr>
      <w:rFonts w:ascii="Times New Roman" w:eastAsia="Calibri" w:hAnsi="Times New Roman" w:cs="Arial"/>
      <w:sz w:val="24"/>
      <w:lang w:val="en-US"/>
    </w:rPr>
  </w:style>
  <w:style w:type="character" w:customStyle="1" w:styleId="Heading5Char">
    <w:name w:val="Heading 5 Char"/>
    <w:basedOn w:val="DefaultParagraphFont"/>
    <w:link w:val="Heading5"/>
    <w:semiHidden/>
    <w:rsid w:val="004C7DC8"/>
    <w:rPr>
      <w:rFonts w:ascii="Arial" w:eastAsia="Calibri" w:hAnsi="Arial" w:cs="Arial"/>
      <w:lang w:val="en-US"/>
    </w:rPr>
  </w:style>
  <w:style w:type="character" w:customStyle="1" w:styleId="Heading6Char">
    <w:name w:val="Heading 6 Char"/>
    <w:basedOn w:val="DefaultParagraphFont"/>
    <w:link w:val="Heading6"/>
    <w:semiHidden/>
    <w:rsid w:val="004C7DC8"/>
    <w:rPr>
      <w:rFonts w:ascii="Arial" w:eastAsia="Calibri" w:hAnsi="Arial" w:cs="Arial"/>
      <w:i/>
      <w:lang w:val="en-US"/>
    </w:rPr>
  </w:style>
  <w:style w:type="character" w:customStyle="1" w:styleId="Heading7Char">
    <w:name w:val="Heading 7 Char"/>
    <w:basedOn w:val="DefaultParagraphFont"/>
    <w:link w:val="Heading7"/>
    <w:semiHidden/>
    <w:rsid w:val="004C7DC8"/>
    <w:rPr>
      <w:rFonts w:ascii="Arial" w:eastAsia="Calibri" w:hAnsi="Arial" w:cs="Arial"/>
      <w:sz w:val="20"/>
      <w:lang w:val="en-US"/>
    </w:rPr>
  </w:style>
  <w:style w:type="character" w:customStyle="1" w:styleId="Heading8Char">
    <w:name w:val="Heading 8 Char"/>
    <w:basedOn w:val="DefaultParagraphFont"/>
    <w:link w:val="Heading8"/>
    <w:semiHidden/>
    <w:rsid w:val="004C7DC8"/>
    <w:rPr>
      <w:rFonts w:ascii="Arial" w:eastAsia="Calibri" w:hAnsi="Arial" w:cs="Arial"/>
      <w:i/>
      <w:sz w:val="20"/>
      <w:lang w:val="en-US"/>
    </w:rPr>
  </w:style>
  <w:style w:type="character" w:customStyle="1" w:styleId="Heading9Char">
    <w:name w:val="Heading 9 Char"/>
    <w:basedOn w:val="DefaultParagraphFont"/>
    <w:link w:val="Heading9"/>
    <w:semiHidden/>
    <w:rsid w:val="004C7DC8"/>
    <w:rPr>
      <w:rFonts w:ascii="Arial" w:eastAsia="Calibri" w:hAnsi="Arial" w:cs="Arial"/>
      <w:i/>
      <w:sz w:val="18"/>
      <w:lang w:val="en-US"/>
    </w:rPr>
  </w:style>
  <w:style w:type="numbering" w:customStyle="1" w:styleId="NoList1">
    <w:name w:val="No List1"/>
    <w:next w:val="NoList"/>
    <w:uiPriority w:val="99"/>
    <w:semiHidden/>
    <w:unhideWhenUsed/>
    <w:rsid w:val="004C7DC8"/>
  </w:style>
  <w:style w:type="paragraph" w:styleId="Footer">
    <w:name w:val="footer"/>
    <w:basedOn w:val="Normal"/>
    <w:link w:val="FooterChar"/>
    <w:uiPriority w:val="99"/>
    <w:unhideWhenUsed/>
    <w:rsid w:val="004C7DC8"/>
    <w:pPr>
      <w:tabs>
        <w:tab w:val="center" w:pos="4819"/>
        <w:tab w:val="center" w:pos="7370"/>
        <w:tab w:val="right" w:pos="9638"/>
      </w:tabs>
      <w:spacing w:after="0" w:line="240" w:lineRule="auto"/>
    </w:pPr>
    <w:rPr>
      <w:rFonts w:ascii="Times New Roman" w:hAnsi="Times New Roman" w:cs="Times New Roman"/>
      <w:sz w:val="24"/>
      <w:lang w:val="en-GB"/>
    </w:rPr>
  </w:style>
  <w:style w:type="character" w:customStyle="1" w:styleId="FooterChar">
    <w:name w:val="Footer Char"/>
    <w:basedOn w:val="DefaultParagraphFont"/>
    <w:link w:val="Footer"/>
    <w:uiPriority w:val="99"/>
    <w:rsid w:val="004C7DC8"/>
    <w:rPr>
      <w:rFonts w:ascii="Times New Roman" w:hAnsi="Times New Roman" w:cs="Times New Roman"/>
      <w:sz w:val="24"/>
      <w:lang w:val="en-GB"/>
    </w:rPr>
  </w:style>
  <w:style w:type="paragraph" w:customStyle="1" w:styleId="NormalCentered">
    <w:name w:val="Normal Centered"/>
    <w:basedOn w:val="Normal"/>
    <w:rsid w:val="004C7DC8"/>
    <w:pPr>
      <w:spacing w:before="200" w:after="120" w:line="360" w:lineRule="auto"/>
      <w:jc w:val="center"/>
    </w:pPr>
    <w:rPr>
      <w:rFonts w:ascii="Times New Roman" w:hAnsi="Times New Roman" w:cs="Times New Roman"/>
      <w:sz w:val="24"/>
      <w:lang w:val="en-GB"/>
    </w:rPr>
  </w:style>
  <w:style w:type="paragraph" w:customStyle="1" w:styleId="NormalRight">
    <w:name w:val="Normal Right"/>
    <w:basedOn w:val="Normal"/>
    <w:rsid w:val="004C7DC8"/>
    <w:pPr>
      <w:spacing w:before="200" w:after="120" w:line="360" w:lineRule="auto"/>
      <w:jc w:val="right"/>
    </w:pPr>
    <w:rPr>
      <w:rFonts w:ascii="Times New Roman" w:hAnsi="Times New Roman" w:cs="Times New Roman"/>
      <w:sz w:val="24"/>
      <w:lang w:val="en-GB"/>
    </w:rPr>
  </w:style>
  <w:style w:type="paragraph" w:customStyle="1" w:styleId="NormalJustified">
    <w:name w:val="Normal Justified"/>
    <w:basedOn w:val="Normal"/>
    <w:rsid w:val="004C7DC8"/>
    <w:pPr>
      <w:spacing w:before="200" w:after="120" w:line="360" w:lineRule="auto"/>
      <w:jc w:val="both"/>
    </w:pPr>
    <w:rPr>
      <w:rFonts w:ascii="Times New Roman" w:hAnsi="Times New Roman" w:cs="Times New Roman"/>
      <w:sz w:val="24"/>
      <w:lang w:val="en-GB"/>
    </w:rPr>
  </w:style>
  <w:style w:type="paragraph" w:customStyle="1" w:styleId="HeaderLandscape">
    <w:name w:val="HeaderLandscape"/>
    <w:basedOn w:val="Normal"/>
    <w:rsid w:val="004C7DC8"/>
    <w:pPr>
      <w:tabs>
        <w:tab w:val="right" w:pos="14570"/>
      </w:tabs>
      <w:spacing w:before="120" w:after="120" w:line="360" w:lineRule="auto"/>
    </w:pPr>
    <w:rPr>
      <w:rFonts w:ascii="Times New Roman" w:hAnsi="Times New Roman" w:cs="Times New Roman"/>
      <w:sz w:val="24"/>
      <w:lang w:val="en-GB"/>
    </w:rPr>
  </w:style>
  <w:style w:type="paragraph" w:customStyle="1" w:styleId="FooterLandscape">
    <w:name w:val="FooterLandscape"/>
    <w:basedOn w:val="Normal"/>
    <w:rsid w:val="004C7DC8"/>
    <w:pPr>
      <w:tabs>
        <w:tab w:val="center" w:pos="7285"/>
        <w:tab w:val="center" w:pos="10930"/>
        <w:tab w:val="right" w:pos="14570"/>
      </w:tabs>
      <w:spacing w:after="0" w:line="240" w:lineRule="auto"/>
    </w:pPr>
    <w:rPr>
      <w:rFonts w:ascii="Times New Roman" w:hAnsi="Times New Roman" w:cs="Times New Roman"/>
      <w:sz w:val="24"/>
      <w:lang w:val="en-GB"/>
    </w:rPr>
  </w:style>
  <w:style w:type="paragraph" w:customStyle="1" w:styleId="HeaderCouncil">
    <w:name w:val="Header Council"/>
    <w:basedOn w:val="Normal"/>
    <w:link w:val="HeaderCouncilChar"/>
    <w:rsid w:val="004C7DC8"/>
    <w:pPr>
      <w:spacing w:after="0" w:line="240" w:lineRule="auto"/>
    </w:pPr>
    <w:rPr>
      <w:rFonts w:ascii="Times New Roman" w:hAnsi="Times New Roman" w:cs="Times New Roman"/>
      <w:sz w:val="2"/>
      <w:lang w:val="en-GB"/>
    </w:rPr>
  </w:style>
  <w:style w:type="character" w:customStyle="1" w:styleId="HeaderCouncilChar">
    <w:name w:val="Header Council Char"/>
    <w:link w:val="HeaderCouncil"/>
    <w:locked/>
    <w:rsid w:val="004C7DC8"/>
    <w:rPr>
      <w:rFonts w:ascii="Times New Roman" w:hAnsi="Times New Roman" w:cs="Times New Roman"/>
      <w:sz w:val="2"/>
      <w:lang w:val="en-GB"/>
    </w:rPr>
  </w:style>
  <w:style w:type="paragraph" w:customStyle="1" w:styleId="TechnicalBlock">
    <w:name w:val="Technical Block"/>
    <w:basedOn w:val="Normal"/>
    <w:next w:val="Normal"/>
    <w:link w:val="TechnicalBlockChar"/>
    <w:rsid w:val="004C7DC8"/>
    <w:pPr>
      <w:spacing w:after="240" w:line="240" w:lineRule="auto"/>
      <w:jc w:val="center"/>
    </w:pPr>
    <w:rPr>
      <w:rFonts w:ascii="Times New Roman" w:hAnsi="Times New Roman" w:cs="Times New Roman"/>
      <w:sz w:val="24"/>
      <w:lang w:val="en-GB"/>
    </w:rPr>
  </w:style>
  <w:style w:type="character" w:customStyle="1" w:styleId="TechnicalBlockChar">
    <w:name w:val="Technical Block Char"/>
    <w:basedOn w:val="DefaultParagraphFont"/>
    <w:link w:val="TechnicalBlock"/>
    <w:rsid w:val="004C7DC8"/>
    <w:rPr>
      <w:rFonts w:ascii="Times New Roman" w:hAnsi="Times New Roman" w:cs="Times New Roman"/>
      <w:sz w:val="24"/>
      <w:lang w:val="en-GB"/>
    </w:rPr>
  </w:style>
  <w:style w:type="paragraph" w:customStyle="1" w:styleId="FinalLine">
    <w:name w:val="Final Line"/>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
    <w:next w:val="Normal"/>
    <w:rsid w:val="004C7DC8"/>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1">
    <w:name w:val="Text 1"/>
    <w:basedOn w:val="Normal"/>
    <w:link w:val="Text1Char"/>
    <w:rsid w:val="004C7DC8"/>
    <w:pPr>
      <w:spacing w:before="120" w:after="120" w:line="360" w:lineRule="auto"/>
      <w:ind w:left="567"/>
    </w:pPr>
    <w:rPr>
      <w:rFonts w:ascii="Times New Roman" w:hAnsi="Times New Roman" w:cs="Times New Roman"/>
      <w:sz w:val="24"/>
      <w:lang w:val="en-GB"/>
    </w:rPr>
  </w:style>
  <w:style w:type="character" w:customStyle="1" w:styleId="Text1Char">
    <w:name w:val="Text 1 Char"/>
    <w:link w:val="Text1"/>
    <w:locked/>
    <w:rsid w:val="004C7DC8"/>
    <w:rPr>
      <w:rFonts w:ascii="Times New Roman" w:hAnsi="Times New Roman" w:cs="Times New Roman"/>
      <w:sz w:val="24"/>
      <w:lang w:val="en-GB"/>
    </w:rPr>
  </w:style>
  <w:style w:type="paragraph" w:customStyle="1" w:styleId="Text2">
    <w:name w:val="Text 2"/>
    <w:basedOn w:val="Normal"/>
    <w:rsid w:val="004C7DC8"/>
    <w:pPr>
      <w:spacing w:before="120" w:after="120" w:line="360" w:lineRule="auto"/>
      <w:ind w:left="1134"/>
    </w:pPr>
    <w:rPr>
      <w:rFonts w:ascii="Times New Roman" w:hAnsi="Times New Roman" w:cs="Times New Roman"/>
      <w:sz w:val="24"/>
      <w:lang w:val="en-GB"/>
    </w:rPr>
  </w:style>
  <w:style w:type="paragraph" w:customStyle="1" w:styleId="Text3">
    <w:name w:val="Text 3"/>
    <w:basedOn w:val="Normal"/>
    <w:rsid w:val="004C7DC8"/>
    <w:pPr>
      <w:spacing w:before="120" w:after="120" w:line="360" w:lineRule="auto"/>
      <w:ind w:left="1701"/>
    </w:pPr>
    <w:rPr>
      <w:rFonts w:ascii="Times New Roman" w:hAnsi="Times New Roman" w:cs="Times New Roman"/>
      <w:sz w:val="24"/>
      <w:lang w:val="en-GB"/>
    </w:rPr>
  </w:style>
  <w:style w:type="paragraph" w:customStyle="1" w:styleId="Text4">
    <w:name w:val="Text 4"/>
    <w:basedOn w:val="Normal"/>
    <w:rsid w:val="004C7DC8"/>
    <w:pPr>
      <w:spacing w:before="120" w:after="120" w:line="360" w:lineRule="auto"/>
      <w:ind w:left="2268"/>
    </w:pPr>
    <w:rPr>
      <w:rFonts w:ascii="Times New Roman" w:hAnsi="Times New Roman" w:cs="Times New Roman"/>
      <w:sz w:val="24"/>
      <w:lang w:val="en-GB"/>
    </w:rPr>
  </w:style>
  <w:style w:type="paragraph" w:customStyle="1" w:styleId="Text5">
    <w:name w:val="Text 5"/>
    <w:basedOn w:val="Normal"/>
    <w:rsid w:val="004C7DC8"/>
    <w:pPr>
      <w:spacing w:before="120" w:after="120" w:line="360" w:lineRule="auto"/>
      <w:ind w:left="2835"/>
    </w:pPr>
    <w:rPr>
      <w:rFonts w:ascii="Times New Roman" w:hAnsi="Times New Roman" w:cs="Times New Roman"/>
      <w:sz w:val="24"/>
      <w:lang w:val="en-GB"/>
    </w:rPr>
  </w:style>
  <w:style w:type="paragraph" w:customStyle="1" w:styleId="Text6">
    <w:name w:val="Text 6"/>
    <w:basedOn w:val="Normal"/>
    <w:rsid w:val="004C7DC8"/>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
    <w:rsid w:val="004C7DC8"/>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
    <w:rsid w:val="004C7DC8"/>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
    <w:rsid w:val="004C7DC8"/>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
    <w:rsid w:val="004C7DC8"/>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
    <w:rsid w:val="004C7DC8"/>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
    <w:rsid w:val="004C7DC8"/>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
    <w:rsid w:val="004C7DC8"/>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
    <w:rsid w:val="004C7DC8"/>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
    <w:rsid w:val="004C7DC8"/>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
    <w:rsid w:val="004C7DC8"/>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
    <w:rsid w:val="004C7DC8"/>
    <w:pPr>
      <w:numPr>
        <w:ilvl w:val="6"/>
        <w:numId w:val="16"/>
      </w:numPr>
      <w:tabs>
        <w:tab w:val="clear" w:pos="2268"/>
        <w:tab w:val="num" w:pos="567"/>
      </w:tabs>
      <w:spacing w:before="120" w:after="120" w:line="360" w:lineRule="auto"/>
      <w:ind w:left="567"/>
    </w:pPr>
    <w:rPr>
      <w:rFonts w:ascii="Times New Roman" w:hAnsi="Times New Roman" w:cs="Times New Roman"/>
      <w:sz w:val="24"/>
      <w:lang w:val="en-GB"/>
    </w:rPr>
  </w:style>
  <w:style w:type="paragraph" w:customStyle="1" w:styleId="Pointabc1">
    <w:name w:val="Point abc (1)"/>
    <w:basedOn w:val="Normal"/>
    <w:rsid w:val="004C7DC8"/>
    <w:pPr>
      <w:numPr>
        <w:ilvl w:val="3"/>
        <w:numId w:val="16"/>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4C7DC8"/>
    <w:pPr>
      <w:numPr>
        <w:ilvl w:val="5"/>
        <w:numId w:val="16"/>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4C7DC8"/>
    <w:pPr>
      <w:numPr>
        <w:ilvl w:val="7"/>
        <w:numId w:val="16"/>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4C7DC8"/>
    <w:pPr>
      <w:numPr>
        <w:ilvl w:val="8"/>
        <w:numId w:val="16"/>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4C7DC8"/>
    <w:pPr>
      <w:numPr>
        <w:numId w:val="16"/>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4C7DC8"/>
    <w:pPr>
      <w:numPr>
        <w:ilvl w:val="2"/>
        <w:numId w:val="16"/>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4C7DC8"/>
    <w:pPr>
      <w:numPr>
        <w:ilvl w:val="4"/>
        <w:numId w:val="16"/>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4C7DC8"/>
    <w:pPr>
      <w:tabs>
        <w:tab w:val="num" w:pos="2268"/>
      </w:tabs>
      <w:spacing w:before="120" w:after="120" w:line="360" w:lineRule="auto"/>
      <w:ind w:left="2268" w:hanging="567"/>
    </w:pPr>
    <w:rPr>
      <w:rFonts w:ascii="Times New Roman" w:hAnsi="Times New Roman" w:cs="Times New Roman"/>
      <w:sz w:val="24"/>
      <w:lang w:val="en-GB"/>
    </w:rPr>
  </w:style>
  <w:style w:type="paragraph" w:customStyle="1" w:styleId="Pointivx">
    <w:name w:val="Point ivx"/>
    <w:basedOn w:val="Normal"/>
    <w:rsid w:val="004C7DC8"/>
    <w:pPr>
      <w:numPr>
        <w:numId w:val="17"/>
      </w:numPr>
      <w:spacing w:before="120" w:after="120" w:line="360" w:lineRule="auto"/>
    </w:pPr>
    <w:rPr>
      <w:rFonts w:ascii="Times New Roman" w:hAnsi="Times New Roman" w:cs="Times New Roman"/>
      <w:sz w:val="24"/>
      <w:lang w:val="en-GB"/>
    </w:rPr>
  </w:style>
  <w:style w:type="paragraph" w:customStyle="1" w:styleId="Pointivx1">
    <w:name w:val="Point ivx (1)"/>
    <w:basedOn w:val="Normal"/>
    <w:rsid w:val="004C7DC8"/>
    <w:pPr>
      <w:numPr>
        <w:ilvl w:val="1"/>
        <w:numId w:val="17"/>
      </w:numPr>
      <w:spacing w:before="120" w:after="120" w:line="360" w:lineRule="auto"/>
    </w:pPr>
    <w:rPr>
      <w:rFonts w:ascii="Times New Roman" w:hAnsi="Times New Roman" w:cs="Times New Roman"/>
      <w:sz w:val="24"/>
      <w:lang w:val="en-GB"/>
    </w:rPr>
  </w:style>
  <w:style w:type="paragraph" w:customStyle="1" w:styleId="Pointivx2">
    <w:name w:val="Point ivx (2)"/>
    <w:basedOn w:val="Normal"/>
    <w:rsid w:val="004C7DC8"/>
    <w:pPr>
      <w:numPr>
        <w:ilvl w:val="2"/>
        <w:numId w:val="17"/>
      </w:numPr>
      <w:spacing w:before="120" w:after="120" w:line="360" w:lineRule="auto"/>
    </w:pPr>
    <w:rPr>
      <w:rFonts w:ascii="Times New Roman" w:hAnsi="Times New Roman" w:cs="Times New Roman"/>
      <w:sz w:val="24"/>
      <w:lang w:val="en-GB"/>
    </w:rPr>
  </w:style>
  <w:style w:type="paragraph" w:customStyle="1" w:styleId="Pointivx3">
    <w:name w:val="Point ivx (3)"/>
    <w:basedOn w:val="Normal"/>
    <w:rsid w:val="004C7DC8"/>
    <w:pPr>
      <w:numPr>
        <w:ilvl w:val="3"/>
        <w:numId w:val="17"/>
      </w:numPr>
      <w:spacing w:before="120" w:after="120" w:line="360" w:lineRule="auto"/>
    </w:pPr>
    <w:rPr>
      <w:rFonts w:ascii="Times New Roman" w:hAnsi="Times New Roman" w:cs="Times New Roman"/>
      <w:sz w:val="24"/>
      <w:lang w:val="en-GB"/>
    </w:rPr>
  </w:style>
  <w:style w:type="paragraph" w:customStyle="1" w:styleId="Pointivx4">
    <w:name w:val="Point ivx (4)"/>
    <w:basedOn w:val="Normal"/>
    <w:rsid w:val="004C7DC8"/>
    <w:pPr>
      <w:numPr>
        <w:ilvl w:val="4"/>
        <w:numId w:val="17"/>
      </w:numPr>
      <w:spacing w:before="120" w:after="120" w:line="360" w:lineRule="auto"/>
    </w:pPr>
    <w:rPr>
      <w:rFonts w:ascii="Times New Roman" w:hAnsi="Times New Roman" w:cs="Times New Roman"/>
      <w:sz w:val="24"/>
      <w:lang w:val="en-GB"/>
    </w:rPr>
  </w:style>
  <w:style w:type="paragraph" w:customStyle="1" w:styleId="Bullet">
    <w:name w:val="Bullet"/>
    <w:basedOn w:val="Normal"/>
    <w:rsid w:val="004C7DC8"/>
    <w:pPr>
      <w:numPr>
        <w:numId w:val="11"/>
      </w:numPr>
      <w:spacing w:before="120" w:after="120" w:line="360" w:lineRule="auto"/>
    </w:pPr>
    <w:rPr>
      <w:rFonts w:ascii="Times New Roman" w:hAnsi="Times New Roman" w:cs="Times New Roman"/>
      <w:sz w:val="24"/>
      <w:lang w:val="en-GB"/>
    </w:rPr>
  </w:style>
  <w:style w:type="paragraph" w:customStyle="1" w:styleId="Bullet1">
    <w:name w:val="Bullet 1"/>
    <w:basedOn w:val="Normal"/>
    <w:rsid w:val="004C7DC8"/>
    <w:pPr>
      <w:numPr>
        <w:numId w:val="12"/>
      </w:numPr>
      <w:spacing w:before="120" w:after="120" w:line="360" w:lineRule="auto"/>
    </w:pPr>
    <w:rPr>
      <w:rFonts w:ascii="Times New Roman" w:hAnsi="Times New Roman" w:cs="Times New Roman"/>
      <w:sz w:val="24"/>
      <w:lang w:val="en-GB"/>
    </w:rPr>
  </w:style>
  <w:style w:type="paragraph" w:customStyle="1" w:styleId="Bullet2">
    <w:name w:val="Bullet 2"/>
    <w:basedOn w:val="Normal"/>
    <w:rsid w:val="004C7DC8"/>
    <w:pPr>
      <w:numPr>
        <w:numId w:val="13"/>
      </w:numPr>
      <w:spacing w:before="120" w:after="120" w:line="360" w:lineRule="auto"/>
    </w:pPr>
    <w:rPr>
      <w:rFonts w:ascii="Times New Roman" w:hAnsi="Times New Roman" w:cs="Times New Roman"/>
      <w:sz w:val="24"/>
      <w:lang w:val="en-GB"/>
    </w:rPr>
  </w:style>
  <w:style w:type="paragraph" w:customStyle="1" w:styleId="Bullet3">
    <w:name w:val="Bullet 3"/>
    <w:basedOn w:val="Normal"/>
    <w:rsid w:val="004C7DC8"/>
    <w:pPr>
      <w:numPr>
        <w:numId w:val="14"/>
      </w:numPr>
      <w:spacing w:before="120" w:after="120" w:line="360" w:lineRule="auto"/>
    </w:pPr>
    <w:rPr>
      <w:rFonts w:ascii="Times New Roman" w:hAnsi="Times New Roman" w:cs="Times New Roman"/>
      <w:sz w:val="24"/>
      <w:lang w:val="en-GB"/>
    </w:rPr>
  </w:style>
  <w:style w:type="paragraph" w:customStyle="1" w:styleId="Bullet4">
    <w:name w:val="Bullet 4"/>
    <w:basedOn w:val="Normal"/>
    <w:rsid w:val="004C7DC8"/>
    <w:pPr>
      <w:numPr>
        <w:numId w:val="15"/>
      </w:numPr>
      <w:spacing w:before="120" w:after="120" w:line="360" w:lineRule="auto"/>
    </w:pPr>
    <w:rPr>
      <w:rFonts w:ascii="Times New Roman" w:hAnsi="Times New Roman" w:cs="Times New Roman"/>
      <w:sz w:val="24"/>
      <w:lang w:val="en-GB"/>
    </w:rPr>
  </w:style>
  <w:style w:type="paragraph" w:customStyle="1" w:styleId="Dash">
    <w:name w:val="Dash"/>
    <w:basedOn w:val="Normal"/>
    <w:rsid w:val="004C7DC8"/>
    <w:pPr>
      <w:numPr>
        <w:numId w:val="1"/>
      </w:numPr>
      <w:spacing w:before="120" w:after="120" w:line="360" w:lineRule="auto"/>
    </w:pPr>
    <w:rPr>
      <w:rFonts w:ascii="Times New Roman" w:hAnsi="Times New Roman" w:cs="Times New Roman"/>
      <w:sz w:val="24"/>
      <w:lang w:val="en-GB"/>
    </w:rPr>
  </w:style>
  <w:style w:type="paragraph" w:customStyle="1" w:styleId="Dash1">
    <w:name w:val="Dash 1"/>
    <w:basedOn w:val="Normal"/>
    <w:rsid w:val="004C7DC8"/>
    <w:pPr>
      <w:numPr>
        <w:numId w:val="2"/>
      </w:numPr>
      <w:spacing w:before="120" w:after="120" w:line="360" w:lineRule="auto"/>
    </w:pPr>
    <w:rPr>
      <w:rFonts w:ascii="Times New Roman" w:hAnsi="Times New Roman" w:cs="Times New Roman"/>
      <w:sz w:val="24"/>
      <w:lang w:val="en-GB"/>
    </w:rPr>
  </w:style>
  <w:style w:type="paragraph" w:customStyle="1" w:styleId="Dash2">
    <w:name w:val="Dash 2"/>
    <w:basedOn w:val="Normal"/>
    <w:rsid w:val="004C7DC8"/>
    <w:pPr>
      <w:numPr>
        <w:numId w:val="3"/>
      </w:numPr>
      <w:spacing w:before="120" w:after="120" w:line="360" w:lineRule="auto"/>
    </w:pPr>
    <w:rPr>
      <w:rFonts w:ascii="Times New Roman" w:hAnsi="Times New Roman" w:cs="Times New Roman"/>
      <w:sz w:val="24"/>
      <w:lang w:val="en-GB"/>
    </w:rPr>
  </w:style>
  <w:style w:type="paragraph" w:customStyle="1" w:styleId="Dash3">
    <w:name w:val="Dash 3"/>
    <w:basedOn w:val="Normal"/>
    <w:rsid w:val="004C7DC8"/>
    <w:pPr>
      <w:numPr>
        <w:numId w:val="4"/>
      </w:numPr>
      <w:spacing w:before="120" w:after="120" w:line="360" w:lineRule="auto"/>
    </w:pPr>
    <w:rPr>
      <w:rFonts w:ascii="Times New Roman" w:hAnsi="Times New Roman" w:cs="Times New Roman"/>
      <w:sz w:val="24"/>
      <w:lang w:val="en-GB"/>
    </w:rPr>
  </w:style>
  <w:style w:type="paragraph" w:customStyle="1" w:styleId="Dash4">
    <w:name w:val="Dash 4"/>
    <w:basedOn w:val="Normal"/>
    <w:rsid w:val="004C7DC8"/>
    <w:pPr>
      <w:numPr>
        <w:numId w:val="5"/>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4C7DC8"/>
    <w:pPr>
      <w:numPr>
        <w:numId w:val="6"/>
      </w:numPr>
    </w:pPr>
  </w:style>
  <w:style w:type="paragraph" w:customStyle="1" w:styleId="DashEqual1">
    <w:name w:val="Dash Equal 1"/>
    <w:basedOn w:val="Dash1"/>
    <w:rsid w:val="004C7DC8"/>
    <w:pPr>
      <w:numPr>
        <w:numId w:val="7"/>
      </w:numPr>
    </w:pPr>
  </w:style>
  <w:style w:type="paragraph" w:customStyle="1" w:styleId="DashEqual2">
    <w:name w:val="Dash Equal 2"/>
    <w:basedOn w:val="Dash2"/>
    <w:rsid w:val="004C7DC8"/>
    <w:pPr>
      <w:numPr>
        <w:numId w:val="8"/>
      </w:numPr>
    </w:pPr>
  </w:style>
  <w:style w:type="paragraph" w:customStyle="1" w:styleId="DashEqual3">
    <w:name w:val="Dash Equal 3"/>
    <w:basedOn w:val="Dash3"/>
    <w:rsid w:val="004C7DC8"/>
    <w:pPr>
      <w:numPr>
        <w:numId w:val="9"/>
      </w:numPr>
    </w:pPr>
  </w:style>
  <w:style w:type="paragraph" w:customStyle="1" w:styleId="DashEqual4">
    <w:name w:val="Dash Equal 4"/>
    <w:basedOn w:val="Dash4"/>
    <w:rsid w:val="004C7DC8"/>
    <w:pPr>
      <w:numPr>
        <w:numId w:val="10"/>
      </w:numPr>
    </w:pPr>
  </w:style>
  <w:style w:type="character" w:customStyle="1" w:styleId="Marker">
    <w:name w:val="Marker"/>
    <w:basedOn w:val="DefaultParagraphFont"/>
    <w:rsid w:val="004C7DC8"/>
    <w:rPr>
      <w:color w:val="0000FF"/>
      <w:shd w:val="clear" w:color="auto" w:fill="auto"/>
    </w:rPr>
  </w:style>
  <w:style w:type="character" w:customStyle="1" w:styleId="Marker1">
    <w:name w:val="Marker1"/>
    <w:basedOn w:val="DefaultParagraphFont"/>
    <w:rsid w:val="004C7DC8"/>
    <w:rPr>
      <w:color w:val="008000"/>
      <w:shd w:val="clear" w:color="auto" w:fill="auto"/>
    </w:rPr>
  </w:style>
  <w:style w:type="paragraph" w:customStyle="1" w:styleId="HeadingLeft">
    <w:name w:val="Heading Left"/>
    <w:basedOn w:val="Normal"/>
    <w:next w:val="Normal"/>
    <w:rsid w:val="004C7DC8"/>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
    <w:rsid w:val="004C7DC8"/>
    <w:pPr>
      <w:numPr>
        <w:numId w:val="20"/>
      </w:numPr>
    </w:pPr>
  </w:style>
  <w:style w:type="paragraph" w:customStyle="1" w:styleId="Heading123">
    <w:name w:val="Heading 123"/>
    <w:basedOn w:val="HeadingLeft"/>
    <w:next w:val="Normal"/>
    <w:rsid w:val="004C7DC8"/>
    <w:pPr>
      <w:numPr>
        <w:numId w:val="19"/>
      </w:numPr>
    </w:pPr>
  </w:style>
  <w:style w:type="paragraph" w:customStyle="1" w:styleId="HeadingABC">
    <w:name w:val="Heading ABC"/>
    <w:basedOn w:val="HeadingLeft"/>
    <w:next w:val="Normal"/>
    <w:rsid w:val="004C7DC8"/>
    <w:pPr>
      <w:numPr>
        <w:numId w:val="18"/>
      </w:numPr>
    </w:pPr>
  </w:style>
  <w:style w:type="paragraph" w:customStyle="1" w:styleId="HeadingCentered">
    <w:name w:val="Heading Centered"/>
    <w:basedOn w:val="HeadingLeft"/>
    <w:next w:val="Normal"/>
    <w:rsid w:val="004C7DC8"/>
    <w:pPr>
      <w:jc w:val="center"/>
    </w:pPr>
  </w:style>
  <w:style w:type="paragraph" w:customStyle="1" w:styleId="Jardin">
    <w:name w:val="Jardin"/>
    <w:basedOn w:val="Normal"/>
    <w:rsid w:val="004C7DC8"/>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
    <w:next w:val="Normal"/>
    <w:rsid w:val="004C7DC8"/>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
    <w:rsid w:val="004C7DC8"/>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
    <w:next w:val="Normal"/>
    <w:rsid w:val="004C7DC8"/>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
    <w:rsid w:val="004C7DC8"/>
    <w:rPr>
      <w:b/>
    </w:rPr>
  </w:style>
  <w:style w:type="paragraph" w:customStyle="1" w:styleId="Annex">
    <w:name w:val="Annex"/>
    <w:basedOn w:val="Normal"/>
    <w:next w:val="Normal"/>
    <w:rsid w:val="004C7DC8"/>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
    <w:rsid w:val="004C7DC8"/>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
    <w:next w:val="Normal"/>
    <w:rsid w:val="004C7DC8"/>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efaultParagraphFont"/>
    <w:rsid w:val="004C7DC8"/>
    <w:rPr>
      <w:rFonts w:ascii="Times New Roman" w:hAnsi="Times New Roman" w:cs="Times New Roman"/>
      <w:b/>
      <w:sz w:val="24"/>
      <w:shd w:val="clear" w:color="auto" w:fill="CCCCCC"/>
    </w:rPr>
  </w:style>
  <w:style w:type="paragraph" w:customStyle="1" w:styleId="NormalCompact">
    <w:name w:val="Normal Compact"/>
    <w:basedOn w:val="Normal"/>
    <w:next w:val="Normal"/>
    <w:rsid w:val="004C7DC8"/>
    <w:pPr>
      <w:spacing w:before="120" w:after="120" w:line="240" w:lineRule="auto"/>
    </w:pPr>
    <w:rPr>
      <w:rFonts w:ascii="Times New Roman" w:hAnsi="Times New Roman" w:cs="Times New Roman"/>
      <w:sz w:val="24"/>
      <w:lang w:val="en-GB"/>
    </w:rPr>
  </w:style>
  <w:style w:type="paragraph" w:styleId="EndnoteText">
    <w:name w:val="endnote text"/>
    <w:basedOn w:val="Normal"/>
    <w:link w:val="EndnoteTextChar"/>
    <w:semiHidden/>
    <w:unhideWhenUsed/>
    <w:rsid w:val="004C7DC8"/>
    <w:pPr>
      <w:spacing w:after="0" w:line="240" w:lineRule="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semiHidden/>
    <w:rsid w:val="004C7DC8"/>
    <w:rPr>
      <w:rFonts w:ascii="Times New Roman" w:hAnsi="Times New Roman" w:cs="Times New Roman"/>
      <w:sz w:val="20"/>
      <w:szCs w:val="20"/>
      <w:lang w:val="en-GB"/>
    </w:rPr>
  </w:style>
  <w:style w:type="character" w:styleId="EndnoteReference">
    <w:name w:val="endnote reference"/>
    <w:basedOn w:val="DefaultParagraphFont"/>
    <w:semiHidden/>
    <w:unhideWhenUsed/>
    <w:rsid w:val="004C7DC8"/>
    <w:rPr>
      <w:vertAlign w:val="superscript"/>
    </w:rPr>
  </w:style>
  <w:style w:type="paragraph" w:customStyle="1" w:styleId="HeaderCouncilLarge">
    <w:name w:val="Header Council Large"/>
    <w:basedOn w:val="Normal"/>
    <w:link w:val="HeaderCouncilLargeChar"/>
    <w:rsid w:val="004C7DC8"/>
    <w:pPr>
      <w:spacing w:after="440" w:line="360" w:lineRule="auto"/>
      <w:ind w:left="-1134" w:right="-1134"/>
    </w:pPr>
    <w:rPr>
      <w:rFonts w:ascii="Times New Roman" w:hAnsi="Times New Roman" w:cs="Times New Roman"/>
      <w:sz w:val="2"/>
      <w:lang w:val="en-GB"/>
    </w:rPr>
  </w:style>
  <w:style w:type="character" w:customStyle="1" w:styleId="HeaderCouncilLargeChar">
    <w:name w:val="Header Council Large Char"/>
    <w:basedOn w:val="TechnicalBlockChar"/>
    <w:link w:val="HeaderCouncilLarge"/>
    <w:rsid w:val="004C7DC8"/>
    <w:rPr>
      <w:rFonts w:ascii="Times New Roman" w:hAnsi="Times New Roman" w:cs="Times New Roman"/>
      <w:sz w:val="2"/>
      <w:lang w:val="en-GB"/>
    </w:rPr>
  </w:style>
  <w:style w:type="character" w:styleId="PlaceholderText">
    <w:name w:val="Placeholder Text"/>
    <w:basedOn w:val="DefaultParagraphFont"/>
    <w:uiPriority w:val="99"/>
    <w:semiHidden/>
    <w:rsid w:val="004C7DC8"/>
    <w:rPr>
      <w:color w:val="808080"/>
    </w:rPr>
  </w:style>
  <w:style w:type="paragraph" w:customStyle="1" w:styleId="Par-numberI0">
    <w:name w:val="Par-number I."/>
    <w:basedOn w:val="Normal"/>
    <w:next w:val="Normal"/>
    <w:rsid w:val="004C7DC8"/>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4C7DC8"/>
    <w:pPr>
      <w:spacing w:before="120" w:after="120" w:line="360" w:lineRule="auto"/>
      <w:ind w:left="720"/>
      <w:contextualSpacing/>
    </w:pPr>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4C7DC8"/>
    <w:rPr>
      <w:rFonts w:ascii="Times New Roman" w:hAnsi="Times New Roman" w:cs="Times New Roman"/>
      <w:sz w:val="24"/>
      <w:lang w:val="en-GB"/>
    </w:rPr>
  </w:style>
  <w:style w:type="character" w:styleId="Hyperlink">
    <w:name w:val="Hyperlink"/>
    <w:uiPriority w:val="99"/>
    <w:unhideWhenUsed/>
    <w:rsid w:val="004C7DC8"/>
    <w:rPr>
      <w:color w:val="0000FF"/>
      <w:u w:val="single"/>
    </w:rPr>
  </w:style>
  <w:style w:type="character" w:styleId="Strong">
    <w:name w:val="Strong"/>
    <w:uiPriority w:val="22"/>
    <w:qFormat/>
    <w:rsid w:val="004C7DC8"/>
    <w:rPr>
      <w:rFonts w:ascii="Times New Roman" w:hAnsi="Times New Roman" w:cs="Times New Roman" w:hint="default"/>
      <w:b/>
      <w:bCs/>
    </w:rPr>
  </w:style>
  <w:style w:type="paragraph" w:customStyle="1" w:styleId="msonormal0">
    <w:name w:val="msonormal"/>
    <w:basedOn w:val="Normal"/>
    <w:rsid w:val="004C7DC8"/>
    <w:pPr>
      <w:suppressAutoHyphens/>
      <w:spacing w:before="100" w:after="100" w:line="240" w:lineRule="auto"/>
    </w:pPr>
    <w:rPr>
      <w:rFonts w:ascii="Times New Roman" w:eastAsia="Times New Roman" w:hAnsi="Times New Roman" w:cs="Times New Roman"/>
      <w:sz w:val="24"/>
      <w:szCs w:val="24"/>
      <w:lang w:val="en-GB" w:eastAsia="ar-SA"/>
    </w:rPr>
  </w:style>
  <w:style w:type="paragraph" w:styleId="TOC6">
    <w:name w:val="toc 6"/>
    <w:basedOn w:val="Normal"/>
    <w:next w:val="Normal"/>
    <w:autoRedefine/>
    <w:uiPriority w:val="39"/>
    <w:semiHidden/>
    <w:unhideWhenUsed/>
    <w:rsid w:val="004C7DC8"/>
    <w:pPr>
      <w:tabs>
        <w:tab w:val="left" w:pos="3402"/>
        <w:tab w:val="right" w:leader="dot" w:pos="9639"/>
      </w:tabs>
      <w:spacing w:after="0" w:line="360" w:lineRule="auto"/>
      <w:ind w:left="3402" w:right="567" w:hanging="567"/>
    </w:pPr>
    <w:rPr>
      <w:rFonts w:ascii="Times New Roman" w:eastAsia="Calibri" w:hAnsi="Times New Roman" w:cs="Arial"/>
      <w:sz w:val="24"/>
      <w:lang w:val="en-US"/>
    </w:rPr>
  </w:style>
  <w:style w:type="paragraph" w:styleId="NormalIndent">
    <w:name w:val="Normal Indent"/>
    <w:basedOn w:val="Normal"/>
    <w:semiHidden/>
    <w:unhideWhenUsed/>
    <w:rsid w:val="004C7DC8"/>
    <w:pPr>
      <w:spacing w:after="240" w:line="240" w:lineRule="auto"/>
      <w:ind w:left="720"/>
      <w:jc w:val="both"/>
    </w:pPr>
    <w:rPr>
      <w:rFonts w:ascii="Times New Roman" w:eastAsia="Times New Roman" w:hAnsi="Times New Roman" w:cs="Times New Roman"/>
      <w:sz w:val="24"/>
      <w:lang w:val="en-GB" w:eastAsia="en-GB"/>
    </w:rPr>
  </w:style>
  <w:style w:type="paragraph" w:styleId="CommentText">
    <w:name w:val="annotation text"/>
    <w:basedOn w:val="Normal"/>
    <w:link w:val="CommentTextChar"/>
    <w:uiPriority w:val="99"/>
    <w:semiHidden/>
    <w:unhideWhenUsed/>
    <w:qFormat/>
    <w:rsid w:val="004C7DC8"/>
    <w:pPr>
      <w:spacing w:after="0" w:line="360" w:lineRule="auto"/>
    </w:pPr>
    <w:rPr>
      <w:rFonts w:ascii="Times New Roman" w:eastAsia="Calibri" w:hAnsi="Times New Roman" w:cs="Arial"/>
      <w:sz w:val="20"/>
      <w:szCs w:val="20"/>
      <w:lang w:val="en-US"/>
    </w:rPr>
  </w:style>
  <w:style w:type="character" w:customStyle="1" w:styleId="CommentTextChar">
    <w:name w:val="Comment Text Char"/>
    <w:basedOn w:val="DefaultParagraphFont"/>
    <w:link w:val="CommentText"/>
    <w:uiPriority w:val="99"/>
    <w:semiHidden/>
    <w:qFormat/>
    <w:rsid w:val="004C7DC8"/>
    <w:rPr>
      <w:rFonts w:ascii="Times New Roman" w:eastAsia="Calibri" w:hAnsi="Times New Roman" w:cs="Arial"/>
      <w:sz w:val="20"/>
      <w:szCs w:val="20"/>
      <w:lang w:val="en-US"/>
    </w:rPr>
  </w:style>
  <w:style w:type="character" w:customStyle="1" w:styleId="MacroTextChar">
    <w:name w:val="Macro Text Char"/>
    <w:basedOn w:val="DefaultParagraphFont"/>
    <w:link w:val="MacroText"/>
    <w:semiHidden/>
    <w:rsid w:val="004C7DC8"/>
    <w:rPr>
      <w:rFonts w:ascii="Courier New" w:eastAsia="Times New Roman" w:hAnsi="Courier New" w:cs="Times New Roman"/>
      <w:lang w:val="en-GB"/>
    </w:rPr>
  </w:style>
  <w:style w:type="paragraph" w:styleId="MacroText">
    <w:name w:val="macro"/>
    <w:link w:val="MacroTextChar"/>
    <w:semiHidden/>
    <w:unhideWhenUsed/>
    <w:rsid w:val="004C7DC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1">
    <w:name w:val="Macro Text Char1"/>
    <w:basedOn w:val="DefaultParagraphFont"/>
    <w:uiPriority w:val="99"/>
    <w:semiHidden/>
    <w:rsid w:val="004C7DC8"/>
    <w:rPr>
      <w:rFonts w:ascii="Consolas" w:hAnsi="Consolas" w:cs="Consolas"/>
      <w:sz w:val="20"/>
      <w:szCs w:val="20"/>
    </w:rPr>
  </w:style>
  <w:style w:type="paragraph" w:styleId="ListBullet">
    <w:name w:val="List Bullet"/>
    <w:basedOn w:val="Normal"/>
    <w:semiHidden/>
    <w:unhideWhenUsed/>
    <w:rsid w:val="004C7DC8"/>
    <w:pPr>
      <w:numPr>
        <w:numId w:val="22"/>
      </w:numPr>
      <w:spacing w:after="0" w:line="360" w:lineRule="auto"/>
      <w:contextualSpacing/>
    </w:pPr>
    <w:rPr>
      <w:rFonts w:ascii="Times New Roman" w:eastAsia="Calibri" w:hAnsi="Times New Roman" w:cs="Arial"/>
      <w:sz w:val="24"/>
      <w:lang w:val="en-US"/>
    </w:rPr>
  </w:style>
  <w:style w:type="paragraph" w:styleId="ListNumber">
    <w:name w:val="List Number"/>
    <w:basedOn w:val="Normal"/>
    <w:semiHidden/>
    <w:unhideWhenUsed/>
    <w:rsid w:val="004C7DC8"/>
    <w:pPr>
      <w:numPr>
        <w:numId w:val="23"/>
      </w:numPr>
      <w:spacing w:after="240" w:line="240" w:lineRule="auto"/>
      <w:jc w:val="both"/>
    </w:pPr>
    <w:rPr>
      <w:rFonts w:ascii="Times New Roman" w:eastAsia="Times New Roman" w:hAnsi="Times New Roman" w:cs="Times New Roman"/>
      <w:sz w:val="24"/>
      <w:lang w:val="en-GB" w:eastAsia="en-GB"/>
    </w:rPr>
  </w:style>
  <w:style w:type="paragraph" w:styleId="List2">
    <w:name w:val="List 2"/>
    <w:basedOn w:val="Normal"/>
    <w:semiHidden/>
    <w:unhideWhenUsed/>
    <w:rsid w:val="004C7DC8"/>
    <w:pPr>
      <w:spacing w:after="240" w:line="240" w:lineRule="auto"/>
      <w:ind w:left="566" w:hanging="283"/>
      <w:jc w:val="both"/>
    </w:pPr>
    <w:rPr>
      <w:rFonts w:ascii="Times New Roman" w:eastAsia="Times New Roman" w:hAnsi="Times New Roman" w:cs="Times New Roman"/>
      <w:sz w:val="24"/>
      <w:lang w:val="en-GB" w:eastAsia="en-GB"/>
    </w:rPr>
  </w:style>
  <w:style w:type="paragraph" w:styleId="ListBullet2">
    <w:name w:val="List Bullet 2"/>
    <w:basedOn w:val="Normal"/>
    <w:semiHidden/>
    <w:unhideWhenUsed/>
    <w:rsid w:val="004C7DC8"/>
    <w:pPr>
      <w:numPr>
        <w:numId w:val="24"/>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3">
    <w:name w:val="List Bullet 3"/>
    <w:basedOn w:val="Normal"/>
    <w:semiHidden/>
    <w:unhideWhenUsed/>
    <w:rsid w:val="004C7DC8"/>
    <w:pPr>
      <w:numPr>
        <w:numId w:val="25"/>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4">
    <w:name w:val="List Bullet 4"/>
    <w:basedOn w:val="Normal"/>
    <w:semiHidden/>
    <w:unhideWhenUsed/>
    <w:rsid w:val="004C7DC8"/>
    <w:pPr>
      <w:numPr>
        <w:numId w:val="26"/>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5">
    <w:name w:val="List Bullet 5"/>
    <w:basedOn w:val="Normal"/>
    <w:autoRedefine/>
    <w:semiHidden/>
    <w:unhideWhenUsed/>
    <w:rsid w:val="004C7DC8"/>
    <w:pPr>
      <w:numPr>
        <w:numId w:val="27"/>
      </w:numPr>
      <w:spacing w:after="240" w:line="240" w:lineRule="auto"/>
      <w:jc w:val="both"/>
    </w:pPr>
    <w:rPr>
      <w:rFonts w:ascii="Times New Roman" w:eastAsia="Times New Roman" w:hAnsi="Times New Roman" w:cs="Times New Roman"/>
      <w:sz w:val="24"/>
      <w:lang w:val="en-GB" w:eastAsia="en-GB"/>
    </w:rPr>
  </w:style>
  <w:style w:type="paragraph" w:styleId="ListNumber5">
    <w:name w:val="List Number 5"/>
    <w:basedOn w:val="Normal"/>
    <w:semiHidden/>
    <w:unhideWhenUsed/>
    <w:rsid w:val="004C7DC8"/>
    <w:pPr>
      <w:numPr>
        <w:numId w:val="28"/>
      </w:numPr>
      <w:spacing w:after="240" w:line="240" w:lineRule="auto"/>
      <w:jc w:val="both"/>
    </w:pPr>
    <w:rPr>
      <w:rFonts w:ascii="Times New Roman" w:eastAsia="Times New Roman" w:hAnsi="Times New Roman" w:cs="Times New Roman"/>
      <w:sz w:val="24"/>
      <w:lang w:val="en-GB" w:eastAsia="en-GB"/>
    </w:rPr>
  </w:style>
  <w:style w:type="paragraph" w:styleId="Title">
    <w:name w:val="Title"/>
    <w:basedOn w:val="Normal"/>
    <w:link w:val="TitleChar"/>
    <w:qFormat/>
    <w:rsid w:val="004C7DC8"/>
    <w:pPr>
      <w:spacing w:before="240" w:after="60" w:line="240" w:lineRule="auto"/>
      <w:jc w:val="center"/>
      <w:outlineLvl w:val="0"/>
    </w:pPr>
    <w:rPr>
      <w:rFonts w:ascii="Arial" w:eastAsia="Times New Roman" w:hAnsi="Arial" w:cs="Times New Roman"/>
      <w:b/>
      <w:kern w:val="28"/>
      <w:sz w:val="32"/>
      <w:lang w:val="en-GB" w:eastAsia="en-GB"/>
    </w:rPr>
  </w:style>
  <w:style w:type="character" w:customStyle="1" w:styleId="TitleChar">
    <w:name w:val="Title Char"/>
    <w:basedOn w:val="DefaultParagraphFont"/>
    <w:link w:val="Title"/>
    <w:rsid w:val="004C7DC8"/>
    <w:rPr>
      <w:rFonts w:ascii="Arial" w:eastAsia="Times New Roman" w:hAnsi="Arial" w:cs="Times New Roman"/>
      <w:b/>
      <w:kern w:val="28"/>
      <w:sz w:val="32"/>
      <w:lang w:val="en-GB" w:eastAsia="en-GB"/>
    </w:rPr>
  </w:style>
  <w:style w:type="character" w:customStyle="1" w:styleId="SignatureChar">
    <w:name w:val="Signature Char"/>
    <w:basedOn w:val="DefaultParagraphFont"/>
    <w:link w:val="Signature"/>
    <w:uiPriority w:val="99"/>
    <w:semiHidden/>
    <w:rsid w:val="004C7DC8"/>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semiHidden/>
    <w:unhideWhenUsed/>
    <w:rsid w:val="004C7DC8"/>
    <w:pPr>
      <w:tabs>
        <w:tab w:val="left" w:pos="5103"/>
      </w:tabs>
      <w:spacing w:before="1200" w:after="0" w:line="240" w:lineRule="auto"/>
      <w:ind w:left="5103"/>
      <w:jc w:val="center"/>
    </w:pPr>
    <w:rPr>
      <w:rFonts w:ascii="Times New Roman" w:eastAsia="Times New Roman" w:hAnsi="Times New Roman" w:cs="Times New Roman"/>
      <w:sz w:val="24"/>
      <w:lang w:val="en-GB" w:eastAsia="en-GB"/>
    </w:rPr>
  </w:style>
  <w:style w:type="character" w:customStyle="1" w:styleId="SignatureChar1">
    <w:name w:val="Signature Char1"/>
    <w:basedOn w:val="DefaultParagraphFont"/>
    <w:uiPriority w:val="99"/>
    <w:semiHidden/>
    <w:rsid w:val="004C7DC8"/>
  </w:style>
  <w:style w:type="paragraph" w:customStyle="1" w:styleId="Contact">
    <w:name w:val="Contact"/>
    <w:basedOn w:val="Normal"/>
    <w:next w:val="Enclosures"/>
    <w:rsid w:val="004C7DC8"/>
    <w:pPr>
      <w:spacing w:before="480" w:after="0" w:line="240" w:lineRule="auto"/>
      <w:ind w:left="567" w:hanging="567"/>
    </w:pPr>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4C7DC8"/>
    <w:pPr>
      <w:keepNext/>
      <w:keepLines/>
      <w:tabs>
        <w:tab w:val="left" w:pos="5670"/>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Participants">
    <w:name w:val="Participants"/>
    <w:basedOn w:val="Normal"/>
    <w:next w:val="Copies"/>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Copies">
    <w:name w:val="Copies"/>
    <w:basedOn w:val="Normal"/>
    <w:next w:val="Normal"/>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semiHidden/>
    <w:rsid w:val="004C7DC8"/>
    <w:rPr>
      <w:rFonts w:ascii="Times New Roman" w:eastAsia="Times New Roman" w:hAnsi="Times New Roman" w:cs="Times New Roman"/>
      <w:sz w:val="24"/>
      <w:lang w:val="en-GB" w:eastAsia="en-GB"/>
    </w:rPr>
  </w:style>
  <w:style w:type="paragraph" w:styleId="Closing">
    <w:name w:val="Closing"/>
    <w:basedOn w:val="Normal"/>
    <w:next w:val="Signature"/>
    <w:link w:val="ClosingChar"/>
    <w:semiHidden/>
    <w:unhideWhenUsed/>
    <w:rsid w:val="004C7DC8"/>
    <w:pPr>
      <w:tabs>
        <w:tab w:val="left" w:pos="5103"/>
      </w:tabs>
      <w:spacing w:before="240" w:after="240" w:line="240" w:lineRule="auto"/>
      <w:ind w:left="5103"/>
    </w:pPr>
    <w:rPr>
      <w:rFonts w:ascii="Times New Roman" w:eastAsia="Times New Roman" w:hAnsi="Times New Roman" w:cs="Times New Roman"/>
      <w:sz w:val="24"/>
      <w:lang w:val="en-GB" w:eastAsia="en-GB"/>
    </w:rPr>
  </w:style>
  <w:style w:type="character" w:customStyle="1" w:styleId="ClosingChar1">
    <w:name w:val="Closing Char1"/>
    <w:basedOn w:val="DefaultParagraphFont"/>
    <w:uiPriority w:val="99"/>
    <w:semiHidden/>
    <w:rsid w:val="004C7DC8"/>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semiHidden/>
    <w:locked/>
    <w:rsid w:val="004C7DC8"/>
    <w:rPr>
      <w:rFonts w:ascii="Times New Roman" w:eastAsia="Times New Roman" w:hAnsi="Times New Roman" w:cs="Times New Roman"/>
      <w:sz w:val="24"/>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semiHidden/>
    <w:unhideWhenUsed/>
    <w:qFormat/>
    <w:rsid w:val="004C7DC8"/>
    <w:pPr>
      <w:spacing w:after="120" w:line="240" w:lineRule="auto"/>
      <w:jc w:val="both"/>
    </w:pPr>
    <w:rPr>
      <w:rFonts w:ascii="Times New Roman" w:eastAsia="Times New Roman" w:hAnsi="Times New Roman" w:cs="Times New Roman"/>
      <w:sz w:val="24"/>
      <w:lang w:val="en-GB"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semiHidden/>
    <w:rsid w:val="004C7DC8"/>
  </w:style>
  <w:style w:type="character" w:customStyle="1" w:styleId="BodyTextIndentChar">
    <w:name w:val="Body Text Indent Char"/>
    <w:basedOn w:val="DefaultParagraphFont"/>
    <w:link w:val="BodyTextIndent"/>
    <w:semiHidden/>
    <w:rsid w:val="004C7DC8"/>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unhideWhenUsed/>
    <w:rsid w:val="004C7DC8"/>
    <w:pPr>
      <w:spacing w:after="120" w:line="240" w:lineRule="auto"/>
      <w:ind w:left="283"/>
      <w:jc w:val="both"/>
    </w:pPr>
    <w:rPr>
      <w:rFonts w:ascii="Times New Roman" w:eastAsia="Times New Roman" w:hAnsi="Times New Roman" w:cs="Times New Roman"/>
      <w:sz w:val="24"/>
      <w:lang w:val="en-GB" w:eastAsia="en-GB"/>
    </w:rPr>
  </w:style>
  <w:style w:type="character" w:customStyle="1" w:styleId="BodyTextIndentChar1">
    <w:name w:val="Body Text Indent Char1"/>
    <w:basedOn w:val="DefaultParagraphFont"/>
    <w:uiPriority w:val="99"/>
    <w:semiHidden/>
    <w:rsid w:val="004C7DC8"/>
  </w:style>
  <w:style w:type="character" w:customStyle="1" w:styleId="MessageHeaderChar">
    <w:name w:val="Message Header Char"/>
    <w:basedOn w:val="DefaultParagraphFont"/>
    <w:link w:val="MessageHeader"/>
    <w:semiHidden/>
    <w:rsid w:val="004C7DC8"/>
    <w:rPr>
      <w:rFonts w:ascii="Arial" w:eastAsia="Times New Roman" w:hAnsi="Arial" w:cs="Times New Roman"/>
      <w:sz w:val="24"/>
      <w:shd w:val="pct20" w:color="auto" w:fill="auto"/>
      <w:lang w:val="en-GB" w:eastAsia="en-GB"/>
    </w:rPr>
  </w:style>
  <w:style w:type="paragraph" w:styleId="MessageHeader">
    <w:name w:val="Message Header"/>
    <w:basedOn w:val="Normal"/>
    <w:link w:val="MessageHeaderChar"/>
    <w:semiHidden/>
    <w:unhideWhenUsed/>
    <w:rsid w:val="004C7DC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en-GB" w:eastAsia="en-GB"/>
    </w:rPr>
  </w:style>
  <w:style w:type="character" w:customStyle="1" w:styleId="MessageHeaderChar1">
    <w:name w:val="Message Header Char1"/>
    <w:basedOn w:val="DefaultParagraphFont"/>
    <w:uiPriority w:val="99"/>
    <w:semiHidden/>
    <w:rsid w:val="004C7DC8"/>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C7DC8"/>
    <w:pPr>
      <w:spacing w:after="60" w:line="240" w:lineRule="auto"/>
      <w:jc w:val="center"/>
      <w:outlineLvl w:val="1"/>
    </w:pPr>
    <w:rPr>
      <w:rFonts w:ascii="Arial" w:eastAsia="Times New Roman" w:hAnsi="Arial" w:cs="Times New Roman"/>
      <w:sz w:val="24"/>
      <w:lang w:val="en-GB" w:eastAsia="en-GB"/>
    </w:rPr>
  </w:style>
  <w:style w:type="character" w:customStyle="1" w:styleId="SubtitleChar">
    <w:name w:val="Subtitle Char"/>
    <w:basedOn w:val="DefaultParagraphFont"/>
    <w:link w:val="Subtitle"/>
    <w:rsid w:val="004C7DC8"/>
    <w:rPr>
      <w:rFonts w:ascii="Arial" w:eastAsia="Times New Roman" w:hAnsi="Arial" w:cs="Times New Roman"/>
      <w:sz w:val="24"/>
      <w:lang w:val="en-GB" w:eastAsia="en-GB"/>
    </w:rPr>
  </w:style>
  <w:style w:type="character" w:customStyle="1" w:styleId="SalutationChar">
    <w:name w:val="Salutation Char"/>
    <w:basedOn w:val="DefaultParagraphFont"/>
    <w:link w:val="Salutation"/>
    <w:semiHidden/>
    <w:rsid w:val="004C7DC8"/>
    <w:rPr>
      <w:rFonts w:ascii="Times New Roman" w:eastAsia="Times New Roman" w:hAnsi="Times New Roman" w:cs="Times New Roman"/>
      <w:sz w:val="24"/>
      <w:lang w:val="en-GB" w:eastAsia="en-GB"/>
    </w:rPr>
  </w:style>
  <w:style w:type="paragraph" w:styleId="Salutation">
    <w:name w:val="Salutation"/>
    <w:basedOn w:val="Normal"/>
    <w:next w:val="Normal"/>
    <w:link w:val="Salutation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SalutationChar1">
    <w:name w:val="Salutation Char1"/>
    <w:basedOn w:val="DefaultParagraphFont"/>
    <w:uiPriority w:val="99"/>
    <w:semiHidden/>
    <w:rsid w:val="004C7DC8"/>
  </w:style>
  <w:style w:type="paragraph" w:customStyle="1" w:styleId="References">
    <w:name w:val="References"/>
    <w:basedOn w:val="Normal"/>
    <w:next w:val="AddressTR"/>
    <w:rsid w:val="004C7DC8"/>
    <w:pPr>
      <w:spacing w:after="240" w:line="240" w:lineRule="auto"/>
      <w:ind w:left="5103"/>
    </w:pPr>
    <w:rPr>
      <w:rFonts w:ascii="Times New Roman" w:eastAsia="Times New Roman" w:hAnsi="Times New Roman" w:cs="Times New Roman"/>
      <w:sz w:val="20"/>
      <w:lang w:val="en-GB" w:eastAsia="en-GB"/>
    </w:rPr>
  </w:style>
  <w:style w:type="paragraph" w:customStyle="1" w:styleId="AddressTR">
    <w:name w:val="AddressTR"/>
    <w:basedOn w:val="Normal"/>
    <w:next w:val="Normal"/>
    <w:rsid w:val="004C7DC8"/>
    <w:pPr>
      <w:spacing w:after="720" w:line="240" w:lineRule="auto"/>
      <w:ind w:left="5103"/>
    </w:pPr>
    <w:rPr>
      <w:rFonts w:ascii="Times New Roman" w:eastAsia="Times New Roman" w:hAnsi="Times New Roman" w:cs="Times New Roman"/>
      <w:sz w:val="24"/>
      <w:lang w:val="en-GB" w:eastAsia="en-GB"/>
    </w:rPr>
  </w:style>
  <w:style w:type="character" w:customStyle="1" w:styleId="DateChar">
    <w:name w:val="Date Char"/>
    <w:basedOn w:val="DefaultParagraphFont"/>
    <w:link w:val="Date"/>
    <w:semiHidden/>
    <w:rsid w:val="004C7DC8"/>
    <w:rPr>
      <w:rFonts w:ascii="Times New Roman" w:eastAsia="Times New Roman" w:hAnsi="Times New Roman" w:cs="Times New Roman"/>
      <w:sz w:val="24"/>
      <w:lang w:val="en-GB" w:eastAsia="en-GB"/>
    </w:rPr>
  </w:style>
  <w:style w:type="paragraph" w:styleId="Date">
    <w:name w:val="Date"/>
    <w:basedOn w:val="Normal"/>
    <w:next w:val="References"/>
    <w:link w:val="DateChar"/>
    <w:semiHidden/>
    <w:unhideWhenUsed/>
    <w:rsid w:val="004C7DC8"/>
    <w:pPr>
      <w:spacing w:after="0" w:line="240" w:lineRule="auto"/>
      <w:ind w:left="5103" w:right="-567"/>
    </w:pPr>
    <w:rPr>
      <w:rFonts w:ascii="Times New Roman" w:eastAsia="Times New Roman" w:hAnsi="Times New Roman" w:cs="Times New Roman"/>
      <w:sz w:val="24"/>
      <w:lang w:val="en-GB" w:eastAsia="en-GB"/>
    </w:rPr>
  </w:style>
  <w:style w:type="character" w:customStyle="1" w:styleId="DateChar1">
    <w:name w:val="Date Char1"/>
    <w:basedOn w:val="DefaultParagraphFont"/>
    <w:uiPriority w:val="99"/>
    <w:semiHidden/>
    <w:rsid w:val="004C7DC8"/>
  </w:style>
  <w:style w:type="paragraph" w:styleId="BodyTextFirstIndent">
    <w:name w:val="Body Text First Indent"/>
    <w:basedOn w:val="BodyText"/>
    <w:link w:val="BodyTextFirstIndentChar"/>
    <w:semiHidden/>
    <w:unhideWhenUsed/>
    <w:rsid w:val="004C7DC8"/>
    <w:pPr>
      <w:ind w:firstLine="210"/>
    </w:pPr>
  </w:style>
  <w:style w:type="character" w:customStyle="1" w:styleId="BodyTextFirstIndentChar">
    <w:name w:val="Body Text First Indent Char"/>
    <w:basedOn w:val="BodyTextChar1"/>
    <w:link w:val="BodyTextFirstIndent"/>
    <w:semiHidden/>
    <w:rsid w:val="004C7DC8"/>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semiHidden/>
    <w:rsid w:val="004C7DC8"/>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semiHidden/>
    <w:unhideWhenUsed/>
    <w:rsid w:val="004C7DC8"/>
    <w:pPr>
      <w:ind w:firstLine="210"/>
    </w:pPr>
  </w:style>
  <w:style w:type="character" w:customStyle="1" w:styleId="BodyTextFirstIndent2Char1">
    <w:name w:val="Body Text First Indent 2 Char1"/>
    <w:basedOn w:val="BodyTextIndentChar1"/>
    <w:uiPriority w:val="99"/>
    <w:semiHidden/>
    <w:rsid w:val="004C7DC8"/>
  </w:style>
  <w:style w:type="character" w:customStyle="1" w:styleId="NoteHeadingChar">
    <w:name w:val="Note Heading Char"/>
    <w:basedOn w:val="DefaultParagraphFont"/>
    <w:link w:val="NoteHeading"/>
    <w:semiHidden/>
    <w:rsid w:val="004C7DC8"/>
    <w:rPr>
      <w:rFonts w:ascii="Times New Roman" w:eastAsia="Times New Roman" w:hAnsi="Times New Roman" w:cs="Times New Roman"/>
      <w:sz w:val="24"/>
      <w:lang w:val="en-GB" w:eastAsia="en-GB"/>
    </w:rPr>
  </w:style>
  <w:style w:type="paragraph" w:styleId="NoteHeading">
    <w:name w:val="Note Heading"/>
    <w:basedOn w:val="Normal"/>
    <w:next w:val="Normal"/>
    <w:link w:val="NoteHeading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NoteHeadingChar1">
    <w:name w:val="Note Heading Char1"/>
    <w:basedOn w:val="DefaultParagraphFont"/>
    <w:uiPriority w:val="99"/>
    <w:semiHidden/>
    <w:rsid w:val="004C7DC8"/>
  </w:style>
  <w:style w:type="character" w:customStyle="1" w:styleId="BodyText2Char">
    <w:name w:val="Body Text 2 Char"/>
    <w:basedOn w:val="DefaultParagraphFont"/>
    <w:link w:val="BodyText2"/>
    <w:semiHidden/>
    <w:rsid w:val="004C7DC8"/>
    <w:rPr>
      <w:rFonts w:ascii="Times New Roman" w:eastAsia="Times New Roman" w:hAnsi="Times New Roman" w:cs="Times New Roman"/>
      <w:sz w:val="24"/>
      <w:lang w:val="en-GB" w:eastAsia="en-GB"/>
    </w:rPr>
  </w:style>
  <w:style w:type="paragraph" w:styleId="BodyText2">
    <w:name w:val="Body Text 2"/>
    <w:basedOn w:val="Normal"/>
    <w:link w:val="BodyText2Char"/>
    <w:semiHidden/>
    <w:unhideWhenUsed/>
    <w:rsid w:val="004C7DC8"/>
    <w:pPr>
      <w:spacing w:after="120" w:line="480" w:lineRule="auto"/>
      <w:jc w:val="both"/>
    </w:pPr>
    <w:rPr>
      <w:rFonts w:ascii="Times New Roman" w:eastAsia="Times New Roman" w:hAnsi="Times New Roman" w:cs="Times New Roman"/>
      <w:sz w:val="24"/>
      <w:lang w:val="en-GB" w:eastAsia="en-GB"/>
    </w:rPr>
  </w:style>
  <w:style w:type="character" w:customStyle="1" w:styleId="BodyText2Char1">
    <w:name w:val="Body Text 2 Char1"/>
    <w:basedOn w:val="DefaultParagraphFont"/>
    <w:uiPriority w:val="99"/>
    <w:semiHidden/>
    <w:rsid w:val="004C7DC8"/>
  </w:style>
  <w:style w:type="character" w:customStyle="1" w:styleId="BodyText3Char">
    <w:name w:val="Body Text 3 Char"/>
    <w:basedOn w:val="DefaultParagraphFont"/>
    <w:link w:val="BodyText3"/>
    <w:semiHidden/>
    <w:rsid w:val="004C7DC8"/>
    <w:rPr>
      <w:rFonts w:ascii="Times New Roman" w:eastAsia="Times New Roman" w:hAnsi="Times New Roman" w:cs="Times New Roman"/>
      <w:sz w:val="16"/>
      <w:lang w:val="en-GB" w:eastAsia="en-GB"/>
    </w:rPr>
  </w:style>
  <w:style w:type="paragraph" w:styleId="BodyText3">
    <w:name w:val="Body Text 3"/>
    <w:basedOn w:val="Normal"/>
    <w:link w:val="BodyText3Char"/>
    <w:semiHidden/>
    <w:unhideWhenUsed/>
    <w:rsid w:val="004C7DC8"/>
    <w:pPr>
      <w:spacing w:after="120" w:line="240" w:lineRule="auto"/>
      <w:jc w:val="both"/>
    </w:pPr>
    <w:rPr>
      <w:rFonts w:ascii="Times New Roman" w:eastAsia="Times New Roman" w:hAnsi="Times New Roman" w:cs="Times New Roman"/>
      <w:sz w:val="16"/>
      <w:lang w:val="en-GB" w:eastAsia="en-GB"/>
    </w:rPr>
  </w:style>
  <w:style w:type="character" w:customStyle="1" w:styleId="BodyText3Char1">
    <w:name w:val="Body Text 3 Char1"/>
    <w:basedOn w:val="DefaultParagraphFont"/>
    <w:uiPriority w:val="99"/>
    <w:semiHidden/>
    <w:rsid w:val="004C7DC8"/>
    <w:rPr>
      <w:sz w:val="16"/>
      <w:szCs w:val="16"/>
    </w:rPr>
  </w:style>
  <w:style w:type="character" w:customStyle="1" w:styleId="BodyTextIndent2Char">
    <w:name w:val="Body Text Indent 2 Char"/>
    <w:basedOn w:val="DefaultParagraphFont"/>
    <w:link w:val="BodyTextIndent2"/>
    <w:semiHidden/>
    <w:rsid w:val="004C7DC8"/>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semiHidden/>
    <w:unhideWhenUsed/>
    <w:rsid w:val="004C7DC8"/>
    <w:pPr>
      <w:spacing w:after="120" w:line="480" w:lineRule="auto"/>
      <w:ind w:left="283"/>
      <w:jc w:val="both"/>
    </w:pPr>
    <w:rPr>
      <w:rFonts w:ascii="Times New Roman" w:eastAsia="Times New Roman" w:hAnsi="Times New Roman" w:cs="Times New Roman"/>
      <w:sz w:val="24"/>
      <w:lang w:val="en-GB" w:eastAsia="en-GB"/>
    </w:rPr>
  </w:style>
  <w:style w:type="character" w:customStyle="1" w:styleId="BodyTextIndent2Char1">
    <w:name w:val="Body Text Indent 2 Char1"/>
    <w:basedOn w:val="DefaultParagraphFont"/>
    <w:uiPriority w:val="99"/>
    <w:semiHidden/>
    <w:rsid w:val="004C7DC8"/>
  </w:style>
  <w:style w:type="character" w:customStyle="1" w:styleId="BodyTextIndent3Char">
    <w:name w:val="Body Text Indent 3 Char"/>
    <w:basedOn w:val="DefaultParagraphFont"/>
    <w:link w:val="BodyTextIndent3"/>
    <w:semiHidden/>
    <w:rsid w:val="004C7DC8"/>
    <w:rPr>
      <w:rFonts w:ascii="Times New Roman" w:eastAsia="Times New Roman" w:hAnsi="Times New Roman" w:cs="Times New Roman"/>
      <w:sz w:val="16"/>
      <w:lang w:val="en-GB" w:eastAsia="en-GB"/>
    </w:rPr>
  </w:style>
  <w:style w:type="paragraph" w:styleId="BodyTextIndent3">
    <w:name w:val="Body Text Indent 3"/>
    <w:basedOn w:val="Normal"/>
    <w:link w:val="BodyTextIndent3Char"/>
    <w:semiHidden/>
    <w:unhideWhenUsed/>
    <w:rsid w:val="004C7DC8"/>
    <w:pPr>
      <w:spacing w:after="120" w:line="240" w:lineRule="auto"/>
      <w:ind w:left="283"/>
      <w:jc w:val="both"/>
    </w:pPr>
    <w:rPr>
      <w:rFonts w:ascii="Times New Roman" w:eastAsia="Times New Roman" w:hAnsi="Times New Roman" w:cs="Times New Roman"/>
      <w:sz w:val="16"/>
      <w:lang w:val="en-GB" w:eastAsia="en-GB"/>
    </w:rPr>
  </w:style>
  <w:style w:type="character" w:customStyle="1" w:styleId="BodyTextIndent3Char1">
    <w:name w:val="Body Text Indent 3 Char1"/>
    <w:basedOn w:val="DefaultParagraphFont"/>
    <w:uiPriority w:val="99"/>
    <w:semiHidden/>
    <w:rsid w:val="004C7DC8"/>
    <w:rPr>
      <w:sz w:val="16"/>
      <w:szCs w:val="16"/>
    </w:rPr>
  </w:style>
  <w:style w:type="character" w:customStyle="1" w:styleId="DocumentMapChar">
    <w:name w:val="Document Map Char"/>
    <w:basedOn w:val="DefaultParagraphFont"/>
    <w:link w:val="DocumentMap"/>
    <w:semiHidden/>
    <w:rsid w:val="004C7DC8"/>
    <w:rPr>
      <w:rFonts w:ascii="Tahoma" w:eastAsia="Times New Roman" w:hAnsi="Tahoma" w:cs="Times New Roman"/>
      <w:sz w:val="24"/>
      <w:shd w:val="clear" w:color="auto" w:fill="000080"/>
      <w:lang w:val="en-GB" w:eastAsia="en-GB"/>
    </w:rPr>
  </w:style>
  <w:style w:type="paragraph" w:styleId="DocumentMap">
    <w:name w:val="Document Map"/>
    <w:basedOn w:val="Normal"/>
    <w:link w:val="DocumentMapChar"/>
    <w:semiHidden/>
    <w:unhideWhenUsed/>
    <w:rsid w:val="004C7DC8"/>
    <w:pPr>
      <w:shd w:val="clear" w:color="auto" w:fill="000080"/>
      <w:spacing w:after="240" w:line="240" w:lineRule="auto"/>
      <w:jc w:val="both"/>
    </w:pPr>
    <w:rPr>
      <w:rFonts w:ascii="Tahoma" w:eastAsia="Times New Roman" w:hAnsi="Tahoma" w:cs="Times New Roman"/>
      <w:sz w:val="24"/>
      <w:lang w:val="en-GB" w:eastAsia="en-GB"/>
    </w:rPr>
  </w:style>
  <w:style w:type="character" w:customStyle="1" w:styleId="DocumentMapChar1">
    <w:name w:val="Document Map Char1"/>
    <w:basedOn w:val="DefaultParagraphFont"/>
    <w:uiPriority w:val="99"/>
    <w:semiHidden/>
    <w:rsid w:val="004C7DC8"/>
    <w:rPr>
      <w:rFonts w:ascii="Segoe UI" w:hAnsi="Segoe UI" w:cs="Segoe UI"/>
      <w:sz w:val="16"/>
      <w:szCs w:val="16"/>
    </w:rPr>
  </w:style>
  <w:style w:type="character" w:customStyle="1" w:styleId="PlainTextChar">
    <w:name w:val="Plain Text Char"/>
    <w:basedOn w:val="DefaultParagraphFont"/>
    <w:link w:val="PlainText"/>
    <w:semiHidden/>
    <w:rsid w:val="004C7DC8"/>
    <w:rPr>
      <w:rFonts w:ascii="Courier New" w:eastAsia="Times New Roman" w:hAnsi="Courier New" w:cs="Times New Roman"/>
      <w:sz w:val="20"/>
      <w:lang w:val="en-GB" w:eastAsia="en-GB"/>
    </w:rPr>
  </w:style>
  <w:style w:type="paragraph" w:styleId="PlainText">
    <w:name w:val="Plain Text"/>
    <w:basedOn w:val="Normal"/>
    <w:link w:val="PlainTextChar"/>
    <w:semiHidden/>
    <w:unhideWhenUsed/>
    <w:rsid w:val="004C7DC8"/>
    <w:pPr>
      <w:spacing w:after="240" w:line="240" w:lineRule="auto"/>
      <w:jc w:val="both"/>
    </w:pPr>
    <w:rPr>
      <w:rFonts w:ascii="Courier New" w:eastAsia="Times New Roman" w:hAnsi="Courier New" w:cs="Times New Roman"/>
      <w:sz w:val="20"/>
      <w:lang w:val="en-GB" w:eastAsia="en-GB"/>
    </w:rPr>
  </w:style>
  <w:style w:type="character" w:customStyle="1" w:styleId="PlainTextChar1">
    <w:name w:val="Plain Text Char1"/>
    <w:basedOn w:val="DefaultParagraphFont"/>
    <w:uiPriority w:val="99"/>
    <w:semiHidden/>
    <w:rsid w:val="004C7DC8"/>
    <w:rPr>
      <w:rFonts w:ascii="Consolas" w:hAnsi="Consolas" w:cs="Consolas"/>
      <w:sz w:val="21"/>
      <w:szCs w:val="21"/>
    </w:rPr>
  </w:style>
  <w:style w:type="character" w:customStyle="1" w:styleId="CommentSubjectChar">
    <w:name w:val="Comment Subject Char"/>
    <w:basedOn w:val="CommentTextChar"/>
    <w:link w:val="CommentSubject"/>
    <w:semiHidden/>
    <w:rsid w:val="004C7DC8"/>
    <w:rPr>
      <w:rFonts w:ascii="Times New Roman" w:eastAsia="Calibri" w:hAnsi="Times New Roman" w:cs="Arial"/>
      <w:b/>
      <w:bCs/>
      <w:sz w:val="20"/>
      <w:szCs w:val="20"/>
      <w:lang w:val="en-US"/>
    </w:rPr>
  </w:style>
  <w:style w:type="paragraph" w:styleId="CommentSubject">
    <w:name w:val="annotation subject"/>
    <w:basedOn w:val="CommentText"/>
    <w:next w:val="CommentText"/>
    <w:link w:val="CommentSubjectChar"/>
    <w:semiHidden/>
    <w:unhideWhenUsed/>
    <w:rsid w:val="004C7DC8"/>
    <w:rPr>
      <w:b/>
      <w:bCs/>
    </w:rPr>
  </w:style>
  <w:style w:type="character" w:customStyle="1" w:styleId="CommentSubjectChar1">
    <w:name w:val="Comment Subject Char1"/>
    <w:basedOn w:val="CommentTextChar"/>
    <w:uiPriority w:val="99"/>
    <w:semiHidden/>
    <w:rsid w:val="004C7DC8"/>
    <w:rPr>
      <w:rFonts w:ascii="Times New Roman" w:eastAsia="Calibri" w:hAnsi="Times New Roman" w:cs="Arial"/>
      <w:b/>
      <w:bCs/>
      <w:sz w:val="20"/>
      <w:szCs w:val="20"/>
      <w:lang w:val="en-US"/>
    </w:rPr>
  </w:style>
  <w:style w:type="character" w:customStyle="1" w:styleId="BalloonTextChar">
    <w:name w:val="Balloon Text Char"/>
    <w:basedOn w:val="DefaultParagraphFont"/>
    <w:link w:val="BalloonText"/>
    <w:semiHidden/>
    <w:rsid w:val="004C7DC8"/>
    <w:rPr>
      <w:rFonts w:ascii="Tahoma" w:eastAsia="Calibri" w:hAnsi="Tahoma" w:cs="Tahoma"/>
      <w:sz w:val="16"/>
      <w:szCs w:val="16"/>
    </w:rPr>
  </w:style>
  <w:style w:type="paragraph" w:styleId="BalloonText">
    <w:name w:val="Balloon Text"/>
    <w:basedOn w:val="Normal"/>
    <w:link w:val="BalloonTextChar"/>
    <w:semiHidden/>
    <w:unhideWhenUsed/>
    <w:rsid w:val="004C7DC8"/>
    <w:pPr>
      <w:spacing w:after="0" w:line="36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C7DC8"/>
    <w:rPr>
      <w:rFonts w:ascii="Segoe UI" w:hAnsi="Segoe UI" w:cs="Segoe UI"/>
      <w:sz w:val="18"/>
      <w:szCs w:val="18"/>
    </w:rPr>
  </w:style>
  <w:style w:type="paragraph" w:styleId="NoSpacing">
    <w:name w:val="No Spacing"/>
    <w:uiPriority w:val="1"/>
    <w:qFormat/>
    <w:rsid w:val="004C7DC8"/>
    <w:pPr>
      <w:spacing w:after="0" w:line="240" w:lineRule="auto"/>
    </w:pPr>
    <w:rPr>
      <w:lang w:val="en-GB"/>
    </w:rPr>
  </w:style>
  <w:style w:type="paragraph" w:styleId="Quote">
    <w:name w:val="Quote"/>
    <w:basedOn w:val="Normal"/>
    <w:next w:val="Normal"/>
    <w:link w:val="QuoteChar"/>
    <w:uiPriority w:val="29"/>
    <w:qFormat/>
    <w:rsid w:val="004C7DC8"/>
    <w:pPr>
      <w:spacing w:after="240" w:line="240" w:lineRule="auto"/>
      <w:jc w:val="both"/>
    </w:pPr>
    <w:rPr>
      <w:rFonts w:ascii="Times New Roman" w:eastAsia="Times New Roman" w:hAnsi="Times New Roman" w:cs="Times New Roman"/>
      <w:i/>
      <w:iCs/>
      <w:color w:val="000000"/>
      <w:sz w:val="24"/>
      <w:szCs w:val="20"/>
      <w:lang w:val="en-GB" w:eastAsia="en-GB"/>
    </w:rPr>
  </w:style>
  <w:style w:type="character" w:customStyle="1" w:styleId="QuoteChar">
    <w:name w:val="Quote Char"/>
    <w:basedOn w:val="DefaultParagraphFont"/>
    <w:link w:val="Quote"/>
    <w:uiPriority w:val="29"/>
    <w:rsid w:val="004C7DC8"/>
    <w:rPr>
      <w:rFonts w:ascii="Times New Roman" w:eastAsia="Times New Roman" w:hAnsi="Times New Roman" w:cs="Times New Roman"/>
      <w:i/>
      <w:iCs/>
      <w:color w:val="000000"/>
      <w:sz w:val="24"/>
      <w:szCs w:val="20"/>
      <w:lang w:val="en-GB" w:eastAsia="en-GB"/>
    </w:rPr>
  </w:style>
  <w:style w:type="paragraph" w:customStyle="1" w:styleId="EntInstit">
    <w:name w:val="EntInstit"/>
    <w:basedOn w:val="Normal"/>
    <w:rsid w:val="004C7DC8"/>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
    <w:rsid w:val="004C7DC8"/>
    <w:pPr>
      <w:spacing w:after="0" w:line="240" w:lineRule="auto"/>
    </w:pPr>
    <w:rPr>
      <w:rFonts w:ascii="Times New Roman" w:eastAsia="Calibri" w:hAnsi="Times New Roman" w:cs="Arial"/>
      <w:b/>
      <w:sz w:val="24"/>
      <w:lang w:val="en-US"/>
    </w:rPr>
  </w:style>
  <w:style w:type="paragraph" w:customStyle="1" w:styleId="Par-number10">
    <w:name w:val="Par-number 1)"/>
    <w:basedOn w:val="Normal"/>
    <w:next w:val="Normal"/>
    <w:rsid w:val="004C7DC8"/>
    <w:pPr>
      <w:numPr>
        <w:numId w:val="29"/>
      </w:numPr>
      <w:spacing w:after="0" w:line="360" w:lineRule="auto"/>
    </w:pPr>
    <w:rPr>
      <w:rFonts w:ascii="Times New Roman" w:eastAsia="Calibri" w:hAnsi="Times New Roman" w:cs="Arial"/>
      <w:sz w:val="24"/>
      <w:lang w:val="en-US"/>
    </w:rPr>
  </w:style>
  <w:style w:type="paragraph" w:customStyle="1" w:styleId="EntEmet">
    <w:name w:val="EntEmet"/>
    <w:basedOn w:val="Normal"/>
    <w:rsid w:val="004C7DC8"/>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
    <w:next w:val="Normal"/>
    <w:rsid w:val="004C7DC8"/>
    <w:pPr>
      <w:numPr>
        <w:numId w:val="30"/>
      </w:numPr>
      <w:spacing w:after="0" w:line="360" w:lineRule="auto"/>
    </w:pPr>
    <w:rPr>
      <w:rFonts w:ascii="Times New Roman" w:eastAsia="Calibri" w:hAnsi="Times New Roman" w:cs="Arial"/>
      <w:sz w:val="24"/>
      <w:lang w:val="en-US"/>
    </w:rPr>
  </w:style>
  <w:style w:type="paragraph" w:customStyle="1" w:styleId="Par-equal">
    <w:name w:val="Par-equal"/>
    <w:basedOn w:val="Normal"/>
    <w:next w:val="Normal"/>
    <w:rsid w:val="004C7DC8"/>
    <w:pPr>
      <w:numPr>
        <w:numId w:val="31"/>
      </w:numPr>
      <w:spacing w:after="0" w:line="360" w:lineRule="auto"/>
    </w:pPr>
    <w:rPr>
      <w:rFonts w:ascii="Times New Roman" w:eastAsia="Calibri" w:hAnsi="Times New Roman" w:cs="Arial"/>
      <w:sz w:val="24"/>
      <w:lang w:val="en-US"/>
    </w:rPr>
  </w:style>
  <w:style w:type="paragraph" w:customStyle="1" w:styleId="Par-number1">
    <w:name w:val="Par-number (1)"/>
    <w:basedOn w:val="Normal"/>
    <w:next w:val="Normal"/>
    <w:rsid w:val="004C7DC8"/>
    <w:pPr>
      <w:numPr>
        <w:numId w:val="32"/>
      </w:numPr>
      <w:spacing w:after="0" w:line="360" w:lineRule="auto"/>
    </w:pPr>
    <w:rPr>
      <w:rFonts w:ascii="Times New Roman" w:eastAsia="Calibri" w:hAnsi="Times New Roman" w:cs="Arial"/>
      <w:sz w:val="24"/>
      <w:lang w:val="en-US"/>
    </w:rPr>
  </w:style>
  <w:style w:type="paragraph" w:customStyle="1" w:styleId="Par-number11">
    <w:name w:val="Par-number 1."/>
    <w:basedOn w:val="Normal"/>
    <w:next w:val="Normal"/>
    <w:rsid w:val="004C7DC8"/>
    <w:pPr>
      <w:numPr>
        <w:numId w:val="33"/>
      </w:numPr>
      <w:spacing w:after="0" w:line="360" w:lineRule="auto"/>
    </w:pPr>
    <w:rPr>
      <w:rFonts w:ascii="Times New Roman" w:eastAsia="Calibri" w:hAnsi="Times New Roman" w:cs="Arial"/>
      <w:sz w:val="24"/>
      <w:lang w:val="en-US"/>
    </w:rPr>
  </w:style>
  <w:style w:type="paragraph" w:customStyle="1" w:styleId="Par-dash">
    <w:name w:val="Par-dash"/>
    <w:basedOn w:val="Normal"/>
    <w:next w:val="Normal"/>
    <w:rsid w:val="004C7DC8"/>
    <w:pPr>
      <w:numPr>
        <w:numId w:val="34"/>
      </w:numPr>
      <w:spacing w:after="0" w:line="360" w:lineRule="auto"/>
    </w:pPr>
    <w:rPr>
      <w:rFonts w:ascii="Times New Roman" w:eastAsia="Calibri" w:hAnsi="Times New Roman" w:cs="Arial"/>
      <w:sz w:val="24"/>
      <w:lang w:val="en-US"/>
    </w:rPr>
  </w:style>
  <w:style w:type="paragraph" w:customStyle="1" w:styleId="EntLogo">
    <w:name w:val="EntLogo"/>
    <w:basedOn w:val="Normal"/>
    <w:next w:val="EntInstit"/>
    <w:rsid w:val="004C7DC8"/>
    <w:pPr>
      <w:spacing w:after="0" w:line="360" w:lineRule="auto"/>
    </w:pPr>
    <w:rPr>
      <w:rFonts w:ascii="Times New Roman" w:eastAsia="Calibri" w:hAnsi="Times New Roman" w:cs="Arial"/>
      <w:b/>
      <w:sz w:val="24"/>
      <w:lang w:val="en-US"/>
    </w:rPr>
  </w:style>
  <w:style w:type="paragraph" w:customStyle="1" w:styleId="Par-numberA">
    <w:name w:val="Par-number A."/>
    <w:basedOn w:val="Normal"/>
    <w:next w:val="Normal"/>
    <w:rsid w:val="004C7DC8"/>
    <w:pPr>
      <w:numPr>
        <w:numId w:val="35"/>
      </w:numPr>
      <w:spacing w:after="0" w:line="360" w:lineRule="auto"/>
    </w:pPr>
    <w:rPr>
      <w:rFonts w:ascii="Times New Roman" w:eastAsia="Calibri" w:hAnsi="Times New Roman" w:cs="Arial"/>
      <w:sz w:val="24"/>
      <w:lang w:val="en-US"/>
    </w:rPr>
  </w:style>
  <w:style w:type="paragraph" w:customStyle="1" w:styleId="AC">
    <w:name w:val="AC"/>
    <w:basedOn w:val="Normal"/>
    <w:next w:val="Normal"/>
    <w:rsid w:val="004C7DC8"/>
    <w:pPr>
      <w:spacing w:after="0" w:line="360" w:lineRule="auto"/>
    </w:pPr>
    <w:rPr>
      <w:rFonts w:ascii="Times New Roman" w:eastAsia="Calibri" w:hAnsi="Times New Roman" w:cs="Arial"/>
      <w:b/>
      <w:sz w:val="40"/>
      <w:lang w:val="en-US"/>
    </w:rPr>
  </w:style>
  <w:style w:type="paragraph" w:customStyle="1" w:styleId="Par-numberi">
    <w:name w:val="Par-number (i)"/>
    <w:basedOn w:val="Normal"/>
    <w:next w:val="Normal"/>
    <w:rsid w:val="004C7DC8"/>
    <w:pPr>
      <w:numPr>
        <w:numId w:val="36"/>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
    <w:next w:val="Normal"/>
    <w:rsid w:val="004C7DC8"/>
    <w:pPr>
      <w:numPr>
        <w:numId w:val="37"/>
      </w:numPr>
      <w:spacing w:after="0" w:line="360" w:lineRule="auto"/>
    </w:pPr>
    <w:rPr>
      <w:rFonts w:ascii="Times New Roman" w:eastAsia="Calibri" w:hAnsi="Times New Roman" w:cs="Arial"/>
      <w:sz w:val="24"/>
      <w:lang w:val="en-US"/>
    </w:rPr>
  </w:style>
  <w:style w:type="paragraph" w:customStyle="1" w:styleId="AddReference">
    <w:name w:val="Add Reference"/>
    <w:basedOn w:val="Normal"/>
    <w:rsid w:val="004C7DC8"/>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ChapterTitle">
    <w:name w:val="ChapterTitle"/>
    <w:basedOn w:val="Normal"/>
    <w:next w:val="Normal"/>
    <w:rsid w:val="004C7DC8"/>
    <w:pPr>
      <w:keepNext/>
      <w:spacing w:before="120" w:after="360" w:line="240" w:lineRule="auto"/>
      <w:jc w:val="center"/>
    </w:pPr>
    <w:rPr>
      <w:rFonts w:ascii="Times New Roman" w:eastAsia="Calibri" w:hAnsi="Times New Roman" w:cs="Times New Roman"/>
      <w:b/>
      <w:sz w:val="32"/>
      <w:lang w:val="en-GB"/>
    </w:rPr>
  </w:style>
  <w:style w:type="paragraph" w:customStyle="1" w:styleId="SectionTitle">
    <w:name w:val="SectionTitle"/>
    <w:basedOn w:val="Normal"/>
    <w:next w:val="Heading1"/>
    <w:rsid w:val="004C7DC8"/>
    <w:pPr>
      <w:keepNext/>
      <w:spacing w:before="120" w:after="360" w:line="240" w:lineRule="auto"/>
      <w:jc w:val="center"/>
    </w:pPr>
    <w:rPr>
      <w:rFonts w:ascii="Times New Roman" w:eastAsia="Calibri" w:hAnsi="Times New Roman" w:cs="Times New Roman"/>
      <w:b/>
      <w:smallCaps/>
      <w:sz w:val="28"/>
      <w:lang w:val="en-GB"/>
    </w:rPr>
  </w:style>
  <w:style w:type="paragraph" w:customStyle="1" w:styleId="ManualNumPar1">
    <w:name w:val="Manual NumPar 1"/>
    <w:basedOn w:val="Normal"/>
    <w:next w:val="Normal"/>
    <w:rsid w:val="004C7DC8"/>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4C7DC8"/>
    <w:pPr>
      <w:keepNext/>
      <w:spacing w:before="360" w:after="120" w:line="240" w:lineRule="auto"/>
      <w:jc w:val="center"/>
    </w:pPr>
    <w:rPr>
      <w:rFonts w:ascii="Times New Roman" w:eastAsia="Calibri" w:hAnsi="Times New Roman" w:cs="Times New Roman"/>
      <w:i/>
      <w:sz w:val="24"/>
      <w:lang w:val="en-GB"/>
    </w:rPr>
  </w:style>
  <w:style w:type="paragraph" w:customStyle="1" w:styleId="Point2">
    <w:name w:val="Point 2"/>
    <w:basedOn w:val="Normal"/>
    <w:rsid w:val="004C7DC8"/>
    <w:pPr>
      <w:spacing w:before="120" w:after="120" w:line="240" w:lineRule="auto"/>
      <w:ind w:left="1984" w:hanging="567"/>
      <w:jc w:val="both"/>
    </w:pPr>
    <w:rPr>
      <w:rFonts w:ascii="Times New Roman" w:eastAsia="Calibri" w:hAnsi="Times New Roman" w:cs="Times New Roman"/>
      <w:sz w:val="24"/>
      <w:lang w:val="en-GB"/>
    </w:rPr>
  </w:style>
  <w:style w:type="paragraph" w:customStyle="1" w:styleId="Point0number">
    <w:name w:val="Point 0 (number)"/>
    <w:basedOn w:val="Normal"/>
    <w:rsid w:val="004C7DC8"/>
    <w:pPr>
      <w:numPr>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number">
    <w:name w:val="Point 1 (number)"/>
    <w:basedOn w:val="Normal"/>
    <w:rsid w:val="004C7DC8"/>
    <w:pPr>
      <w:numPr>
        <w:ilvl w:val="2"/>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2number">
    <w:name w:val="Point 2 (number)"/>
    <w:basedOn w:val="Normal"/>
    <w:rsid w:val="004C7DC8"/>
    <w:pPr>
      <w:numPr>
        <w:ilvl w:val="4"/>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number">
    <w:name w:val="Point 3 (number)"/>
    <w:basedOn w:val="Normal"/>
    <w:rsid w:val="004C7DC8"/>
    <w:pPr>
      <w:numPr>
        <w:ilvl w:val="6"/>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0letter">
    <w:name w:val="Point 0 (letter)"/>
    <w:basedOn w:val="Normal"/>
    <w:rsid w:val="004C7DC8"/>
    <w:pPr>
      <w:numPr>
        <w:ilvl w:val="1"/>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letter">
    <w:name w:val="Point 1 (letter)"/>
    <w:basedOn w:val="Normal"/>
    <w:rsid w:val="004C7DC8"/>
    <w:p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4C7DC8"/>
    <w:pPr>
      <w:numPr>
        <w:ilvl w:val="5"/>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letter">
    <w:name w:val="Point 3 (letter)"/>
    <w:basedOn w:val="Normal"/>
    <w:rsid w:val="004C7DC8"/>
    <w:pPr>
      <w:numPr>
        <w:ilvl w:val="7"/>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4letter">
    <w:name w:val="Point 4 (letter)"/>
    <w:basedOn w:val="Normal"/>
    <w:rsid w:val="004C7DC8"/>
    <w:pPr>
      <w:numPr>
        <w:ilvl w:val="8"/>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Considerant">
    <w:name w:val="Considerant"/>
    <w:basedOn w:val="ListParagraph"/>
    <w:rsid w:val="004C7DC8"/>
    <w:pPr>
      <w:numPr>
        <w:numId w:val="39"/>
      </w:numPr>
      <w:tabs>
        <w:tab w:val="num" w:pos="567"/>
      </w:tabs>
      <w:spacing w:before="0" w:after="200" w:line="276" w:lineRule="auto"/>
      <w:ind w:left="567" w:hanging="567"/>
    </w:pPr>
    <w:rPr>
      <w:rFonts w:eastAsia="Times New Roman"/>
      <w:sz w:val="22"/>
      <w:lang w:eastAsia="en-GB"/>
    </w:rPr>
  </w:style>
  <w:style w:type="paragraph" w:customStyle="1" w:styleId="ManualConsidrant">
    <w:name w:val="Manual Considérant"/>
    <w:basedOn w:val="Normal"/>
    <w:rsid w:val="004C7DC8"/>
    <w:pPr>
      <w:spacing w:before="120" w:after="120" w:line="240" w:lineRule="auto"/>
      <w:ind w:left="709" w:hanging="709"/>
      <w:jc w:val="both"/>
    </w:pPr>
    <w:rPr>
      <w:rFonts w:ascii="Times New Roman" w:eastAsia="Calibri" w:hAnsi="Times New Roman" w:cs="Times New Roman"/>
      <w:sz w:val="24"/>
      <w:lang w:val="en-GB"/>
    </w:rPr>
  </w:style>
  <w:style w:type="paragraph" w:customStyle="1" w:styleId="Default">
    <w:name w:val="Default"/>
    <w:rsid w:val="004C7DC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3">
    <w:name w:val="CM3"/>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customStyle="1" w:styleId="AnnexetitreChar">
    <w:name w:val="Annexe titre Char"/>
    <w:link w:val="Annexetitre"/>
    <w:locked/>
    <w:rsid w:val="004C7DC8"/>
    <w:rPr>
      <w:rFonts w:ascii="Times New Roman" w:eastAsia="Calibri" w:hAnsi="Times New Roman" w:cs="Times New Roman"/>
      <w:b/>
      <w:sz w:val="24"/>
      <w:szCs w:val="20"/>
      <w:u w:val="single"/>
      <w:lang w:val="en-GB" w:eastAsia="en-GB"/>
    </w:rPr>
  </w:style>
  <w:style w:type="paragraph" w:customStyle="1" w:styleId="Annexetitre">
    <w:name w:val="Annexe titre"/>
    <w:basedOn w:val="Normal"/>
    <w:next w:val="Normal"/>
    <w:link w:val="AnnexetitreChar"/>
    <w:rsid w:val="004C7DC8"/>
    <w:pPr>
      <w:spacing w:before="120" w:after="120" w:line="240" w:lineRule="auto"/>
      <w:jc w:val="center"/>
    </w:pPr>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rsid w:val="004C7DC8"/>
    <w:pPr>
      <w:spacing w:after="0" w:line="240" w:lineRule="auto"/>
      <w:jc w:val="both"/>
    </w:pPr>
    <w:rPr>
      <w:rFonts w:ascii="Times New Roman" w:eastAsia="Calibri" w:hAnsi="Times New Roman" w:cs="Times New Roman"/>
      <w:sz w:val="24"/>
      <w:szCs w:val="20"/>
      <w:lang w:val="en-GB" w:eastAsia="en-GB"/>
    </w:rPr>
  </w:style>
  <w:style w:type="character" w:customStyle="1" w:styleId="FooterCoverPageChar">
    <w:name w:val="Footer Cover Page Char"/>
    <w:basedOn w:val="AnnexetitreChar"/>
    <w:link w:val="FooterCoverPage"/>
    <w:locked/>
    <w:rsid w:val="004C7DC8"/>
    <w:rPr>
      <w:rFonts w:ascii="Times New Roman" w:eastAsia="Calibri" w:hAnsi="Times New Roman" w:cs="Times New Roman"/>
      <w:b w:val="0"/>
      <w:sz w:val="24"/>
      <w:szCs w:val="20"/>
      <w:u w:val="single"/>
      <w:lang w:val="en-GB" w:eastAsia="en-GB"/>
    </w:rPr>
  </w:style>
  <w:style w:type="paragraph" w:customStyle="1" w:styleId="FooterCoverPage">
    <w:name w:val="Footer Cover Page"/>
    <w:basedOn w:val="Normal"/>
    <w:link w:val="FooterCoverPageChar"/>
    <w:rsid w:val="004C7DC8"/>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en-GB" w:eastAsia="en-GB"/>
    </w:rPr>
  </w:style>
  <w:style w:type="character" w:customStyle="1" w:styleId="FooterSensitivityChar">
    <w:name w:val="Footer Sensitivity Char"/>
    <w:basedOn w:val="AnnexetitreChar"/>
    <w:link w:val="FooterSensitivity"/>
    <w:locked/>
    <w:rsid w:val="004C7DC8"/>
    <w:rPr>
      <w:rFonts w:ascii="Times New Roman" w:eastAsia="Calibri" w:hAnsi="Times New Roman" w:cs="Times New Roman"/>
      <w:b/>
      <w:sz w:val="32"/>
      <w:szCs w:val="20"/>
      <w:u w:val="single"/>
      <w:lang w:val="en-GB" w:eastAsia="en-GB"/>
    </w:rPr>
  </w:style>
  <w:style w:type="paragraph" w:customStyle="1" w:styleId="FooterSensitivity">
    <w:name w:val="Footer Sensitivity"/>
    <w:basedOn w:val="Normal"/>
    <w:link w:val="FooterSensitivityChar"/>
    <w:rsid w:val="004C7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en-GB" w:eastAsia="en-GB"/>
    </w:rPr>
  </w:style>
  <w:style w:type="character" w:customStyle="1" w:styleId="HeaderCoverPageChar">
    <w:name w:val="Header Cover Page Char"/>
    <w:basedOn w:val="AnnexetitreChar"/>
    <w:link w:val="HeaderCoverPage"/>
    <w:locked/>
    <w:rsid w:val="004C7DC8"/>
    <w:rPr>
      <w:rFonts w:ascii="Times New Roman" w:eastAsia="Calibri" w:hAnsi="Times New Roman" w:cs="Times New Roman"/>
      <w:b w:val="0"/>
      <w:sz w:val="24"/>
      <w:szCs w:val="20"/>
      <w:u w:val="single"/>
      <w:lang w:val="en-GB" w:eastAsia="en-GB"/>
    </w:rPr>
  </w:style>
  <w:style w:type="paragraph" w:customStyle="1" w:styleId="HeaderCoverPage">
    <w:name w:val="Header Cover Page"/>
    <w:basedOn w:val="Normal"/>
    <w:link w:val="HeaderCoverPageChar"/>
    <w:rsid w:val="004C7DC8"/>
    <w:pPr>
      <w:tabs>
        <w:tab w:val="center" w:pos="4535"/>
        <w:tab w:val="right" w:pos="9071"/>
      </w:tabs>
      <w:spacing w:after="120" w:line="240" w:lineRule="auto"/>
      <w:jc w:val="both"/>
    </w:pPr>
    <w:rPr>
      <w:rFonts w:ascii="Times New Roman" w:eastAsia="Calibri" w:hAnsi="Times New Roman" w:cs="Times New Roman"/>
      <w:sz w:val="24"/>
      <w:szCs w:val="20"/>
      <w:u w:val="single"/>
      <w:lang w:val="en-GB" w:eastAsia="en-GB"/>
    </w:rPr>
  </w:style>
  <w:style w:type="character" w:customStyle="1" w:styleId="HeaderSensitivityChar">
    <w:name w:val="Header Sensitivity Char"/>
    <w:basedOn w:val="AnnexetitreChar"/>
    <w:link w:val="HeaderSensitivity"/>
    <w:locked/>
    <w:rsid w:val="004C7DC8"/>
    <w:rPr>
      <w:rFonts w:ascii="Times New Roman" w:eastAsia="Calibri" w:hAnsi="Times New Roman" w:cs="Times New Roman"/>
      <w:b/>
      <w:sz w:val="32"/>
      <w:szCs w:val="20"/>
      <w:u w:val="single"/>
      <w:lang w:val="en-GB" w:eastAsia="en-GB"/>
    </w:rPr>
  </w:style>
  <w:style w:type="paragraph" w:customStyle="1" w:styleId="HeaderSensitivity">
    <w:name w:val="Header Sensitivity"/>
    <w:basedOn w:val="Normal"/>
    <w:link w:val="HeaderSensitivityChar"/>
    <w:rsid w:val="004C7D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en-GB" w:eastAsia="en-GB"/>
    </w:rPr>
  </w:style>
  <w:style w:type="paragraph" w:customStyle="1" w:styleId="CM4">
    <w:name w:val="CM4"/>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customStyle="1" w:styleId="NumPar1">
    <w:name w:val="NumPar 1"/>
    <w:basedOn w:val="Normal"/>
    <w:next w:val="Normal"/>
    <w:rsid w:val="004C7DC8"/>
    <w:pPr>
      <w:spacing w:before="120" w:after="120" w:line="240" w:lineRule="auto"/>
      <w:ind w:left="850"/>
      <w:jc w:val="both"/>
    </w:pPr>
    <w:rPr>
      <w:rFonts w:ascii="Times New Roman" w:hAnsi="Times New Roman" w:cs="Times New Roman"/>
      <w:sz w:val="24"/>
      <w:lang w:val="en-GB" w:eastAsia="en-GB"/>
    </w:rPr>
  </w:style>
  <w:style w:type="paragraph" w:customStyle="1" w:styleId="AddressTL">
    <w:name w:val="AddressTL"/>
    <w:basedOn w:val="Normal"/>
    <w:next w:val="Normal"/>
    <w:rsid w:val="004C7DC8"/>
    <w:pPr>
      <w:spacing w:after="720" w:line="240" w:lineRule="auto"/>
    </w:pPr>
    <w:rPr>
      <w:rFonts w:ascii="Times New Roman" w:eastAsia="Times New Roman" w:hAnsi="Times New Roman" w:cs="Times New Roman"/>
      <w:sz w:val="24"/>
      <w:lang w:val="en-GB" w:eastAsia="en-GB"/>
    </w:rPr>
  </w:style>
  <w:style w:type="paragraph" w:customStyle="1" w:styleId="DoubSign">
    <w:name w:val="DoubSign"/>
    <w:basedOn w:val="Normal"/>
    <w:next w:val="Contact"/>
    <w:rsid w:val="004C7DC8"/>
    <w:pPr>
      <w:tabs>
        <w:tab w:val="left" w:pos="5103"/>
      </w:tabs>
      <w:spacing w:before="1200" w:after="0" w:line="240" w:lineRule="auto"/>
    </w:pPr>
    <w:rPr>
      <w:rFonts w:ascii="Times New Roman" w:eastAsia="Times New Roman" w:hAnsi="Times New Roman" w:cs="Times New Roman"/>
      <w:sz w:val="24"/>
      <w:lang w:val="en-GB" w:eastAsia="en-GB"/>
    </w:rPr>
  </w:style>
  <w:style w:type="paragraph" w:customStyle="1" w:styleId="Subject">
    <w:name w:val="Subject"/>
    <w:basedOn w:val="Normal"/>
    <w:next w:val="Normal"/>
    <w:rsid w:val="004C7DC8"/>
    <w:pPr>
      <w:spacing w:after="480" w:line="240" w:lineRule="auto"/>
      <w:ind w:left="1531" w:hanging="1531"/>
    </w:pPr>
    <w:rPr>
      <w:rFonts w:ascii="Times New Roman" w:eastAsia="Times New Roman" w:hAnsi="Times New Roman" w:cs="Times New Roman"/>
      <w:b/>
      <w:sz w:val="24"/>
      <w:lang w:val="en-GB" w:eastAsia="en-GB"/>
    </w:rPr>
  </w:style>
  <w:style w:type="paragraph" w:customStyle="1" w:styleId="NoteHead">
    <w:name w:val="NoteHead"/>
    <w:basedOn w:val="Normal"/>
    <w:next w:val="Subject"/>
    <w:rsid w:val="004C7DC8"/>
    <w:pPr>
      <w:spacing w:before="720" w:after="720" w:line="240" w:lineRule="auto"/>
      <w:jc w:val="center"/>
    </w:pPr>
    <w:rPr>
      <w:rFonts w:ascii="Times New Roman" w:eastAsia="Times New Roman" w:hAnsi="Times New Roman" w:cs="Times New Roman"/>
      <w:b/>
      <w:smallCaps/>
      <w:sz w:val="24"/>
      <w:lang w:val="en-GB" w:eastAsia="en-GB"/>
    </w:rPr>
  </w:style>
  <w:style w:type="paragraph" w:customStyle="1" w:styleId="NoteList">
    <w:name w:val="NoteList"/>
    <w:basedOn w:val="Normal"/>
    <w:next w:val="Subject"/>
    <w:rsid w:val="004C7DC8"/>
    <w:pPr>
      <w:tabs>
        <w:tab w:val="left" w:pos="5823"/>
      </w:tabs>
      <w:spacing w:before="720" w:after="720" w:line="240" w:lineRule="auto"/>
      <w:ind w:left="5104" w:hanging="3119"/>
    </w:pPr>
    <w:rPr>
      <w:rFonts w:ascii="Times New Roman" w:eastAsia="Times New Roman" w:hAnsi="Times New Roman" w:cs="Times New Roman"/>
      <w:b/>
      <w:smallCaps/>
      <w:sz w:val="24"/>
      <w:lang w:val="en-GB" w:eastAsia="en-GB"/>
    </w:rPr>
  </w:style>
  <w:style w:type="paragraph" w:customStyle="1" w:styleId="YReferences">
    <w:name w:val="YReferences"/>
    <w:basedOn w:val="Normal"/>
    <w:next w:val="Normal"/>
    <w:rsid w:val="004C7DC8"/>
    <w:pPr>
      <w:spacing w:after="480" w:line="240" w:lineRule="auto"/>
      <w:ind w:left="1531" w:hanging="1531"/>
      <w:jc w:val="both"/>
    </w:pPr>
    <w:rPr>
      <w:rFonts w:ascii="Times New Roman" w:eastAsia="Times New Roman" w:hAnsi="Times New Roman" w:cs="Times New Roman"/>
      <w:sz w:val="24"/>
      <w:lang w:val="en-GB" w:eastAsia="en-GB"/>
    </w:rPr>
  </w:style>
  <w:style w:type="paragraph" w:customStyle="1" w:styleId="ListBullet1">
    <w:name w:val="List Bullet 1"/>
    <w:basedOn w:val="Text1"/>
    <w:rsid w:val="004C7DC8"/>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4C7DC8"/>
    <w:pPr>
      <w:numPr>
        <w:numId w:val="40"/>
      </w:numPr>
      <w:spacing w:after="240" w:line="240" w:lineRule="auto"/>
      <w:jc w:val="both"/>
    </w:pPr>
    <w:rPr>
      <w:rFonts w:ascii="Times New Roman" w:eastAsia="Times New Roman" w:hAnsi="Times New Roman" w:cs="Times New Roman"/>
      <w:sz w:val="24"/>
      <w:lang w:val="en-GB" w:eastAsia="en-GB"/>
    </w:rPr>
  </w:style>
  <w:style w:type="paragraph" w:customStyle="1" w:styleId="ListDash1">
    <w:name w:val="List Dash 1"/>
    <w:basedOn w:val="Text1"/>
    <w:rsid w:val="004C7DC8"/>
    <w:pPr>
      <w:numPr>
        <w:numId w:val="41"/>
      </w:numPr>
      <w:tabs>
        <w:tab w:val="clear" w:pos="765"/>
      </w:tabs>
      <w:spacing w:before="0" w:after="240" w:line="240" w:lineRule="auto"/>
      <w:ind w:left="928" w:hanging="360"/>
      <w:jc w:val="both"/>
    </w:pPr>
    <w:rPr>
      <w:rFonts w:eastAsia="Times New Roman"/>
      <w:lang w:val="en-US" w:eastAsia="en-GB"/>
    </w:rPr>
  </w:style>
  <w:style w:type="paragraph" w:customStyle="1" w:styleId="ListDash2">
    <w:name w:val="List Dash 2"/>
    <w:basedOn w:val="Text2"/>
    <w:rsid w:val="004C7DC8"/>
    <w:pPr>
      <w:numPr>
        <w:numId w:val="42"/>
      </w:numPr>
      <w:spacing w:before="0" w:after="240" w:line="240" w:lineRule="auto"/>
      <w:jc w:val="both"/>
    </w:pPr>
    <w:rPr>
      <w:rFonts w:eastAsia="Times New Roman"/>
      <w:lang w:eastAsia="en-GB"/>
    </w:rPr>
  </w:style>
  <w:style w:type="paragraph" w:customStyle="1" w:styleId="ListDash3">
    <w:name w:val="List Dash 3"/>
    <w:basedOn w:val="Text3"/>
    <w:rsid w:val="004C7DC8"/>
    <w:pPr>
      <w:numPr>
        <w:numId w:val="43"/>
      </w:numPr>
      <w:spacing w:before="0" w:after="240" w:line="240" w:lineRule="auto"/>
      <w:jc w:val="both"/>
    </w:pPr>
    <w:rPr>
      <w:rFonts w:eastAsia="Times New Roman"/>
      <w:lang w:eastAsia="en-GB"/>
    </w:rPr>
  </w:style>
  <w:style w:type="paragraph" w:customStyle="1" w:styleId="ListDash4">
    <w:name w:val="List Dash 4"/>
    <w:basedOn w:val="Text4"/>
    <w:rsid w:val="004C7DC8"/>
    <w:pPr>
      <w:numPr>
        <w:numId w:val="44"/>
      </w:numPr>
      <w:spacing w:before="0" w:after="240" w:line="240" w:lineRule="auto"/>
      <w:jc w:val="both"/>
    </w:pPr>
    <w:rPr>
      <w:rFonts w:eastAsia="Times New Roman"/>
      <w:lang w:eastAsia="en-GB"/>
    </w:rPr>
  </w:style>
  <w:style w:type="paragraph" w:customStyle="1" w:styleId="ListNumberLevel2">
    <w:name w:val="List Number (Level 2)"/>
    <w:basedOn w:val="Normal"/>
    <w:rsid w:val="004C7DC8"/>
    <w:pPr>
      <w:numPr>
        <w:ilvl w:val="1"/>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3">
    <w:name w:val="List Number (Level 3)"/>
    <w:basedOn w:val="Normal"/>
    <w:rsid w:val="004C7DC8"/>
    <w:pPr>
      <w:numPr>
        <w:ilvl w:val="2"/>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4">
    <w:name w:val="List Number (Level 4)"/>
    <w:basedOn w:val="Normal"/>
    <w:rsid w:val="004C7DC8"/>
    <w:pPr>
      <w:numPr>
        <w:ilvl w:val="3"/>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1">
    <w:name w:val="List Number 1"/>
    <w:basedOn w:val="Text1"/>
    <w:rsid w:val="004C7DC8"/>
    <w:pPr>
      <w:numPr>
        <w:numId w:val="45"/>
      </w:numPr>
      <w:tabs>
        <w:tab w:val="clear" w:pos="1191"/>
        <w:tab w:val="num" w:pos="2199"/>
      </w:tabs>
      <w:spacing w:before="0" w:after="240" w:line="240" w:lineRule="auto"/>
      <w:ind w:left="2199" w:hanging="283"/>
      <w:jc w:val="both"/>
    </w:pPr>
    <w:rPr>
      <w:rFonts w:eastAsia="Times New Roman"/>
      <w:lang w:val="en-US" w:eastAsia="en-GB"/>
    </w:rPr>
  </w:style>
  <w:style w:type="paragraph" w:customStyle="1" w:styleId="ListNumber1Level2">
    <w:name w:val="List Number 1 (Level 2)"/>
    <w:basedOn w:val="Text1"/>
    <w:rsid w:val="004C7DC8"/>
    <w:pPr>
      <w:numPr>
        <w:ilvl w:val="1"/>
        <w:numId w:val="45"/>
      </w:numPr>
      <w:tabs>
        <w:tab w:val="clear" w:pos="1899"/>
        <w:tab w:val="num" w:pos="2199"/>
      </w:tabs>
      <w:spacing w:before="0" w:after="240" w:line="240" w:lineRule="auto"/>
      <w:ind w:left="2199" w:hanging="283"/>
      <w:jc w:val="both"/>
    </w:pPr>
    <w:rPr>
      <w:rFonts w:eastAsia="Times New Roman"/>
      <w:lang w:val="en-US" w:eastAsia="en-GB"/>
    </w:rPr>
  </w:style>
  <w:style w:type="paragraph" w:customStyle="1" w:styleId="ListNumber1Level3">
    <w:name w:val="List Number 1 (Level 3)"/>
    <w:basedOn w:val="Text1"/>
    <w:rsid w:val="004C7DC8"/>
    <w:pPr>
      <w:numPr>
        <w:ilvl w:val="2"/>
        <w:numId w:val="45"/>
      </w:numPr>
      <w:tabs>
        <w:tab w:val="clear" w:pos="2608"/>
        <w:tab w:val="num" w:pos="2199"/>
      </w:tabs>
      <w:spacing w:before="0" w:after="240" w:line="240" w:lineRule="auto"/>
      <w:ind w:left="2199" w:hanging="283"/>
      <w:jc w:val="both"/>
    </w:pPr>
    <w:rPr>
      <w:rFonts w:eastAsia="Times New Roman"/>
      <w:lang w:val="en-US" w:eastAsia="en-GB"/>
    </w:rPr>
  </w:style>
  <w:style w:type="paragraph" w:customStyle="1" w:styleId="ListNumber1Level4">
    <w:name w:val="List Number 1 (Level 4)"/>
    <w:basedOn w:val="Text1"/>
    <w:rsid w:val="004C7DC8"/>
    <w:pPr>
      <w:numPr>
        <w:ilvl w:val="3"/>
        <w:numId w:val="45"/>
      </w:numPr>
      <w:tabs>
        <w:tab w:val="clear" w:pos="3317"/>
        <w:tab w:val="num" w:pos="2199"/>
      </w:tabs>
      <w:spacing w:before="0" w:after="240" w:line="240" w:lineRule="auto"/>
      <w:ind w:left="2199" w:hanging="283"/>
      <w:jc w:val="both"/>
    </w:pPr>
    <w:rPr>
      <w:rFonts w:eastAsia="Times New Roman"/>
      <w:lang w:val="en-US" w:eastAsia="en-GB"/>
    </w:rPr>
  </w:style>
  <w:style w:type="paragraph" w:customStyle="1" w:styleId="ListNumber2Level2">
    <w:name w:val="List Number 2 (Level 2)"/>
    <w:basedOn w:val="Text2"/>
    <w:rsid w:val="004C7DC8"/>
    <w:pPr>
      <w:numPr>
        <w:ilvl w:val="1"/>
        <w:numId w:val="46"/>
      </w:numPr>
      <w:spacing w:before="0" w:after="240" w:line="240" w:lineRule="auto"/>
      <w:jc w:val="both"/>
    </w:pPr>
    <w:rPr>
      <w:rFonts w:eastAsia="Times New Roman"/>
      <w:lang w:eastAsia="en-GB"/>
    </w:rPr>
  </w:style>
  <w:style w:type="paragraph" w:customStyle="1" w:styleId="ListNumber2Level3">
    <w:name w:val="List Number 2 (Level 3)"/>
    <w:basedOn w:val="Text2"/>
    <w:rsid w:val="004C7DC8"/>
    <w:pPr>
      <w:numPr>
        <w:ilvl w:val="2"/>
        <w:numId w:val="46"/>
      </w:numPr>
      <w:spacing w:before="0" w:after="240" w:line="240" w:lineRule="auto"/>
      <w:jc w:val="both"/>
    </w:pPr>
    <w:rPr>
      <w:rFonts w:eastAsia="Times New Roman"/>
      <w:lang w:eastAsia="en-GB"/>
    </w:rPr>
  </w:style>
  <w:style w:type="paragraph" w:customStyle="1" w:styleId="ListNumber2Level4">
    <w:name w:val="List Number 2 (Level 4)"/>
    <w:basedOn w:val="Text2"/>
    <w:rsid w:val="004C7DC8"/>
    <w:pPr>
      <w:numPr>
        <w:ilvl w:val="3"/>
        <w:numId w:val="46"/>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4C7DC8"/>
    <w:pPr>
      <w:numPr>
        <w:ilvl w:val="1"/>
        <w:numId w:val="47"/>
      </w:numPr>
      <w:spacing w:before="0" w:after="240" w:line="240" w:lineRule="auto"/>
      <w:jc w:val="both"/>
    </w:pPr>
    <w:rPr>
      <w:rFonts w:eastAsia="Times New Roman"/>
      <w:lang w:eastAsia="en-GB"/>
    </w:rPr>
  </w:style>
  <w:style w:type="paragraph" w:customStyle="1" w:styleId="ListNumber3Level3">
    <w:name w:val="List Number 3 (Level 3)"/>
    <w:basedOn w:val="Text3"/>
    <w:rsid w:val="004C7DC8"/>
    <w:pPr>
      <w:numPr>
        <w:ilvl w:val="2"/>
        <w:numId w:val="47"/>
      </w:numPr>
      <w:spacing w:before="0" w:after="240" w:line="240" w:lineRule="auto"/>
      <w:jc w:val="both"/>
    </w:pPr>
    <w:rPr>
      <w:rFonts w:eastAsia="Times New Roman"/>
      <w:lang w:eastAsia="en-GB"/>
    </w:rPr>
  </w:style>
  <w:style w:type="paragraph" w:customStyle="1" w:styleId="ListNumber3Level4">
    <w:name w:val="List Number 3 (Level 4)"/>
    <w:basedOn w:val="Text3"/>
    <w:rsid w:val="004C7DC8"/>
    <w:pPr>
      <w:numPr>
        <w:ilvl w:val="3"/>
        <w:numId w:val="47"/>
      </w:numPr>
      <w:spacing w:before="0" w:after="240" w:line="240" w:lineRule="auto"/>
      <w:jc w:val="both"/>
    </w:pPr>
    <w:rPr>
      <w:rFonts w:eastAsia="Times New Roman"/>
      <w:lang w:eastAsia="en-GB"/>
    </w:rPr>
  </w:style>
  <w:style w:type="paragraph" w:customStyle="1" w:styleId="ListNumber4Level2">
    <w:name w:val="List Number 4 (Level 2)"/>
    <w:basedOn w:val="Text4"/>
    <w:rsid w:val="004C7DC8"/>
    <w:pPr>
      <w:numPr>
        <w:ilvl w:val="1"/>
        <w:numId w:val="48"/>
      </w:numPr>
      <w:spacing w:before="0" w:after="240" w:line="240" w:lineRule="auto"/>
      <w:jc w:val="both"/>
    </w:pPr>
    <w:rPr>
      <w:rFonts w:eastAsia="Times New Roman"/>
      <w:lang w:eastAsia="en-GB"/>
    </w:rPr>
  </w:style>
  <w:style w:type="paragraph" w:customStyle="1" w:styleId="ListNumber4Level3">
    <w:name w:val="List Number 4 (Level 3)"/>
    <w:basedOn w:val="Text4"/>
    <w:rsid w:val="004C7DC8"/>
    <w:pPr>
      <w:numPr>
        <w:ilvl w:val="2"/>
        <w:numId w:val="48"/>
      </w:numPr>
      <w:spacing w:before="0" w:after="240" w:line="240" w:lineRule="auto"/>
      <w:jc w:val="both"/>
    </w:pPr>
    <w:rPr>
      <w:rFonts w:eastAsia="Times New Roman"/>
      <w:lang w:eastAsia="en-GB"/>
    </w:rPr>
  </w:style>
  <w:style w:type="paragraph" w:customStyle="1" w:styleId="ListNumber4Level4">
    <w:name w:val="List Number 4 (Level 4)"/>
    <w:basedOn w:val="Text4"/>
    <w:rsid w:val="004C7DC8"/>
    <w:pPr>
      <w:numPr>
        <w:ilvl w:val="3"/>
        <w:numId w:val="48"/>
      </w:numPr>
      <w:spacing w:before="0" w:after="240" w:line="240" w:lineRule="auto"/>
      <w:jc w:val="both"/>
    </w:pPr>
    <w:rPr>
      <w:rFonts w:eastAsia="Times New Roman"/>
      <w:lang w:eastAsia="en-GB"/>
    </w:rPr>
  </w:style>
  <w:style w:type="paragraph" w:customStyle="1" w:styleId="DisclaimerNotice">
    <w:name w:val="Disclaimer Notice"/>
    <w:basedOn w:val="Normal"/>
    <w:next w:val="AddressTR"/>
    <w:rsid w:val="004C7DC8"/>
    <w:pPr>
      <w:spacing w:after="240" w:line="240" w:lineRule="auto"/>
      <w:ind w:left="5103"/>
    </w:pPr>
    <w:rPr>
      <w:rFonts w:ascii="Times New Roman" w:eastAsia="Times New Roman" w:hAnsi="Times New Roman" w:cs="Times New Roman"/>
      <w:i/>
      <w:sz w:val="20"/>
      <w:lang w:val="en-GB" w:eastAsia="en-GB"/>
    </w:rPr>
  </w:style>
  <w:style w:type="paragraph" w:customStyle="1" w:styleId="Disclaimer">
    <w:name w:val="Disclaimer"/>
    <w:basedOn w:val="Normal"/>
    <w:rsid w:val="004C7DC8"/>
    <w:pPr>
      <w:keepLines/>
      <w:pBdr>
        <w:top w:val="single" w:sz="4" w:space="1" w:color="auto"/>
      </w:pBdr>
      <w:spacing w:before="480" w:after="0" w:line="240" w:lineRule="auto"/>
      <w:jc w:val="both"/>
    </w:pPr>
    <w:rPr>
      <w:rFonts w:ascii="Times New Roman" w:eastAsia="Times New Roman" w:hAnsi="Times New Roman" w:cs="Times New Roman"/>
      <w:i/>
      <w:sz w:val="24"/>
      <w:lang w:val="en-GB" w:eastAsia="en-GB"/>
    </w:rPr>
  </w:style>
  <w:style w:type="paragraph" w:customStyle="1" w:styleId="DisclaimerSJ">
    <w:name w:val="Disclaimer_SJ"/>
    <w:basedOn w:val="Normal"/>
    <w:next w:val="Normal"/>
    <w:rsid w:val="004C7DC8"/>
    <w:pPr>
      <w:spacing w:after="0" w:line="240" w:lineRule="auto"/>
      <w:jc w:val="both"/>
    </w:pPr>
    <w:rPr>
      <w:rFonts w:ascii="Arial" w:eastAsia="Times New Roman" w:hAnsi="Arial" w:cs="Times New Roman"/>
      <w:b/>
      <w:sz w:val="16"/>
      <w:lang w:val="en-GB" w:eastAsia="en-GB"/>
    </w:rPr>
  </w:style>
  <w:style w:type="paragraph" w:customStyle="1" w:styleId="StyleHeading3BoldNotItalic">
    <w:name w:val="Style Heading 3 + Bold Not Italic"/>
    <w:basedOn w:val="Heading3"/>
    <w:autoRedefine/>
    <w:rsid w:val="004C7DC8"/>
    <w:pPr>
      <w:numPr>
        <w:numId w:val="49"/>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4C7DC8"/>
    <w:pPr>
      <w:spacing w:before="120" w:after="240" w:line="240" w:lineRule="auto"/>
      <w:jc w:val="center"/>
    </w:pPr>
    <w:rPr>
      <w:rFonts w:ascii="Times New Roman Bold" w:eastAsia="Times New Roman" w:hAnsi="Times New Roman Bold" w:cs="Times New Roman"/>
      <w:b/>
      <w:iCs/>
      <w:smallCaps/>
      <w:sz w:val="24"/>
      <w:szCs w:val="24"/>
      <w:lang w:val="en-GB" w:eastAsia="en-GB"/>
    </w:rPr>
  </w:style>
  <w:style w:type="paragraph" w:customStyle="1" w:styleId="StyleHeading1Hanging085cm">
    <w:name w:val="Style Heading 1 + Hanging:  0.85 cm"/>
    <w:basedOn w:val="Heading1"/>
    <w:autoRedefine/>
    <w:rsid w:val="004C7DC8"/>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4C7DC8"/>
    <w:pPr>
      <w:numPr>
        <w:numId w:val="50"/>
      </w:numPr>
      <w:tabs>
        <w:tab w:val="left" w:pos="1134"/>
        <w:tab w:val="left" w:pos="1560"/>
      </w:tabs>
      <w:spacing w:after="240"/>
    </w:pPr>
    <w:rPr>
      <w:rFonts w:ascii="Times New Roman Bold" w:eastAsia="Times New Roman" w:hAnsi="Times New Roman Bold" w:cs="Times New Roman"/>
      <w:i/>
      <w:szCs w:val="24"/>
      <w:lang w:val="en-GB" w:eastAsia="en-GB"/>
    </w:rPr>
  </w:style>
  <w:style w:type="paragraph" w:customStyle="1" w:styleId="CM1">
    <w:name w:val="CM1"/>
    <w:basedOn w:val="Default"/>
    <w:next w:val="Default"/>
    <w:uiPriority w:val="99"/>
    <w:rsid w:val="004C7DC8"/>
    <w:pPr>
      <w:spacing w:after="200" w:line="276" w:lineRule="auto"/>
    </w:pPr>
    <w:rPr>
      <w:rFonts w:ascii="EUAlbertina" w:eastAsia="Calibri" w:hAnsi="EUAlbertina" w:cs="Times New Roman"/>
      <w:color w:val="auto"/>
    </w:rPr>
  </w:style>
  <w:style w:type="paragraph" w:customStyle="1" w:styleId="Annextitre">
    <w:name w:val="Annex titre"/>
    <w:basedOn w:val="Normal"/>
    <w:rsid w:val="004C7DC8"/>
    <w:pPr>
      <w:spacing w:before="120" w:after="120" w:line="240" w:lineRule="auto"/>
      <w:jc w:val="both"/>
    </w:pPr>
    <w:rPr>
      <w:rFonts w:ascii="Times New Roman" w:eastAsia="Calibri" w:hAnsi="Times New Roman" w:cs="Times New Roman"/>
      <w:sz w:val="24"/>
      <w:lang w:val="en-GB" w:eastAsia="en-GB"/>
    </w:rPr>
  </w:style>
  <w:style w:type="paragraph" w:customStyle="1" w:styleId="NormalLeft">
    <w:name w:val="Normal Left"/>
    <w:basedOn w:val="Normal"/>
    <w:rsid w:val="004C7DC8"/>
    <w:pPr>
      <w:spacing w:before="120" w:after="120" w:line="240" w:lineRule="auto"/>
    </w:pPr>
    <w:rPr>
      <w:rFonts w:ascii="Times New Roman" w:eastAsia="Calibri" w:hAnsi="Times New Roman" w:cs="Times New Roman"/>
      <w:sz w:val="24"/>
      <w:lang w:val="en-GB" w:eastAsia="en-GB"/>
    </w:rPr>
  </w:style>
  <w:style w:type="paragraph" w:customStyle="1" w:styleId="QuotedText">
    <w:name w:val="Quoted Text"/>
    <w:basedOn w:val="Normal"/>
    <w:rsid w:val="004C7DC8"/>
    <w:pPr>
      <w:spacing w:before="120" w:after="120" w:line="240" w:lineRule="auto"/>
      <w:ind w:left="1417"/>
      <w:jc w:val="both"/>
    </w:pPr>
    <w:rPr>
      <w:rFonts w:ascii="Times New Roman" w:eastAsia="Calibri" w:hAnsi="Times New Roman" w:cs="Times New Roman"/>
      <w:sz w:val="24"/>
      <w:lang w:val="en-GB" w:eastAsia="en-GB"/>
    </w:rPr>
  </w:style>
  <w:style w:type="paragraph" w:customStyle="1" w:styleId="Point0">
    <w:name w:val="Point 0"/>
    <w:basedOn w:val="Normal"/>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Point1">
    <w:name w:val="Point 1"/>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Point3">
    <w:name w:val="Point 3"/>
    <w:basedOn w:val="Normal"/>
    <w:rsid w:val="004C7DC8"/>
    <w:pPr>
      <w:spacing w:before="120" w:after="120" w:line="240" w:lineRule="auto"/>
      <w:ind w:left="2551" w:hanging="567"/>
      <w:jc w:val="both"/>
    </w:pPr>
    <w:rPr>
      <w:rFonts w:ascii="Times New Roman" w:eastAsia="Calibri" w:hAnsi="Times New Roman" w:cs="Times New Roman"/>
      <w:sz w:val="24"/>
      <w:lang w:val="en-GB" w:eastAsia="en-GB"/>
    </w:rPr>
  </w:style>
  <w:style w:type="paragraph" w:customStyle="1" w:styleId="Point4">
    <w:name w:val="Point 4"/>
    <w:basedOn w:val="Normal"/>
    <w:rsid w:val="004C7DC8"/>
    <w:pPr>
      <w:spacing w:before="120" w:after="120" w:line="240" w:lineRule="auto"/>
      <w:ind w:left="3118" w:hanging="567"/>
      <w:jc w:val="both"/>
    </w:pPr>
    <w:rPr>
      <w:rFonts w:ascii="Times New Roman" w:eastAsia="Calibri" w:hAnsi="Times New Roman" w:cs="Times New Roman"/>
      <w:sz w:val="24"/>
      <w:lang w:val="en-GB" w:eastAsia="en-GB"/>
    </w:rPr>
  </w:style>
  <w:style w:type="paragraph" w:customStyle="1" w:styleId="Tiret0">
    <w:name w:val="Tiret 0"/>
    <w:basedOn w:val="Point0"/>
    <w:rsid w:val="004C7DC8"/>
    <w:pPr>
      <w:numPr>
        <w:numId w:val="51"/>
      </w:numPr>
    </w:pPr>
  </w:style>
  <w:style w:type="paragraph" w:customStyle="1" w:styleId="Tiret1">
    <w:name w:val="Tiret 1"/>
    <w:basedOn w:val="Point1"/>
    <w:rsid w:val="004C7DC8"/>
    <w:pPr>
      <w:numPr>
        <w:numId w:val="52"/>
      </w:numPr>
    </w:pPr>
  </w:style>
  <w:style w:type="paragraph" w:customStyle="1" w:styleId="Tiret2">
    <w:name w:val="Tiret 2"/>
    <w:basedOn w:val="Point2"/>
    <w:rsid w:val="004C7DC8"/>
    <w:pPr>
      <w:numPr>
        <w:numId w:val="53"/>
      </w:numPr>
    </w:pPr>
    <w:rPr>
      <w:lang w:eastAsia="en-GB"/>
    </w:rPr>
  </w:style>
  <w:style w:type="paragraph" w:customStyle="1" w:styleId="Tiret3">
    <w:name w:val="Tiret 3"/>
    <w:basedOn w:val="Point3"/>
    <w:rsid w:val="004C7DC8"/>
    <w:pPr>
      <w:numPr>
        <w:numId w:val="54"/>
      </w:numPr>
    </w:pPr>
  </w:style>
  <w:style w:type="paragraph" w:customStyle="1" w:styleId="Tiret4">
    <w:name w:val="Tiret 4"/>
    <w:basedOn w:val="Point4"/>
    <w:rsid w:val="004C7DC8"/>
    <w:pPr>
      <w:numPr>
        <w:numId w:val="55"/>
      </w:numPr>
    </w:pPr>
  </w:style>
  <w:style w:type="paragraph" w:customStyle="1" w:styleId="PointDouble0">
    <w:name w:val="PointDouble 0"/>
    <w:basedOn w:val="Normal"/>
    <w:rsid w:val="004C7DC8"/>
    <w:pPr>
      <w:tabs>
        <w:tab w:val="left" w:pos="850"/>
      </w:tabs>
      <w:spacing w:before="120" w:after="120" w:line="240" w:lineRule="auto"/>
      <w:ind w:left="1417" w:hanging="1417"/>
      <w:jc w:val="both"/>
    </w:pPr>
    <w:rPr>
      <w:rFonts w:ascii="Times New Roman" w:eastAsia="Calibri" w:hAnsi="Times New Roman" w:cs="Times New Roman"/>
      <w:sz w:val="24"/>
      <w:lang w:val="en-GB" w:eastAsia="en-GB"/>
    </w:rPr>
  </w:style>
  <w:style w:type="paragraph" w:customStyle="1" w:styleId="PointDouble1">
    <w:name w:val="PointDouble 1"/>
    <w:basedOn w:val="Normal"/>
    <w:rsid w:val="004C7DC8"/>
    <w:pPr>
      <w:tabs>
        <w:tab w:val="left" w:pos="1417"/>
      </w:tabs>
      <w:spacing w:before="120" w:after="120" w:line="240" w:lineRule="auto"/>
      <w:ind w:left="1984" w:hanging="1134"/>
      <w:jc w:val="both"/>
    </w:pPr>
    <w:rPr>
      <w:rFonts w:ascii="Times New Roman" w:eastAsia="Calibri" w:hAnsi="Times New Roman" w:cs="Times New Roman"/>
      <w:sz w:val="24"/>
      <w:lang w:val="en-GB" w:eastAsia="en-GB"/>
    </w:rPr>
  </w:style>
  <w:style w:type="paragraph" w:customStyle="1" w:styleId="PointDouble2">
    <w:name w:val="PointDouble 2"/>
    <w:basedOn w:val="Normal"/>
    <w:rsid w:val="004C7DC8"/>
    <w:pPr>
      <w:tabs>
        <w:tab w:val="left" w:pos="1984"/>
      </w:tabs>
      <w:spacing w:before="120" w:after="120" w:line="240" w:lineRule="auto"/>
      <w:ind w:left="2551" w:hanging="1134"/>
      <w:jc w:val="both"/>
    </w:pPr>
    <w:rPr>
      <w:rFonts w:ascii="Times New Roman" w:eastAsia="Calibri" w:hAnsi="Times New Roman" w:cs="Times New Roman"/>
      <w:sz w:val="24"/>
      <w:lang w:val="en-GB" w:eastAsia="en-GB"/>
    </w:rPr>
  </w:style>
  <w:style w:type="paragraph" w:customStyle="1" w:styleId="PointDouble3">
    <w:name w:val="PointDouble 3"/>
    <w:basedOn w:val="Normal"/>
    <w:rsid w:val="004C7DC8"/>
    <w:pPr>
      <w:tabs>
        <w:tab w:val="left" w:pos="2551"/>
      </w:tabs>
      <w:spacing w:before="120" w:after="120" w:line="240" w:lineRule="auto"/>
      <w:ind w:left="3118" w:hanging="1134"/>
      <w:jc w:val="both"/>
    </w:pPr>
    <w:rPr>
      <w:rFonts w:ascii="Times New Roman" w:eastAsia="Calibri" w:hAnsi="Times New Roman" w:cs="Times New Roman"/>
      <w:sz w:val="24"/>
      <w:lang w:val="en-GB" w:eastAsia="en-GB"/>
    </w:rPr>
  </w:style>
  <w:style w:type="paragraph" w:customStyle="1" w:styleId="PointDouble4">
    <w:name w:val="PointDouble 4"/>
    <w:basedOn w:val="Normal"/>
    <w:rsid w:val="004C7DC8"/>
    <w:pPr>
      <w:tabs>
        <w:tab w:val="left" w:pos="3118"/>
      </w:tabs>
      <w:spacing w:before="120" w:after="120" w:line="240" w:lineRule="auto"/>
      <w:ind w:left="3685" w:hanging="1134"/>
      <w:jc w:val="both"/>
    </w:pPr>
    <w:rPr>
      <w:rFonts w:ascii="Times New Roman" w:eastAsia="Calibri" w:hAnsi="Times New Roman" w:cs="Times New Roman"/>
      <w:sz w:val="24"/>
      <w:lang w:val="en-GB" w:eastAsia="en-GB"/>
    </w:rPr>
  </w:style>
  <w:style w:type="paragraph" w:customStyle="1" w:styleId="PointTriple0">
    <w:name w:val="PointTriple 0"/>
    <w:basedOn w:val="Normal"/>
    <w:rsid w:val="004C7DC8"/>
    <w:pPr>
      <w:tabs>
        <w:tab w:val="left" w:pos="850"/>
        <w:tab w:val="left" w:pos="1417"/>
      </w:tabs>
      <w:spacing w:before="120" w:after="120" w:line="240" w:lineRule="auto"/>
      <w:ind w:left="1984" w:hanging="1984"/>
      <w:jc w:val="both"/>
    </w:pPr>
    <w:rPr>
      <w:rFonts w:ascii="Times New Roman" w:eastAsia="Calibri" w:hAnsi="Times New Roman" w:cs="Times New Roman"/>
      <w:sz w:val="24"/>
      <w:lang w:val="en-GB" w:eastAsia="en-GB"/>
    </w:rPr>
  </w:style>
  <w:style w:type="paragraph" w:customStyle="1" w:styleId="PointTriple1">
    <w:name w:val="PointTriple 1"/>
    <w:basedOn w:val="Normal"/>
    <w:rsid w:val="004C7DC8"/>
    <w:pPr>
      <w:tabs>
        <w:tab w:val="left" w:pos="1417"/>
        <w:tab w:val="left" w:pos="1984"/>
      </w:tabs>
      <w:spacing w:before="120" w:after="120" w:line="240" w:lineRule="auto"/>
      <w:ind w:left="2551" w:hanging="1701"/>
      <w:jc w:val="both"/>
    </w:pPr>
    <w:rPr>
      <w:rFonts w:ascii="Times New Roman" w:eastAsia="Calibri" w:hAnsi="Times New Roman" w:cs="Times New Roman"/>
      <w:sz w:val="24"/>
      <w:lang w:val="en-GB" w:eastAsia="en-GB"/>
    </w:rPr>
  </w:style>
  <w:style w:type="paragraph" w:customStyle="1" w:styleId="PointTriple2">
    <w:name w:val="PointTriple 2"/>
    <w:basedOn w:val="Normal"/>
    <w:rsid w:val="004C7DC8"/>
    <w:pPr>
      <w:tabs>
        <w:tab w:val="left" w:pos="1984"/>
        <w:tab w:val="left" w:pos="2551"/>
      </w:tabs>
      <w:spacing w:before="120" w:after="120" w:line="240" w:lineRule="auto"/>
      <w:ind w:left="3118" w:hanging="1701"/>
      <w:jc w:val="both"/>
    </w:pPr>
    <w:rPr>
      <w:rFonts w:ascii="Times New Roman" w:eastAsia="Calibri" w:hAnsi="Times New Roman" w:cs="Times New Roman"/>
      <w:sz w:val="24"/>
      <w:lang w:val="en-GB" w:eastAsia="en-GB"/>
    </w:rPr>
  </w:style>
  <w:style w:type="paragraph" w:customStyle="1" w:styleId="PointTriple3">
    <w:name w:val="PointTriple 3"/>
    <w:basedOn w:val="Normal"/>
    <w:rsid w:val="004C7DC8"/>
    <w:pPr>
      <w:tabs>
        <w:tab w:val="left" w:pos="2551"/>
        <w:tab w:val="left" w:pos="3118"/>
      </w:tabs>
      <w:spacing w:before="120" w:after="120" w:line="240" w:lineRule="auto"/>
      <w:ind w:left="3685" w:hanging="1701"/>
      <w:jc w:val="both"/>
    </w:pPr>
    <w:rPr>
      <w:rFonts w:ascii="Times New Roman" w:eastAsia="Calibri" w:hAnsi="Times New Roman" w:cs="Times New Roman"/>
      <w:sz w:val="24"/>
      <w:lang w:val="en-GB" w:eastAsia="en-GB"/>
    </w:rPr>
  </w:style>
  <w:style w:type="paragraph" w:customStyle="1" w:styleId="PointTriple4">
    <w:name w:val="PointTriple 4"/>
    <w:basedOn w:val="Normal"/>
    <w:rsid w:val="004C7DC8"/>
    <w:pPr>
      <w:tabs>
        <w:tab w:val="left" w:pos="3118"/>
        <w:tab w:val="left" w:pos="3685"/>
      </w:tabs>
      <w:spacing w:before="120" w:after="120" w:line="240" w:lineRule="auto"/>
      <w:ind w:left="4252" w:hanging="1701"/>
      <w:jc w:val="both"/>
    </w:pPr>
    <w:rPr>
      <w:rFonts w:ascii="Times New Roman" w:eastAsia="Calibri" w:hAnsi="Times New Roman" w:cs="Times New Roman"/>
      <w:sz w:val="24"/>
      <w:lang w:val="en-GB" w:eastAsia="en-GB"/>
    </w:rPr>
  </w:style>
  <w:style w:type="paragraph" w:customStyle="1" w:styleId="NumPar2">
    <w:name w:val="NumPar 2"/>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3">
    <w:name w:val="NumPar 3"/>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4">
    <w:name w:val="NumPar 4"/>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2">
    <w:name w:val="Manual NumPar 2"/>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3">
    <w:name w:val="Manual NumPar 3"/>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4">
    <w:name w:val="Manual NumPar 4"/>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QuotedNumPar">
    <w:name w:val="Quoted NumPar"/>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ManualHeading1">
    <w:name w:val="Manual Heading 1"/>
    <w:basedOn w:val="Normal"/>
    <w:next w:val="Text1"/>
    <w:rsid w:val="004C7DC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en-GB" w:eastAsia="en-GB"/>
    </w:rPr>
  </w:style>
  <w:style w:type="paragraph" w:customStyle="1" w:styleId="ManualHeading2">
    <w:name w:val="Manual Heading 2"/>
    <w:basedOn w:val="Normal"/>
    <w:next w:val="Text1"/>
    <w:rsid w:val="004C7DC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en-GB" w:eastAsia="en-GB"/>
    </w:rPr>
  </w:style>
  <w:style w:type="paragraph" w:customStyle="1" w:styleId="ManualHeading3">
    <w:name w:val="Manual Heading 3"/>
    <w:basedOn w:val="Normal"/>
    <w:next w:val="Text1"/>
    <w:rsid w:val="004C7DC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ManualHeading4">
    <w:name w:val="Manual Heading 4"/>
    <w:basedOn w:val="Normal"/>
    <w:next w:val="Text1"/>
    <w:rsid w:val="004C7DC8"/>
    <w:pPr>
      <w:keepNext/>
      <w:tabs>
        <w:tab w:val="left" w:pos="850"/>
      </w:tabs>
      <w:spacing w:before="120" w:after="120" w:line="240" w:lineRule="auto"/>
      <w:ind w:left="850" w:hanging="850"/>
      <w:jc w:val="both"/>
      <w:outlineLvl w:val="3"/>
    </w:pPr>
    <w:rPr>
      <w:rFonts w:ascii="Times New Roman" w:eastAsia="Calibri" w:hAnsi="Times New Roman" w:cs="Times New Roman"/>
      <w:sz w:val="24"/>
      <w:lang w:val="en-GB" w:eastAsia="en-GB"/>
    </w:rPr>
  </w:style>
  <w:style w:type="paragraph" w:customStyle="1" w:styleId="PartTitle">
    <w:name w:val="PartTitle"/>
    <w:basedOn w:val="Normal"/>
    <w:next w:val="ChapterTitle"/>
    <w:rsid w:val="004C7DC8"/>
    <w:pPr>
      <w:keepNext/>
      <w:pageBreakBefore/>
      <w:spacing w:before="120" w:after="360" w:line="240" w:lineRule="auto"/>
      <w:jc w:val="center"/>
    </w:pPr>
    <w:rPr>
      <w:rFonts w:ascii="Times New Roman" w:eastAsia="Calibri" w:hAnsi="Times New Roman" w:cs="Times New Roman"/>
      <w:b/>
      <w:sz w:val="36"/>
      <w:lang w:val="en-GB" w:eastAsia="en-GB"/>
    </w:rPr>
  </w:style>
  <w:style w:type="paragraph" w:customStyle="1" w:styleId="TableTitle">
    <w:name w:val="Table Title"/>
    <w:basedOn w:val="Normal"/>
    <w:next w:val="Normal"/>
    <w:rsid w:val="004C7DC8"/>
    <w:pPr>
      <w:spacing w:before="120" w:after="120" w:line="240" w:lineRule="auto"/>
      <w:jc w:val="center"/>
    </w:pPr>
    <w:rPr>
      <w:rFonts w:ascii="Times New Roman" w:eastAsia="Calibri" w:hAnsi="Times New Roman" w:cs="Times New Roman"/>
      <w:b/>
      <w:sz w:val="24"/>
      <w:lang w:val="en-GB" w:eastAsia="en-GB"/>
    </w:rPr>
  </w:style>
  <w:style w:type="paragraph" w:customStyle="1" w:styleId="Bullet0">
    <w:name w:val="Bullet 0"/>
    <w:basedOn w:val="Normal"/>
    <w:rsid w:val="004C7DC8"/>
    <w:pPr>
      <w:numPr>
        <w:numId w:val="56"/>
      </w:numPr>
      <w:spacing w:before="120" w:after="120" w:line="240" w:lineRule="auto"/>
      <w:jc w:val="both"/>
    </w:pPr>
    <w:rPr>
      <w:rFonts w:ascii="Times New Roman" w:eastAsia="Calibri" w:hAnsi="Times New Roman" w:cs="Times New Roman"/>
      <w:sz w:val="24"/>
      <w:lang w:val="en-GB" w:eastAsia="en-GB"/>
    </w:rPr>
  </w:style>
  <w:style w:type="paragraph" w:customStyle="1" w:styleId="Annexetitreexpos">
    <w:name w:val="Annexe titre (exposé)"/>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Annexetitrefichefinancire">
    <w:name w:val="Annexe titre (fiche financiè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ait">
    <w:name w:val="Fait à"/>
    <w:basedOn w:val="Normal"/>
    <w:next w:val="Institutionquisigne"/>
    <w:rsid w:val="004C7DC8"/>
    <w:pPr>
      <w:keepNext/>
      <w:spacing w:before="120" w:after="0" w:line="240" w:lineRule="auto"/>
      <w:jc w:val="both"/>
    </w:pPr>
    <w:rPr>
      <w:rFonts w:ascii="Times New Roman" w:eastAsia="Calibri" w:hAnsi="Times New Roman" w:cs="Times New Roman"/>
      <w:sz w:val="24"/>
      <w:lang w:val="en-GB" w:eastAsia="en-GB"/>
    </w:rPr>
  </w:style>
  <w:style w:type="paragraph" w:customStyle="1" w:styleId="Institutionquisigne">
    <w:name w:val="Institution qui signe"/>
    <w:basedOn w:val="Normal"/>
    <w:next w:val="Personnequisigne"/>
    <w:rsid w:val="004C7DC8"/>
    <w:pPr>
      <w:keepNext/>
      <w:tabs>
        <w:tab w:val="left" w:pos="4252"/>
      </w:tabs>
      <w:spacing w:before="720" w:after="0" w:line="240" w:lineRule="auto"/>
      <w:jc w:val="both"/>
    </w:pPr>
    <w:rPr>
      <w:rFonts w:ascii="Times New Roman" w:eastAsia="Calibri" w:hAnsi="Times New Roman" w:cs="Times New Roman"/>
      <w:i/>
      <w:sz w:val="24"/>
      <w:lang w:val="en-GB" w:eastAsia="en-GB"/>
    </w:rPr>
  </w:style>
  <w:style w:type="paragraph" w:customStyle="1" w:styleId="Personnequisigne">
    <w:name w:val="Personne qui signe"/>
    <w:basedOn w:val="Normal"/>
    <w:next w:val="Institutionquisigne"/>
    <w:rsid w:val="004C7DC8"/>
    <w:pPr>
      <w:tabs>
        <w:tab w:val="left" w:pos="4252"/>
      </w:tabs>
      <w:spacing w:after="0" w:line="240" w:lineRule="auto"/>
    </w:pPr>
    <w:rPr>
      <w:rFonts w:ascii="Times New Roman" w:eastAsia="Calibri" w:hAnsi="Times New Roman" w:cs="Times New Roman"/>
      <w:i/>
      <w:sz w:val="24"/>
      <w:lang w:val="en-GB" w:eastAsia="en-GB"/>
    </w:rPr>
  </w:style>
  <w:style w:type="paragraph" w:customStyle="1" w:styleId="Applicationdirecte">
    <w:name w:val="Application directe"/>
    <w:basedOn w:val="Normal"/>
    <w:next w:val="Fait"/>
    <w:rsid w:val="004C7DC8"/>
    <w:pPr>
      <w:spacing w:before="480" w:after="120" w:line="240" w:lineRule="auto"/>
      <w:jc w:val="both"/>
    </w:pPr>
    <w:rPr>
      <w:rFonts w:ascii="Times New Roman" w:eastAsia="Calibri" w:hAnsi="Times New Roman" w:cs="Times New Roman"/>
      <w:sz w:val="24"/>
      <w:lang w:val="en-GB" w:eastAsia="en-GB"/>
    </w:rPr>
  </w:style>
  <w:style w:type="paragraph" w:customStyle="1" w:styleId="Avertissementtitre">
    <w:name w:val="Avertissement titre"/>
    <w:basedOn w:val="Normal"/>
    <w:next w:val="Normal"/>
    <w:rsid w:val="004C7DC8"/>
    <w:pPr>
      <w:keepNext/>
      <w:spacing w:before="480" w:after="120" w:line="240" w:lineRule="auto"/>
      <w:jc w:val="both"/>
    </w:pPr>
    <w:rPr>
      <w:rFonts w:ascii="Times New Roman" w:eastAsia="Calibri" w:hAnsi="Times New Roman" w:cs="Times New Roman"/>
      <w:sz w:val="24"/>
      <w:u w:val="single"/>
      <w:lang w:val="en-GB" w:eastAsia="en-GB"/>
    </w:rPr>
  </w:style>
  <w:style w:type="paragraph" w:customStyle="1" w:styleId="Confidence">
    <w:name w:val="Confidence"/>
    <w:basedOn w:val="Normal"/>
    <w:next w:val="Normal"/>
    <w:rsid w:val="004C7DC8"/>
    <w:pPr>
      <w:spacing w:before="360" w:after="120" w:line="240" w:lineRule="auto"/>
      <w:jc w:val="center"/>
    </w:pPr>
    <w:rPr>
      <w:rFonts w:ascii="Times New Roman" w:eastAsia="Calibri" w:hAnsi="Times New Roman" w:cs="Times New Roman"/>
      <w:sz w:val="24"/>
      <w:lang w:val="en-GB" w:eastAsia="en-GB"/>
    </w:rPr>
  </w:style>
  <w:style w:type="paragraph" w:customStyle="1" w:styleId="TypedudocumentPagedecouverture">
    <w:name w:val="Type du document (Page de couverture)"/>
    <w:basedOn w:val="Typedudocument"/>
    <w:next w:val="TitreobjetPagedecouverture"/>
    <w:rsid w:val="004C7DC8"/>
  </w:style>
  <w:style w:type="paragraph" w:customStyle="1" w:styleId="Typedudocument">
    <w:name w:val="Type du document"/>
    <w:basedOn w:val="Normal"/>
    <w:next w:val="Titreobjet"/>
    <w:rsid w:val="004C7DC8"/>
    <w:pPr>
      <w:spacing w:before="360" w:after="180" w:line="240" w:lineRule="auto"/>
      <w:jc w:val="center"/>
    </w:pPr>
    <w:rPr>
      <w:rFonts w:ascii="Times New Roman" w:eastAsia="Calibri" w:hAnsi="Times New Roman" w:cs="Times New Roman"/>
      <w:b/>
      <w:sz w:val="24"/>
      <w:lang w:val="en-GB" w:eastAsia="en-GB"/>
    </w:rPr>
  </w:style>
  <w:style w:type="paragraph" w:customStyle="1" w:styleId="Titreobjet">
    <w:name w:val="Titre objet"/>
    <w:basedOn w:val="Normal"/>
    <w:next w:val="Sous-titreobjet"/>
    <w:rsid w:val="004C7DC8"/>
    <w:pPr>
      <w:spacing w:before="180" w:after="180" w:line="240" w:lineRule="auto"/>
      <w:jc w:val="center"/>
    </w:pPr>
    <w:rPr>
      <w:rFonts w:ascii="Times New Roman" w:eastAsia="Calibri" w:hAnsi="Times New Roman" w:cs="Times New Roman"/>
      <w:b/>
      <w:sz w:val="24"/>
      <w:lang w:val="en-GB" w:eastAsia="en-GB"/>
    </w:rPr>
  </w:style>
  <w:style w:type="paragraph" w:customStyle="1" w:styleId="Sous-titreobjet">
    <w:name w:val="Sous-titre objet"/>
    <w:basedOn w:val="Normal"/>
    <w:rsid w:val="004C7DC8"/>
    <w:pPr>
      <w:spacing w:after="0" w:line="240" w:lineRule="auto"/>
      <w:jc w:val="center"/>
    </w:pPr>
    <w:rPr>
      <w:rFonts w:ascii="Times New Roman" w:eastAsia="Calibri" w:hAnsi="Times New Roman" w:cs="Times New Roman"/>
      <w:b/>
      <w:sz w:val="24"/>
      <w:lang w:val="en-GB" w:eastAsia="en-GB"/>
    </w:rPr>
  </w:style>
  <w:style w:type="paragraph" w:customStyle="1" w:styleId="TitreobjetPagedecouverture">
    <w:name w:val="Titre objet (Page de couverture)"/>
    <w:basedOn w:val="Titreobjet"/>
    <w:next w:val="Sous-titreobjetPagedecouverture"/>
    <w:rsid w:val="004C7DC8"/>
  </w:style>
  <w:style w:type="paragraph" w:customStyle="1" w:styleId="Sous-titreobjetPagedecouverture">
    <w:name w:val="Sous-titre objet (Page de couverture)"/>
    <w:basedOn w:val="Sous-titreobjet"/>
    <w:rsid w:val="004C7DC8"/>
  </w:style>
  <w:style w:type="paragraph" w:customStyle="1" w:styleId="Confidentialit">
    <w:name w:val="Confidentialité"/>
    <w:basedOn w:val="Normal"/>
    <w:next w:val="TypedudocumentPagedecouverture"/>
    <w:rsid w:val="004C7DC8"/>
    <w:pPr>
      <w:spacing w:before="240" w:after="240" w:line="240" w:lineRule="auto"/>
      <w:ind w:left="5103"/>
    </w:pPr>
    <w:rPr>
      <w:rFonts w:ascii="Times New Roman" w:eastAsia="Calibri" w:hAnsi="Times New Roman" w:cs="Times New Roman"/>
      <w:i/>
      <w:sz w:val="32"/>
      <w:lang w:val="en-GB" w:eastAsia="en-GB"/>
    </w:rPr>
  </w:style>
  <w:style w:type="paragraph" w:customStyle="1" w:styleId="Considrant">
    <w:name w:val="Considérant"/>
    <w:basedOn w:val="Normal"/>
    <w:rsid w:val="004C7DC8"/>
    <w:pPr>
      <w:numPr>
        <w:numId w:val="57"/>
      </w:numPr>
      <w:spacing w:before="120" w:after="120" w:line="240" w:lineRule="auto"/>
      <w:jc w:val="both"/>
    </w:pPr>
    <w:rPr>
      <w:rFonts w:ascii="Times New Roman" w:eastAsia="Calibri" w:hAnsi="Times New Roman" w:cs="Times New Roman"/>
      <w:sz w:val="24"/>
      <w:lang w:val="en-GB" w:eastAsia="en-GB"/>
    </w:rPr>
  </w:style>
  <w:style w:type="paragraph" w:customStyle="1" w:styleId="Corrigendum">
    <w:name w:val="Corrigendum"/>
    <w:basedOn w:val="Normal"/>
    <w:next w:val="Normal"/>
    <w:rsid w:val="004C7DC8"/>
    <w:pPr>
      <w:spacing w:after="240" w:line="240" w:lineRule="auto"/>
    </w:pPr>
    <w:rPr>
      <w:rFonts w:ascii="Times New Roman" w:eastAsia="Calibri" w:hAnsi="Times New Roman" w:cs="Times New Roman"/>
      <w:sz w:val="24"/>
      <w:lang w:val="en-GB" w:eastAsia="en-GB"/>
    </w:rPr>
  </w:style>
  <w:style w:type="paragraph" w:customStyle="1" w:styleId="Datedadoption">
    <w:name w:val="Date d'adoption"/>
    <w:basedOn w:val="Normal"/>
    <w:next w:val="Titreobjet"/>
    <w:rsid w:val="004C7DC8"/>
    <w:pPr>
      <w:spacing w:before="360" w:after="0" w:line="240" w:lineRule="auto"/>
      <w:jc w:val="center"/>
    </w:pPr>
    <w:rPr>
      <w:rFonts w:ascii="Times New Roman" w:eastAsia="Calibri" w:hAnsi="Times New Roman" w:cs="Times New Roman"/>
      <w:b/>
      <w:sz w:val="24"/>
      <w:lang w:val="en-GB" w:eastAsia="en-GB"/>
    </w:rPr>
  </w:style>
  <w:style w:type="paragraph" w:customStyle="1" w:styleId="Rfrenceinstitutionnelle">
    <w:name w:val="Référence institutionnell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Emission">
    <w:name w:val="Emission"/>
    <w:basedOn w:val="Normal"/>
    <w:next w:val="Rfrence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Exposdesmotifstitre">
    <w:name w:val="Exposé des motifs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ormuledadoption">
    <w:name w:val="Formule d'adoption"/>
    <w:basedOn w:val="Normal"/>
    <w:next w:val="Titrearticle"/>
    <w:rsid w:val="004C7DC8"/>
    <w:pPr>
      <w:keepNext/>
      <w:spacing w:before="120" w:after="120" w:line="240" w:lineRule="auto"/>
      <w:jc w:val="both"/>
    </w:pPr>
    <w:rPr>
      <w:rFonts w:ascii="Times New Roman" w:eastAsia="Calibri" w:hAnsi="Times New Roman" w:cs="Times New Roman"/>
      <w:sz w:val="24"/>
      <w:lang w:val="en-GB" w:eastAsia="en-GB"/>
    </w:rPr>
  </w:style>
  <w:style w:type="paragraph" w:customStyle="1" w:styleId="Institutionquiagit">
    <w:name w:val="Institution qui agit"/>
    <w:basedOn w:val="Normal"/>
    <w:next w:val="Normal"/>
    <w:rsid w:val="004C7DC8"/>
    <w:pPr>
      <w:keepNext/>
      <w:spacing w:before="600" w:after="120" w:line="240" w:lineRule="auto"/>
      <w:jc w:val="both"/>
    </w:pPr>
    <w:rPr>
      <w:rFonts w:ascii="Times New Roman" w:eastAsia="Calibri" w:hAnsi="Times New Roman" w:cs="Times New Roman"/>
      <w:sz w:val="24"/>
      <w:lang w:val="en-GB" w:eastAsia="en-GB"/>
    </w:rPr>
  </w:style>
  <w:style w:type="paragraph" w:customStyle="1" w:styleId="Rfrenceinterne">
    <w:name w:val="Référence interne"/>
    <w:basedOn w:val="Normal"/>
    <w:next w:val="Rfrenceinter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Rfrenceinterinstitutionnelle">
    <w:name w:val="Référence interinstitutionnelle"/>
    <w:basedOn w:val="Normal"/>
    <w:next w:val="Statut"/>
    <w:rsid w:val="004C7DC8"/>
    <w:pPr>
      <w:spacing w:after="0" w:line="240" w:lineRule="auto"/>
      <w:ind w:left="5103"/>
    </w:pPr>
    <w:rPr>
      <w:rFonts w:ascii="Times New Roman" w:eastAsia="Calibri" w:hAnsi="Times New Roman" w:cs="Times New Roman"/>
      <w:sz w:val="24"/>
      <w:lang w:val="en-GB" w:eastAsia="en-GB"/>
    </w:rPr>
  </w:style>
  <w:style w:type="paragraph" w:customStyle="1" w:styleId="Statut">
    <w:name w:val="Statut"/>
    <w:basedOn w:val="Normal"/>
    <w:next w:val="Typedudocument"/>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Langue">
    <w:name w:val="Langue"/>
    <w:basedOn w:val="Normal"/>
    <w:next w:val="Rfrenceinterne"/>
    <w:rsid w:val="004C7DC8"/>
    <w:pPr>
      <w:framePr w:wrap="around" w:vAnchor="page" w:hAnchor="text" w:xAlign="center" w:y="14741"/>
      <w:spacing w:after="600" w:line="240" w:lineRule="auto"/>
      <w:jc w:val="center"/>
    </w:pPr>
    <w:rPr>
      <w:rFonts w:ascii="Times New Roman" w:eastAsia="Calibri" w:hAnsi="Times New Roman" w:cs="Times New Roman"/>
      <w:b/>
      <w:caps/>
      <w:sz w:val="24"/>
      <w:lang w:val="en-GB" w:eastAsia="en-GB"/>
    </w:rPr>
  </w:style>
  <w:style w:type="paragraph" w:customStyle="1" w:styleId="Nomdelinstitution">
    <w:name w:val="Nom de l'institution"/>
    <w:basedOn w:val="Normal"/>
    <w:next w:val="Emission"/>
    <w:rsid w:val="004C7DC8"/>
    <w:pPr>
      <w:spacing w:after="0" w:line="240" w:lineRule="auto"/>
    </w:pPr>
    <w:rPr>
      <w:rFonts w:ascii="Arial" w:eastAsia="Calibri" w:hAnsi="Arial" w:cs="Arial"/>
      <w:sz w:val="24"/>
      <w:lang w:val="en-GB" w:eastAsia="en-GB"/>
    </w:rPr>
  </w:style>
  <w:style w:type="paragraph" w:customStyle="1" w:styleId="Address">
    <w:name w:val="Address"/>
    <w:basedOn w:val="Normal"/>
    <w:next w:val="Normal"/>
    <w:rsid w:val="004C7DC8"/>
    <w:pPr>
      <w:keepLines/>
      <w:spacing w:before="120" w:after="120" w:line="360" w:lineRule="auto"/>
      <w:ind w:left="3402"/>
    </w:pPr>
    <w:rPr>
      <w:rFonts w:ascii="Times New Roman" w:eastAsia="Calibri" w:hAnsi="Times New Roman" w:cs="Times New Roman"/>
      <w:sz w:val="24"/>
      <w:lang w:val="en-GB" w:eastAsia="en-GB"/>
    </w:rPr>
  </w:style>
  <w:style w:type="paragraph" w:customStyle="1" w:styleId="Objetexterne">
    <w:name w:val="Objet externe"/>
    <w:basedOn w:val="Normal"/>
    <w:next w:val="Normal"/>
    <w:rsid w:val="004C7DC8"/>
    <w:pPr>
      <w:spacing w:before="120" w:after="120" w:line="240" w:lineRule="auto"/>
      <w:jc w:val="both"/>
    </w:pPr>
    <w:rPr>
      <w:rFonts w:ascii="Times New Roman" w:eastAsia="Calibri" w:hAnsi="Times New Roman" w:cs="Times New Roman"/>
      <w:i/>
      <w:caps/>
      <w:sz w:val="24"/>
      <w:lang w:val="en-GB" w:eastAsia="en-GB"/>
    </w:rPr>
  </w:style>
  <w:style w:type="paragraph" w:customStyle="1" w:styleId="Supertitre">
    <w:name w:val="Supertitre"/>
    <w:basedOn w:val="Normal"/>
    <w:next w:val="Normal"/>
    <w:rsid w:val="004C7DC8"/>
    <w:pPr>
      <w:spacing w:after="600" w:line="240" w:lineRule="auto"/>
      <w:jc w:val="center"/>
    </w:pPr>
    <w:rPr>
      <w:rFonts w:ascii="Times New Roman" w:eastAsia="Calibri" w:hAnsi="Times New Roman" w:cs="Times New Roman"/>
      <w:b/>
      <w:sz w:val="24"/>
      <w:lang w:val="en-GB" w:eastAsia="en-GB"/>
    </w:rPr>
  </w:style>
  <w:style w:type="paragraph" w:customStyle="1" w:styleId="Languesfaisantfoi">
    <w:name w:val="Langues faisant foi"/>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Rfrencecroise">
    <w:name w:val="Référence croisée"/>
    <w:basedOn w:val="Normal"/>
    <w:rsid w:val="004C7DC8"/>
    <w:pPr>
      <w:spacing w:after="0" w:line="240" w:lineRule="auto"/>
      <w:jc w:val="center"/>
    </w:pPr>
    <w:rPr>
      <w:rFonts w:ascii="Times New Roman" w:eastAsia="Calibri" w:hAnsi="Times New Roman" w:cs="Times New Roman"/>
      <w:sz w:val="24"/>
      <w:lang w:val="en-GB" w:eastAsia="en-GB"/>
    </w:rPr>
  </w:style>
  <w:style w:type="paragraph" w:customStyle="1" w:styleId="Fichefinanciretitre">
    <w:name w:val="Fiche financière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DatedadoptionPagedecouverture">
    <w:name w:val="Date d'adoption (Page de couverture)"/>
    <w:basedOn w:val="Datedadoption"/>
    <w:next w:val="TitreobjetPagedecouverture"/>
    <w:rsid w:val="004C7DC8"/>
  </w:style>
  <w:style w:type="paragraph" w:customStyle="1" w:styleId="RfrenceinterinstitutionnellePagedecouverture">
    <w:name w:val="Référence interinstitutionnelle (Page de couverture)"/>
    <w:basedOn w:val="Rfrenceinterinstitutionnelle"/>
    <w:next w:val="Confidentialit"/>
    <w:rsid w:val="004C7DC8"/>
  </w:style>
  <w:style w:type="paragraph" w:customStyle="1" w:styleId="StatutPagedecouverture">
    <w:name w:val="Statut (Page de couverture)"/>
    <w:basedOn w:val="Statut"/>
    <w:next w:val="TypedudocumentPagedecouverture"/>
    <w:rsid w:val="004C7DC8"/>
  </w:style>
  <w:style w:type="paragraph" w:customStyle="1" w:styleId="Volume">
    <w:name w:val="Volum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IntrtEEE">
    <w:name w:val="Intérêt EEE"/>
    <w:basedOn w:val="Languesfaisantfoi"/>
    <w:next w:val="Normal"/>
    <w:rsid w:val="004C7DC8"/>
    <w:pPr>
      <w:spacing w:after="240"/>
    </w:pPr>
  </w:style>
  <w:style w:type="paragraph" w:customStyle="1" w:styleId="Typeacteprincipal">
    <w:name w:val="Type acte principal"/>
    <w:basedOn w:val="Normal"/>
    <w:next w:val="Objetacteprincipal"/>
    <w:rsid w:val="004C7DC8"/>
    <w:pPr>
      <w:spacing w:after="240" w:line="240" w:lineRule="auto"/>
      <w:jc w:val="center"/>
    </w:pPr>
    <w:rPr>
      <w:rFonts w:ascii="Times New Roman" w:eastAsia="Calibri" w:hAnsi="Times New Roman" w:cs="Times New Roman"/>
      <w:b/>
      <w:sz w:val="24"/>
      <w:lang w:val="en-GB" w:eastAsia="en-GB"/>
    </w:rPr>
  </w:style>
  <w:style w:type="paragraph" w:customStyle="1" w:styleId="Objetacteprincipal">
    <w:name w:val="Objet acte principal"/>
    <w:basedOn w:val="Normal"/>
    <w:next w:val="Titrearticle"/>
    <w:rsid w:val="004C7DC8"/>
    <w:pPr>
      <w:spacing w:after="360" w:line="240" w:lineRule="auto"/>
      <w:jc w:val="center"/>
    </w:pPr>
    <w:rPr>
      <w:rFonts w:ascii="Times New Roman" w:eastAsia="Calibri" w:hAnsi="Times New Roman" w:cs="Times New Roman"/>
      <w:b/>
      <w:sz w:val="24"/>
      <w:lang w:val="en-GB" w:eastAsia="en-GB"/>
    </w:rPr>
  </w:style>
  <w:style w:type="paragraph" w:customStyle="1" w:styleId="Accompagnant">
    <w:name w:val="Accompagnant"/>
    <w:basedOn w:val="Normal"/>
    <w:next w:val="Typeacteprincipal"/>
    <w:rsid w:val="004C7DC8"/>
    <w:pPr>
      <w:spacing w:before="180" w:after="240" w:line="240" w:lineRule="auto"/>
      <w:jc w:val="center"/>
    </w:pPr>
    <w:rPr>
      <w:rFonts w:ascii="Times New Roman" w:eastAsia="Calibri" w:hAnsi="Times New Roman" w:cs="Times New Roman"/>
      <w:b/>
      <w:sz w:val="24"/>
      <w:lang w:val="en-GB" w:eastAsia="en-GB"/>
    </w:rPr>
  </w:style>
  <w:style w:type="paragraph" w:customStyle="1" w:styleId="IntrtEEEPagedecouverture">
    <w:name w:val="Intérêt EEE (Page de couverture)"/>
    <w:basedOn w:val="IntrtEEE"/>
    <w:next w:val="Rfrencecroise"/>
    <w:rsid w:val="004C7DC8"/>
  </w:style>
  <w:style w:type="paragraph" w:customStyle="1" w:styleId="TypeacteprincipalPagedecouverture">
    <w:name w:val="Type acte principal (Page de couverture)"/>
    <w:basedOn w:val="Typeacteprincipal"/>
    <w:next w:val="ObjetacteprincipalPagedecouverture"/>
    <w:rsid w:val="004C7DC8"/>
  </w:style>
  <w:style w:type="paragraph" w:customStyle="1" w:styleId="ObjetacteprincipalPagedecouverture">
    <w:name w:val="Objet acte principal (Page de couverture)"/>
    <w:basedOn w:val="Objetacteprincipal"/>
    <w:next w:val="Rfrencecroise"/>
    <w:rsid w:val="004C7DC8"/>
  </w:style>
  <w:style w:type="paragraph" w:customStyle="1" w:styleId="AccompagnantPagedecouverture">
    <w:name w:val="Accompagnant (Page de couverture)"/>
    <w:basedOn w:val="Accompagnant"/>
    <w:next w:val="TypeacteprincipalPagedecouverture"/>
    <w:rsid w:val="004C7DC8"/>
  </w:style>
  <w:style w:type="paragraph" w:customStyle="1" w:styleId="LanguesfaisantfoiPagedecouverture">
    <w:name w:val="Langues faisant foi (Page de couverture)"/>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Declassification">
    <w:name w:val="Declassification"/>
    <w:basedOn w:val="Normal"/>
    <w:next w:val="Normal"/>
    <w:rsid w:val="004C7DC8"/>
    <w:pPr>
      <w:spacing w:after="0" w:line="240" w:lineRule="auto"/>
      <w:jc w:val="both"/>
    </w:pPr>
    <w:rPr>
      <w:rFonts w:ascii="Times New Roman" w:hAnsi="Times New Roman" w:cs="Times New Roman"/>
      <w:sz w:val="24"/>
      <w:lang w:val="en-GB"/>
    </w:rPr>
  </w:style>
  <w:style w:type="paragraph" w:customStyle="1" w:styleId="ZDGName">
    <w:name w:val="Z_DGName"/>
    <w:basedOn w:val="Normal"/>
    <w:rsid w:val="004C7D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ZCom">
    <w:name w:val="Z_Com"/>
    <w:basedOn w:val="Normal"/>
    <w:next w:val="ZDGName"/>
    <w:uiPriority w:val="99"/>
    <w:rsid w:val="004C7D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EntText">
    <w:name w:val="EntText"/>
    <w:basedOn w:val="Normal"/>
    <w:rsid w:val="004C7DC8"/>
    <w:pPr>
      <w:spacing w:before="120" w:after="120" w:line="360" w:lineRule="auto"/>
    </w:pPr>
    <w:rPr>
      <w:rFonts w:ascii="Times New Roman" w:hAnsi="Times New Roman" w:cs="Times New Roman"/>
      <w:sz w:val="24"/>
      <w:lang w:val="en-GB"/>
    </w:rPr>
  </w:style>
  <w:style w:type="paragraph" w:customStyle="1" w:styleId="Lignefinal">
    <w:name w:val="Ligne final"/>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character" w:customStyle="1" w:styleId="pjChar">
    <w:name w:val="p.j. Char"/>
    <w:basedOn w:val="TechnicalBlockChar"/>
    <w:link w:val="pj"/>
    <w:locked/>
    <w:rsid w:val="004C7DC8"/>
    <w:rPr>
      <w:rFonts w:ascii="Times New Roman" w:eastAsia="Calibri" w:hAnsi="Times New Roman" w:cs="Times New Roman"/>
      <w:sz w:val="24"/>
      <w:szCs w:val="20"/>
      <w:lang w:val="en-GB" w:eastAsia="en-GB"/>
    </w:rPr>
  </w:style>
  <w:style w:type="paragraph" w:customStyle="1" w:styleId="pj">
    <w:name w:val="p.j."/>
    <w:basedOn w:val="Normal"/>
    <w:link w:val="pjChar"/>
    <w:rsid w:val="004C7DC8"/>
    <w:pPr>
      <w:spacing w:before="1200" w:after="120" w:line="240" w:lineRule="auto"/>
      <w:ind w:left="1440" w:hanging="1440"/>
    </w:pPr>
    <w:rPr>
      <w:rFonts w:ascii="Times New Roman" w:eastAsia="Calibri" w:hAnsi="Times New Roman" w:cs="Times New Roman"/>
      <w:sz w:val="24"/>
      <w:szCs w:val="20"/>
      <w:lang w:val="en-GB" w:eastAsia="en-GB"/>
    </w:rPr>
  </w:style>
  <w:style w:type="character" w:customStyle="1" w:styleId="nbborderedChar">
    <w:name w:val="nb bordered Char"/>
    <w:basedOn w:val="TechnicalBlockChar"/>
    <w:link w:val="nbbordered"/>
    <w:locked/>
    <w:rsid w:val="004C7DC8"/>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4C7DC8"/>
    <w:pPr>
      <w:pBdr>
        <w:top w:val="single" w:sz="4" w:space="1" w:color="auto"/>
        <w:left w:val="single" w:sz="4" w:space="4" w:color="auto"/>
        <w:bottom w:val="single" w:sz="4" w:space="1" w:color="auto"/>
        <w:right w:val="single" w:sz="4" w:space="4" w:color="auto"/>
      </w:pBdr>
      <w:spacing w:before="120" w:after="160" w:line="240" w:lineRule="auto"/>
      <w:ind w:left="480" w:hanging="480"/>
      <w:jc w:val="both"/>
    </w:pPr>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4C7DC8"/>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
    <w:rsid w:val="004C7DC8"/>
    <w:pPr>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Time">
    <w:name w:val="Time"/>
    <w:basedOn w:val="Normal"/>
    <w:rsid w:val="004C7DC8"/>
    <w:rPr>
      <w:lang w:val="en-GB"/>
    </w:rPr>
  </w:style>
  <w:style w:type="paragraph" w:customStyle="1" w:styleId="Pa0">
    <w:name w:val="Pa0"/>
    <w:basedOn w:val="Default"/>
    <w:next w:val="Default"/>
    <w:uiPriority w:val="99"/>
    <w:rsid w:val="004C7DC8"/>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4C7DC8"/>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4C7DC8"/>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4C7DC8"/>
    <w:pPr>
      <w:jc w:val="center"/>
    </w:pPr>
    <w:rPr>
      <w:b/>
      <w:bCs/>
    </w:rPr>
  </w:style>
  <w:style w:type="paragraph" w:customStyle="1" w:styleId="xmsolistparagraph">
    <w:name w:val="x_msolistparagraph"/>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
    <w:rsid w:val="004C7DC8"/>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efaultParagraphFont"/>
    <w:link w:val="Teksttreci30"/>
    <w:uiPriority w:val="99"/>
    <w:locked/>
    <w:rsid w:val="004C7DC8"/>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4C7DC8"/>
    <w:pPr>
      <w:widowControl w:val="0"/>
      <w:shd w:val="clear" w:color="auto" w:fill="FFFFFF"/>
      <w:spacing w:after="0" w:line="240" w:lineRule="auto"/>
    </w:pPr>
    <w:rPr>
      <w:rFonts w:ascii="Times New Roman" w:hAnsi="Times New Roman" w:cs="Times New Roman"/>
      <w:b/>
      <w:bCs/>
      <w:sz w:val="36"/>
      <w:szCs w:val="36"/>
    </w:rPr>
  </w:style>
  <w:style w:type="character" w:customStyle="1" w:styleId="Inne">
    <w:name w:val="Inne_"/>
    <w:basedOn w:val="DefaultParagraphFont"/>
    <w:link w:val="Inne0"/>
    <w:uiPriority w:val="99"/>
    <w:locked/>
    <w:rsid w:val="004C7DC8"/>
    <w:rPr>
      <w:rFonts w:ascii="Times New Roman" w:hAnsi="Times New Roman" w:cs="Times New Roman"/>
      <w:shd w:val="clear" w:color="auto" w:fill="FFFFFF"/>
    </w:rPr>
  </w:style>
  <w:style w:type="paragraph" w:customStyle="1" w:styleId="Inne0">
    <w:name w:val="Inne"/>
    <w:basedOn w:val="Normal"/>
    <w:link w:val="Inne"/>
    <w:uiPriority w:val="99"/>
    <w:rsid w:val="004C7DC8"/>
    <w:pPr>
      <w:widowControl w:val="0"/>
      <w:shd w:val="clear" w:color="auto" w:fill="FFFFFF"/>
      <w:spacing w:after="100"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4C7DC8"/>
    <w:rPr>
      <w:sz w:val="16"/>
      <w:szCs w:val="16"/>
    </w:rPr>
  </w:style>
  <w:style w:type="character" w:customStyle="1" w:styleId="DontTranslate">
    <w:name w:val="DontTranslate"/>
    <w:rsid w:val="004C7DC8"/>
    <w:rPr>
      <w:color w:val="auto"/>
    </w:rPr>
  </w:style>
  <w:style w:type="character" w:customStyle="1" w:styleId="ManualNumPar1Char">
    <w:name w:val="Manual NumPar 1 Char"/>
    <w:rsid w:val="004C7DC8"/>
    <w:rPr>
      <w:rFonts w:ascii="Times New Roman" w:hAnsi="Times New Roman" w:cs="Times New Roman" w:hint="default"/>
      <w:sz w:val="24"/>
      <w:szCs w:val="22"/>
      <w:lang w:eastAsia="en-US"/>
    </w:rPr>
  </w:style>
  <w:style w:type="character" w:customStyle="1" w:styleId="CharacterStyle2">
    <w:name w:val="Character Style 2"/>
    <w:uiPriority w:val="99"/>
    <w:rsid w:val="004C7DC8"/>
    <w:rPr>
      <w:sz w:val="20"/>
      <w:szCs w:val="20"/>
    </w:rPr>
  </w:style>
  <w:style w:type="character" w:customStyle="1" w:styleId="Marker2">
    <w:name w:val="Marker2"/>
    <w:rsid w:val="004C7DC8"/>
    <w:rPr>
      <w:color w:val="FF0000"/>
    </w:rPr>
  </w:style>
  <w:style w:type="character" w:customStyle="1" w:styleId="Added">
    <w:name w:val="Added"/>
    <w:rsid w:val="004C7DC8"/>
    <w:rPr>
      <w:b/>
      <w:bCs w:val="0"/>
      <w:u w:val="single"/>
    </w:rPr>
  </w:style>
  <w:style w:type="character" w:customStyle="1" w:styleId="Deleted">
    <w:name w:val="Deleted"/>
    <w:rsid w:val="004C7DC8"/>
    <w:rPr>
      <w:strike/>
    </w:rPr>
  </w:style>
  <w:style w:type="character" w:customStyle="1" w:styleId="leaf">
    <w:name w:val="leaf"/>
    <w:uiPriority w:val="99"/>
    <w:rsid w:val="004C7DC8"/>
    <w:rPr>
      <w:rFonts w:ascii="Times New Roman" w:hAnsi="Times New Roman" w:cs="Times New Roman" w:hint="default"/>
    </w:rPr>
  </w:style>
  <w:style w:type="character" w:customStyle="1" w:styleId="style221">
    <w:name w:val="style221"/>
    <w:uiPriority w:val="99"/>
    <w:rsid w:val="004C7DC8"/>
    <w:rPr>
      <w:rFonts w:ascii="Times New Roman" w:hAnsi="Times New Roman" w:cs="Times New Roman" w:hint="default"/>
      <w:b/>
      <w:bCs/>
      <w:color w:val="990000"/>
    </w:rPr>
  </w:style>
  <w:style w:type="character" w:customStyle="1" w:styleId="A1">
    <w:name w:val="A1"/>
    <w:uiPriority w:val="99"/>
    <w:rsid w:val="004C7DC8"/>
    <w:rPr>
      <w:b/>
      <w:bCs w:val="0"/>
      <w:color w:val="000000"/>
      <w:sz w:val="80"/>
    </w:rPr>
  </w:style>
  <w:style w:type="character" w:customStyle="1" w:styleId="A2">
    <w:name w:val="A2"/>
    <w:uiPriority w:val="99"/>
    <w:rsid w:val="004C7DC8"/>
    <w:rPr>
      <w:b/>
      <w:bCs w:val="0"/>
      <w:color w:val="000000"/>
      <w:sz w:val="48"/>
    </w:rPr>
  </w:style>
  <w:style w:type="character" w:customStyle="1" w:styleId="A3">
    <w:name w:val="A3"/>
    <w:uiPriority w:val="99"/>
    <w:rsid w:val="004C7DC8"/>
    <w:rPr>
      <w:b/>
      <w:bCs w:val="0"/>
      <w:color w:val="000000"/>
      <w:sz w:val="32"/>
    </w:rPr>
  </w:style>
  <w:style w:type="character" w:customStyle="1" w:styleId="Funotenzeichen">
    <w:name w:val="Fußnotenzeichen"/>
    <w:rsid w:val="004C7DC8"/>
    <w:rPr>
      <w:rFonts w:ascii="Times New Roman" w:hAnsi="Times New Roman" w:cs="Times New Roman" w:hint="default"/>
      <w:vertAlign w:val="superscript"/>
    </w:rPr>
  </w:style>
  <w:style w:type="character" w:customStyle="1" w:styleId="tlid-translation">
    <w:name w:val="tlid-translation"/>
    <w:rsid w:val="004C7DC8"/>
  </w:style>
  <w:style w:type="character" w:customStyle="1" w:styleId="TeksttreciMaelitery">
    <w:name w:val="Tekst treści + Małe litery"/>
    <w:rsid w:val="004C7DC8"/>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4C7DC8"/>
  </w:style>
  <w:style w:type="table" w:customStyle="1" w:styleId="TableGrid2">
    <w:name w:val="Table Grid2"/>
    <w:basedOn w:val="TableNormal"/>
    <w:next w:val="TableGrid"/>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C7DC8"/>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C7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semiHidden/>
    <w:unhideWhenUsed/>
    <w:rsid w:val="004C7DC8"/>
    <w:pPr>
      <w:numPr>
        <w:numId w:val="48"/>
      </w:numPr>
      <w:spacing w:before="0" w:after="240" w:line="240" w:lineRule="auto"/>
      <w:jc w:val="both"/>
    </w:pPr>
    <w:rPr>
      <w:rFonts w:eastAsia="Times New Roman"/>
      <w:lang w:eastAsia="en-GB"/>
    </w:rPr>
  </w:style>
  <w:style w:type="paragraph" w:styleId="ListNumber2">
    <w:name w:val="List Number 2"/>
    <w:basedOn w:val="Text2"/>
    <w:semiHidden/>
    <w:unhideWhenUsed/>
    <w:rsid w:val="004C7DC8"/>
    <w:pPr>
      <w:numPr>
        <w:numId w:val="46"/>
      </w:numPr>
      <w:spacing w:before="0" w:after="240" w:line="240" w:lineRule="auto"/>
      <w:jc w:val="both"/>
    </w:pPr>
    <w:rPr>
      <w:rFonts w:eastAsia="Times New Roman"/>
      <w:lang w:eastAsia="en-GB"/>
    </w:rPr>
  </w:style>
  <w:style w:type="paragraph" w:styleId="ListNumber3">
    <w:name w:val="List Number 3"/>
    <w:basedOn w:val="Text3"/>
    <w:semiHidden/>
    <w:unhideWhenUsed/>
    <w:rsid w:val="004C7DC8"/>
    <w:pPr>
      <w:numPr>
        <w:numId w:val="47"/>
      </w:numPr>
      <w:spacing w:before="0" w:after="240" w:line="240" w:lineRule="auto"/>
      <w:jc w:val="both"/>
    </w:pPr>
    <w:rPr>
      <w:rFonts w:eastAsia="Times New Roman"/>
      <w:lang w:eastAsia="en-GB"/>
    </w:rPr>
  </w:style>
  <w:style w:type="paragraph" w:styleId="Revision">
    <w:name w:val="Revision"/>
    <w:hidden/>
    <w:uiPriority w:val="99"/>
    <w:semiHidden/>
    <w:rsid w:val="00E81886"/>
    <w:pPr>
      <w:spacing w:after="0" w:line="240" w:lineRule="auto"/>
    </w:pPr>
  </w:style>
  <w:style w:type="paragraph" w:styleId="NormalWeb">
    <w:name w:val="Normal (Web)"/>
    <w:basedOn w:val="Normal"/>
    <w:uiPriority w:val="99"/>
    <w:semiHidden/>
    <w:unhideWhenUsed/>
    <w:rsid w:val="006A7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D51CD"/>
    <w:rPr>
      <w:color w:val="800080" w:themeColor="followedHyperlink"/>
      <w:u w:val="single"/>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AE0470"/>
    <w:pPr>
      <w:spacing w:before="110" w:after="160" w:line="240" w:lineRule="exact"/>
      <w:jc w:val="both"/>
    </w:pPr>
    <w:rPr>
      <w:b/>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caption" w:uiPriority="35" w:qFormat="1"/>
    <w:lsdException w:name="footnote reference" w:qFormat="1"/>
    <w:lsdException w:name="endnote reference" w:uiPriority="0"/>
    <w:lsdException w:name="endnote text" w:uiPriority="0"/>
    <w:lsdException w:name="macro"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F7"/>
  </w:style>
  <w:style w:type="paragraph" w:styleId="Heading1">
    <w:name w:val="heading 1"/>
    <w:basedOn w:val="Normal"/>
    <w:next w:val="Normal"/>
    <w:link w:val="Heading1Char"/>
    <w:uiPriority w:val="9"/>
    <w:qFormat/>
    <w:rsid w:val="004C7DC8"/>
    <w:pPr>
      <w:keepNext/>
      <w:numPr>
        <w:numId w:val="21"/>
      </w:numPr>
      <w:spacing w:before="360" w:after="120" w:line="240" w:lineRule="auto"/>
      <w:jc w:val="both"/>
      <w:outlineLvl w:val="0"/>
    </w:pPr>
    <w:rPr>
      <w:rFonts w:ascii="Times New Roman" w:eastAsia="Calibri" w:hAnsi="Times New Roman" w:cs="Arial"/>
      <w:b/>
      <w:smallCaps/>
      <w:sz w:val="24"/>
      <w:lang w:val="en-US"/>
    </w:rPr>
  </w:style>
  <w:style w:type="paragraph" w:styleId="Heading2">
    <w:name w:val="heading 2"/>
    <w:basedOn w:val="Normal"/>
    <w:next w:val="Normal"/>
    <w:link w:val="Heading2Char"/>
    <w:uiPriority w:val="9"/>
    <w:semiHidden/>
    <w:unhideWhenUsed/>
    <w:qFormat/>
    <w:rsid w:val="004C7DC8"/>
    <w:pPr>
      <w:keepNext/>
      <w:numPr>
        <w:ilvl w:val="1"/>
        <w:numId w:val="21"/>
      </w:numPr>
      <w:spacing w:before="120" w:after="120" w:line="240" w:lineRule="auto"/>
      <w:jc w:val="both"/>
      <w:outlineLvl w:val="1"/>
    </w:pPr>
    <w:rPr>
      <w:rFonts w:ascii="Times New Roman" w:eastAsia="Calibri" w:hAnsi="Times New Roman" w:cs="Arial"/>
      <w:b/>
      <w:sz w:val="24"/>
      <w:lang w:val="en-US"/>
    </w:rPr>
  </w:style>
  <w:style w:type="paragraph" w:styleId="Heading3">
    <w:name w:val="heading 3"/>
    <w:basedOn w:val="Normal"/>
    <w:next w:val="Normal"/>
    <w:link w:val="Heading3Char"/>
    <w:uiPriority w:val="9"/>
    <w:semiHidden/>
    <w:unhideWhenUsed/>
    <w:qFormat/>
    <w:rsid w:val="004C7DC8"/>
    <w:pPr>
      <w:keepNext/>
      <w:numPr>
        <w:ilvl w:val="2"/>
        <w:numId w:val="21"/>
      </w:numPr>
      <w:spacing w:before="120" w:after="120" w:line="240" w:lineRule="auto"/>
      <w:jc w:val="both"/>
      <w:outlineLvl w:val="2"/>
    </w:pPr>
    <w:rPr>
      <w:rFonts w:ascii="Times New Roman" w:eastAsia="Calibri" w:hAnsi="Times New Roman" w:cs="Arial"/>
      <w:i/>
      <w:sz w:val="24"/>
      <w:lang w:val="en-US"/>
    </w:rPr>
  </w:style>
  <w:style w:type="paragraph" w:styleId="Heading4">
    <w:name w:val="heading 4"/>
    <w:basedOn w:val="Normal"/>
    <w:next w:val="Normal"/>
    <w:link w:val="Heading4Char"/>
    <w:uiPriority w:val="9"/>
    <w:semiHidden/>
    <w:unhideWhenUsed/>
    <w:qFormat/>
    <w:rsid w:val="004C7DC8"/>
    <w:pPr>
      <w:keepNext/>
      <w:numPr>
        <w:ilvl w:val="3"/>
        <w:numId w:val="21"/>
      </w:numPr>
      <w:spacing w:before="120" w:after="120" w:line="240" w:lineRule="auto"/>
      <w:jc w:val="both"/>
      <w:outlineLvl w:val="3"/>
    </w:pPr>
    <w:rPr>
      <w:rFonts w:ascii="Times New Roman" w:eastAsia="Calibri" w:hAnsi="Times New Roman" w:cs="Arial"/>
      <w:sz w:val="24"/>
      <w:lang w:val="en-US"/>
    </w:rPr>
  </w:style>
  <w:style w:type="paragraph" w:styleId="Heading5">
    <w:name w:val="heading 5"/>
    <w:basedOn w:val="Normal"/>
    <w:next w:val="Normal"/>
    <w:link w:val="Heading5Char"/>
    <w:semiHidden/>
    <w:unhideWhenUsed/>
    <w:qFormat/>
    <w:rsid w:val="004C7DC8"/>
    <w:pPr>
      <w:spacing w:before="240" w:after="60" w:line="240" w:lineRule="auto"/>
      <w:jc w:val="both"/>
      <w:outlineLvl w:val="4"/>
    </w:pPr>
    <w:rPr>
      <w:rFonts w:ascii="Arial" w:eastAsia="Calibri" w:hAnsi="Arial" w:cs="Arial"/>
      <w:lang w:val="en-US"/>
    </w:rPr>
  </w:style>
  <w:style w:type="paragraph" w:styleId="Heading6">
    <w:name w:val="heading 6"/>
    <w:basedOn w:val="Normal"/>
    <w:next w:val="Normal"/>
    <w:link w:val="Heading6Char"/>
    <w:semiHidden/>
    <w:unhideWhenUsed/>
    <w:qFormat/>
    <w:rsid w:val="004C7DC8"/>
    <w:pPr>
      <w:spacing w:before="240" w:after="60" w:line="240" w:lineRule="auto"/>
      <w:jc w:val="both"/>
      <w:outlineLvl w:val="5"/>
    </w:pPr>
    <w:rPr>
      <w:rFonts w:ascii="Arial" w:eastAsia="Calibri" w:hAnsi="Arial" w:cs="Arial"/>
      <w:i/>
      <w:lang w:val="en-US"/>
    </w:rPr>
  </w:style>
  <w:style w:type="paragraph" w:styleId="Heading7">
    <w:name w:val="heading 7"/>
    <w:basedOn w:val="Normal"/>
    <w:next w:val="Normal"/>
    <w:link w:val="Heading7Char"/>
    <w:semiHidden/>
    <w:unhideWhenUsed/>
    <w:qFormat/>
    <w:rsid w:val="004C7DC8"/>
    <w:pPr>
      <w:spacing w:before="240" w:after="60" w:line="240" w:lineRule="auto"/>
      <w:jc w:val="both"/>
      <w:outlineLvl w:val="6"/>
    </w:pPr>
    <w:rPr>
      <w:rFonts w:ascii="Arial" w:eastAsia="Calibri" w:hAnsi="Arial" w:cs="Arial"/>
      <w:sz w:val="20"/>
      <w:lang w:val="en-US"/>
    </w:rPr>
  </w:style>
  <w:style w:type="paragraph" w:styleId="Heading8">
    <w:name w:val="heading 8"/>
    <w:basedOn w:val="Normal"/>
    <w:next w:val="Normal"/>
    <w:link w:val="Heading8Char"/>
    <w:semiHidden/>
    <w:unhideWhenUsed/>
    <w:qFormat/>
    <w:rsid w:val="004C7DC8"/>
    <w:pPr>
      <w:spacing w:before="240" w:after="60" w:line="240" w:lineRule="auto"/>
      <w:jc w:val="both"/>
      <w:outlineLvl w:val="7"/>
    </w:pPr>
    <w:rPr>
      <w:rFonts w:ascii="Arial" w:eastAsia="Calibri" w:hAnsi="Arial" w:cs="Arial"/>
      <w:i/>
      <w:sz w:val="20"/>
      <w:lang w:val="en-US"/>
    </w:rPr>
  </w:style>
  <w:style w:type="paragraph" w:styleId="Heading9">
    <w:name w:val="heading 9"/>
    <w:basedOn w:val="Normal"/>
    <w:next w:val="Normal"/>
    <w:link w:val="Heading9Char"/>
    <w:semiHidden/>
    <w:unhideWhenUsed/>
    <w:qFormat/>
    <w:rsid w:val="004C7DC8"/>
    <w:pPr>
      <w:spacing w:before="240" w:after="60" w:line="240" w:lineRule="auto"/>
      <w:jc w:val="both"/>
      <w:outlineLvl w:val="8"/>
    </w:pPr>
    <w:rPr>
      <w:rFonts w:ascii="Arial" w:eastAsia="Calibri" w:hAnsi="Arial" w:cs="Arial"/>
      <w:i/>
      <w:sz w:val="1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
    <w:basedOn w:val="Normal"/>
    <w:link w:val="FootnoteTextChar"/>
    <w:unhideWhenUsed/>
    <w:rsid w:val="00F000AD"/>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rsid w:val="00F000AD"/>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R1"/>
    <w:basedOn w:val="DefaultParagraphFont"/>
    <w:link w:val="ftrefCaracterCaracterCaracter"/>
    <w:uiPriority w:val="99"/>
    <w:unhideWhenUsed/>
    <w:qFormat/>
    <w:rsid w:val="00F000AD"/>
    <w:rPr>
      <w:b/>
      <w:shd w:val="clear" w:color="auto" w:fill="auto"/>
      <w:vertAlign w:val="superscript"/>
    </w:rPr>
  </w:style>
  <w:style w:type="table" w:customStyle="1" w:styleId="TableGrid1">
    <w:name w:val="Table Grid1"/>
    <w:basedOn w:val="TableNormal"/>
    <w:next w:val="TableGrid"/>
    <w:uiPriority w:val="59"/>
    <w:unhideWhenUsed/>
    <w:rsid w:val="00F000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0AD"/>
  </w:style>
  <w:style w:type="paragraph" w:customStyle="1" w:styleId="FooterCouncil">
    <w:name w:val="Footer Council"/>
    <w:basedOn w:val="Normal"/>
    <w:link w:val="FooterCouncilChar"/>
    <w:rsid w:val="00F000AD"/>
    <w:pPr>
      <w:spacing w:after="0" w:line="240" w:lineRule="auto"/>
    </w:pPr>
    <w:rPr>
      <w:rFonts w:ascii="Times New Roman" w:hAnsi="Times New Roman" w:cs="Times New Roman"/>
      <w:sz w:val="2"/>
      <w:lang w:val="en-GB"/>
    </w:rPr>
  </w:style>
  <w:style w:type="character" w:customStyle="1" w:styleId="FooterCouncilChar">
    <w:name w:val="Footer Council Char"/>
    <w:link w:val="FooterCouncil"/>
    <w:locked/>
    <w:rsid w:val="00F000AD"/>
    <w:rPr>
      <w:rFonts w:ascii="Times New Roman" w:hAnsi="Times New Roman" w:cs="Times New Roman"/>
      <w:sz w:val="2"/>
      <w:lang w:val="en-GB"/>
    </w:rPr>
  </w:style>
  <w:style w:type="paragraph" w:customStyle="1" w:styleId="FooterText">
    <w:name w:val="Footer Text"/>
    <w:basedOn w:val="Normal"/>
    <w:rsid w:val="00F000AD"/>
    <w:p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4C7DC8"/>
    <w:rPr>
      <w:rFonts w:ascii="Times New Roman" w:eastAsia="Calibri" w:hAnsi="Times New Roman" w:cs="Arial"/>
      <w:b/>
      <w:smallCaps/>
      <w:sz w:val="24"/>
      <w:lang w:val="en-US"/>
    </w:rPr>
  </w:style>
  <w:style w:type="character" w:customStyle="1" w:styleId="Heading2Char">
    <w:name w:val="Heading 2 Char"/>
    <w:basedOn w:val="DefaultParagraphFont"/>
    <w:link w:val="Heading2"/>
    <w:uiPriority w:val="9"/>
    <w:semiHidden/>
    <w:rsid w:val="004C7DC8"/>
    <w:rPr>
      <w:rFonts w:ascii="Times New Roman" w:eastAsia="Calibri" w:hAnsi="Times New Roman" w:cs="Arial"/>
      <w:b/>
      <w:sz w:val="24"/>
      <w:lang w:val="en-US"/>
    </w:rPr>
  </w:style>
  <w:style w:type="character" w:customStyle="1" w:styleId="Heading3Char">
    <w:name w:val="Heading 3 Char"/>
    <w:basedOn w:val="DefaultParagraphFont"/>
    <w:link w:val="Heading3"/>
    <w:uiPriority w:val="9"/>
    <w:semiHidden/>
    <w:rsid w:val="004C7DC8"/>
    <w:rPr>
      <w:rFonts w:ascii="Times New Roman" w:eastAsia="Calibri" w:hAnsi="Times New Roman" w:cs="Arial"/>
      <w:i/>
      <w:sz w:val="24"/>
      <w:lang w:val="en-US"/>
    </w:rPr>
  </w:style>
  <w:style w:type="character" w:customStyle="1" w:styleId="Heading4Char">
    <w:name w:val="Heading 4 Char"/>
    <w:basedOn w:val="DefaultParagraphFont"/>
    <w:link w:val="Heading4"/>
    <w:uiPriority w:val="9"/>
    <w:semiHidden/>
    <w:rsid w:val="004C7DC8"/>
    <w:rPr>
      <w:rFonts w:ascii="Times New Roman" w:eastAsia="Calibri" w:hAnsi="Times New Roman" w:cs="Arial"/>
      <w:sz w:val="24"/>
      <w:lang w:val="en-US"/>
    </w:rPr>
  </w:style>
  <w:style w:type="character" w:customStyle="1" w:styleId="Heading5Char">
    <w:name w:val="Heading 5 Char"/>
    <w:basedOn w:val="DefaultParagraphFont"/>
    <w:link w:val="Heading5"/>
    <w:semiHidden/>
    <w:rsid w:val="004C7DC8"/>
    <w:rPr>
      <w:rFonts w:ascii="Arial" w:eastAsia="Calibri" w:hAnsi="Arial" w:cs="Arial"/>
      <w:lang w:val="en-US"/>
    </w:rPr>
  </w:style>
  <w:style w:type="character" w:customStyle="1" w:styleId="Heading6Char">
    <w:name w:val="Heading 6 Char"/>
    <w:basedOn w:val="DefaultParagraphFont"/>
    <w:link w:val="Heading6"/>
    <w:semiHidden/>
    <w:rsid w:val="004C7DC8"/>
    <w:rPr>
      <w:rFonts w:ascii="Arial" w:eastAsia="Calibri" w:hAnsi="Arial" w:cs="Arial"/>
      <w:i/>
      <w:lang w:val="en-US"/>
    </w:rPr>
  </w:style>
  <w:style w:type="character" w:customStyle="1" w:styleId="Heading7Char">
    <w:name w:val="Heading 7 Char"/>
    <w:basedOn w:val="DefaultParagraphFont"/>
    <w:link w:val="Heading7"/>
    <w:semiHidden/>
    <w:rsid w:val="004C7DC8"/>
    <w:rPr>
      <w:rFonts w:ascii="Arial" w:eastAsia="Calibri" w:hAnsi="Arial" w:cs="Arial"/>
      <w:sz w:val="20"/>
      <w:lang w:val="en-US"/>
    </w:rPr>
  </w:style>
  <w:style w:type="character" w:customStyle="1" w:styleId="Heading8Char">
    <w:name w:val="Heading 8 Char"/>
    <w:basedOn w:val="DefaultParagraphFont"/>
    <w:link w:val="Heading8"/>
    <w:semiHidden/>
    <w:rsid w:val="004C7DC8"/>
    <w:rPr>
      <w:rFonts w:ascii="Arial" w:eastAsia="Calibri" w:hAnsi="Arial" w:cs="Arial"/>
      <w:i/>
      <w:sz w:val="20"/>
      <w:lang w:val="en-US"/>
    </w:rPr>
  </w:style>
  <w:style w:type="character" w:customStyle="1" w:styleId="Heading9Char">
    <w:name w:val="Heading 9 Char"/>
    <w:basedOn w:val="DefaultParagraphFont"/>
    <w:link w:val="Heading9"/>
    <w:semiHidden/>
    <w:rsid w:val="004C7DC8"/>
    <w:rPr>
      <w:rFonts w:ascii="Arial" w:eastAsia="Calibri" w:hAnsi="Arial" w:cs="Arial"/>
      <w:i/>
      <w:sz w:val="18"/>
      <w:lang w:val="en-US"/>
    </w:rPr>
  </w:style>
  <w:style w:type="numbering" w:customStyle="1" w:styleId="NoList1">
    <w:name w:val="No List1"/>
    <w:next w:val="NoList"/>
    <w:uiPriority w:val="99"/>
    <w:semiHidden/>
    <w:unhideWhenUsed/>
    <w:rsid w:val="004C7DC8"/>
  </w:style>
  <w:style w:type="paragraph" w:styleId="Footer">
    <w:name w:val="footer"/>
    <w:basedOn w:val="Normal"/>
    <w:link w:val="FooterChar"/>
    <w:uiPriority w:val="99"/>
    <w:unhideWhenUsed/>
    <w:rsid w:val="004C7DC8"/>
    <w:pPr>
      <w:tabs>
        <w:tab w:val="center" w:pos="4819"/>
        <w:tab w:val="center" w:pos="7370"/>
        <w:tab w:val="right" w:pos="9638"/>
      </w:tabs>
      <w:spacing w:after="0" w:line="240" w:lineRule="auto"/>
    </w:pPr>
    <w:rPr>
      <w:rFonts w:ascii="Times New Roman" w:hAnsi="Times New Roman" w:cs="Times New Roman"/>
      <w:sz w:val="24"/>
      <w:lang w:val="en-GB"/>
    </w:rPr>
  </w:style>
  <w:style w:type="character" w:customStyle="1" w:styleId="FooterChar">
    <w:name w:val="Footer Char"/>
    <w:basedOn w:val="DefaultParagraphFont"/>
    <w:link w:val="Footer"/>
    <w:uiPriority w:val="99"/>
    <w:rsid w:val="004C7DC8"/>
    <w:rPr>
      <w:rFonts w:ascii="Times New Roman" w:hAnsi="Times New Roman" w:cs="Times New Roman"/>
      <w:sz w:val="24"/>
      <w:lang w:val="en-GB"/>
    </w:rPr>
  </w:style>
  <w:style w:type="paragraph" w:customStyle="1" w:styleId="NormalCentered">
    <w:name w:val="Normal Centered"/>
    <w:basedOn w:val="Normal"/>
    <w:rsid w:val="004C7DC8"/>
    <w:pPr>
      <w:spacing w:before="200" w:after="120" w:line="360" w:lineRule="auto"/>
      <w:jc w:val="center"/>
    </w:pPr>
    <w:rPr>
      <w:rFonts w:ascii="Times New Roman" w:hAnsi="Times New Roman" w:cs="Times New Roman"/>
      <w:sz w:val="24"/>
      <w:lang w:val="en-GB"/>
    </w:rPr>
  </w:style>
  <w:style w:type="paragraph" w:customStyle="1" w:styleId="NormalRight">
    <w:name w:val="Normal Right"/>
    <w:basedOn w:val="Normal"/>
    <w:rsid w:val="004C7DC8"/>
    <w:pPr>
      <w:spacing w:before="200" w:after="120" w:line="360" w:lineRule="auto"/>
      <w:jc w:val="right"/>
    </w:pPr>
    <w:rPr>
      <w:rFonts w:ascii="Times New Roman" w:hAnsi="Times New Roman" w:cs="Times New Roman"/>
      <w:sz w:val="24"/>
      <w:lang w:val="en-GB"/>
    </w:rPr>
  </w:style>
  <w:style w:type="paragraph" w:customStyle="1" w:styleId="NormalJustified">
    <w:name w:val="Normal Justified"/>
    <w:basedOn w:val="Normal"/>
    <w:rsid w:val="004C7DC8"/>
    <w:pPr>
      <w:spacing w:before="200" w:after="120" w:line="360" w:lineRule="auto"/>
      <w:jc w:val="both"/>
    </w:pPr>
    <w:rPr>
      <w:rFonts w:ascii="Times New Roman" w:hAnsi="Times New Roman" w:cs="Times New Roman"/>
      <w:sz w:val="24"/>
      <w:lang w:val="en-GB"/>
    </w:rPr>
  </w:style>
  <w:style w:type="paragraph" w:customStyle="1" w:styleId="HeaderLandscape">
    <w:name w:val="HeaderLandscape"/>
    <w:basedOn w:val="Normal"/>
    <w:rsid w:val="004C7DC8"/>
    <w:pPr>
      <w:tabs>
        <w:tab w:val="right" w:pos="14570"/>
      </w:tabs>
      <w:spacing w:before="120" w:after="120" w:line="360" w:lineRule="auto"/>
    </w:pPr>
    <w:rPr>
      <w:rFonts w:ascii="Times New Roman" w:hAnsi="Times New Roman" w:cs="Times New Roman"/>
      <w:sz w:val="24"/>
      <w:lang w:val="en-GB"/>
    </w:rPr>
  </w:style>
  <w:style w:type="paragraph" w:customStyle="1" w:styleId="FooterLandscape">
    <w:name w:val="FooterLandscape"/>
    <w:basedOn w:val="Normal"/>
    <w:rsid w:val="004C7DC8"/>
    <w:pPr>
      <w:tabs>
        <w:tab w:val="center" w:pos="7285"/>
        <w:tab w:val="center" w:pos="10930"/>
        <w:tab w:val="right" w:pos="14570"/>
      </w:tabs>
      <w:spacing w:after="0" w:line="240" w:lineRule="auto"/>
    </w:pPr>
    <w:rPr>
      <w:rFonts w:ascii="Times New Roman" w:hAnsi="Times New Roman" w:cs="Times New Roman"/>
      <w:sz w:val="24"/>
      <w:lang w:val="en-GB"/>
    </w:rPr>
  </w:style>
  <w:style w:type="paragraph" w:customStyle="1" w:styleId="HeaderCouncil">
    <w:name w:val="Header Council"/>
    <w:basedOn w:val="Normal"/>
    <w:link w:val="HeaderCouncilChar"/>
    <w:rsid w:val="004C7DC8"/>
    <w:pPr>
      <w:spacing w:after="0" w:line="240" w:lineRule="auto"/>
    </w:pPr>
    <w:rPr>
      <w:rFonts w:ascii="Times New Roman" w:hAnsi="Times New Roman" w:cs="Times New Roman"/>
      <w:sz w:val="2"/>
      <w:lang w:val="en-GB"/>
    </w:rPr>
  </w:style>
  <w:style w:type="character" w:customStyle="1" w:styleId="HeaderCouncilChar">
    <w:name w:val="Header Council Char"/>
    <w:link w:val="HeaderCouncil"/>
    <w:locked/>
    <w:rsid w:val="004C7DC8"/>
    <w:rPr>
      <w:rFonts w:ascii="Times New Roman" w:hAnsi="Times New Roman" w:cs="Times New Roman"/>
      <w:sz w:val="2"/>
      <w:lang w:val="en-GB"/>
    </w:rPr>
  </w:style>
  <w:style w:type="paragraph" w:customStyle="1" w:styleId="TechnicalBlock">
    <w:name w:val="Technical Block"/>
    <w:basedOn w:val="Normal"/>
    <w:next w:val="Normal"/>
    <w:link w:val="TechnicalBlockChar"/>
    <w:rsid w:val="004C7DC8"/>
    <w:pPr>
      <w:spacing w:after="240" w:line="240" w:lineRule="auto"/>
      <w:jc w:val="center"/>
    </w:pPr>
    <w:rPr>
      <w:rFonts w:ascii="Times New Roman" w:hAnsi="Times New Roman" w:cs="Times New Roman"/>
      <w:sz w:val="24"/>
      <w:lang w:val="en-GB"/>
    </w:rPr>
  </w:style>
  <w:style w:type="character" w:customStyle="1" w:styleId="TechnicalBlockChar">
    <w:name w:val="Technical Block Char"/>
    <w:basedOn w:val="DefaultParagraphFont"/>
    <w:link w:val="TechnicalBlock"/>
    <w:rsid w:val="004C7DC8"/>
    <w:rPr>
      <w:rFonts w:ascii="Times New Roman" w:hAnsi="Times New Roman" w:cs="Times New Roman"/>
      <w:sz w:val="24"/>
      <w:lang w:val="en-GB"/>
    </w:rPr>
  </w:style>
  <w:style w:type="paragraph" w:customStyle="1" w:styleId="FinalLine">
    <w:name w:val="Final Line"/>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paragraph" w:customStyle="1" w:styleId="FinalLineLandscape">
    <w:name w:val="Final Line (Landscape)"/>
    <w:basedOn w:val="Normal"/>
    <w:next w:val="Normal"/>
    <w:rsid w:val="004C7DC8"/>
    <w:pPr>
      <w:pBdr>
        <w:bottom w:val="single" w:sz="4" w:space="0" w:color="000000"/>
      </w:pBdr>
      <w:spacing w:before="360" w:after="120" w:line="360" w:lineRule="auto"/>
      <w:ind w:left="5868" w:right="5868"/>
      <w:jc w:val="center"/>
    </w:pPr>
    <w:rPr>
      <w:rFonts w:ascii="Times New Roman" w:hAnsi="Times New Roman" w:cs="Times New Roman"/>
      <w:b/>
      <w:sz w:val="24"/>
      <w:lang w:val="en-GB"/>
    </w:rPr>
  </w:style>
  <w:style w:type="paragraph" w:customStyle="1" w:styleId="Text1">
    <w:name w:val="Text 1"/>
    <w:basedOn w:val="Normal"/>
    <w:link w:val="Text1Char"/>
    <w:rsid w:val="004C7DC8"/>
    <w:pPr>
      <w:spacing w:before="120" w:after="120" w:line="360" w:lineRule="auto"/>
      <w:ind w:left="567"/>
    </w:pPr>
    <w:rPr>
      <w:rFonts w:ascii="Times New Roman" w:hAnsi="Times New Roman" w:cs="Times New Roman"/>
      <w:sz w:val="24"/>
      <w:lang w:val="en-GB"/>
    </w:rPr>
  </w:style>
  <w:style w:type="character" w:customStyle="1" w:styleId="Text1Char">
    <w:name w:val="Text 1 Char"/>
    <w:link w:val="Text1"/>
    <w:locked/>
    <w:rsid w:val="004C7DC8"/>
    <w:rPr>
      <w:rFonts w:ascii="Times New Roman" w:hAnsi="Times New Roman" w:cs="Times New Roman"/>
      <w:sz w:val="24"/>
      <w:lang w:val="en-GB"/>
    </w:rPr>
  </w:style>
  <w:style w:type="paragraph" w:customStyle="1" w:styleId="Text2">
    <w:name w:val="Text 2"/>
    <w:basedOn w:val="Normal"/>
    <w:rsid w:val="004C7DC8"/>
    <w:pPr>
      <w:spacing w:before="120" w:after="120" w:line="360" w:lineRule="auto"/>
      <w:ind w:left="1134"/>
    </w:pPr>
    <w:rPr>
      <w:rFonts w:ascii="Times New Roman" w:hAnsi="Times New Roman" w:cs="Times New Roman"/>
      <w:sz w:val="24"/>
      <w:lang w:val="en-GB"/>
    </w:rPr>
  </w:style>
  <w:style w:type="paragraph" w:customStyle="1" w:styleId="Text3">
    <w:name w:val="Text 3"/>
    <w:basedOn w:val="Normal"/>
    <w:rsid w:val="004C7DC8"/>
    <w:pPr>
      <w:spacing w:before="120" w:after="120" w:line="360" w:lineRule="auto"/>
      <w:ind w:left="1701"/>
    </w:pPr>
    <w:rPr>
      <w:rFonts w:ascii="Times New Roman" w:hAnsi="Times New Roman" w:cs="Times New Roman"/>
      <w:sz w:val="24"/>
      <w:lang w:val="en-GB"/>
    </w:rPr>
  </w:style>
  <w:style w:type="paragraph" w:customStyle="1" w:styleId="Text4">
    <w:name w:val="Text 4"/>
    <w:basedOn w:val="Normal"/>
    <w:rsid w:val="004C7DC8"/>
    <w:pPr>
      <w:spacing w:before="120" w:after="120" w:line="360" w:lineRule="auto"/>
      <w:ind w:left="2268"/>
    </w:pPr>
    <w:rPr>
      <w:rFonts w:ascii="Times New Roman" w:hAnsi="Times New Roman" w:cs="Times New Roman"/>
      <w:sz w:val="24"/>
      <w:lang w:val="en-GB"/>
    </w:rPr>
  </w:style>
  <w:style w:type="paragraph" w:customStyle="1" w:styleId="Text5">
    <w:name w:val="Text 5"/>
    <w:basedOn w:val="Normal"/>
    <w:rsid w:val="004C7DC8"/>
    <w:pPr>
      <w:spacing w:before="120" w:after="120" w:line="360" w:lineRule="auto"/>
      <w:ind w:left="2835"/>
    </w:pPr>
    <w:rPr>
      <w:rFonts w:ascii="Times New Roman" w:hAnsi="Times New Roman" w:cs="Times New Roman"/>
      <w:sz w:val="24"/>
      <w:lang w:val="en-GB"/>
    </w:rPr>
  </w:style>
  <w:style w:type="paragraph" w:customStyle="1" w:styleId="Text6">
    <w:name w:val="Text 6"/>
    <w:basedOn w:val="Normal"/>
    <w:rsid w:val="004C7DC8"/>
    <w:pPr>
      <w:spacing w:before="120" w:after="120" w:line="360" w:lineRule="auto"/>
      <w:ind w:left="3402"/>
    </w:pPr>
    <w:rPr>
      <w:rFonts w:ascii="Times New Roman" w:hAnsi="Times New Roman" w:cs="Times New Roman"/>
      <w:sz w:val="24"/>
      <w:lang w:val="en-GB"/>
    </w:rPr>
  </w:style>
  <w:style w:type="paragraph" w:customStyle="1" w:styleId="PointManual">
    <w:name w:val="Point Manual"/>
    <w:basedOn w:val="Normal"/>
    <w:rsid w:val="004C7DC8"/>
    <w:pPr>
      <w:spacing w:before="120" w:after="120" w:line="360" w:lineRule="auto"/>
      <w:ind w:left="567" w:hanging="567"/>
    </w:pPr>
    <w:rPr>
      <w:rFonts w:ascii="Times New Roman" w:hAnsi="Times New Roman" w:cs="Times New Roman"/>
      <w:sz w:val="24"/>
      <w:lang w:val="en-GB"/>
    </w:rPr>
  </w:style>
  <w:style w:type="paragraph" w:customStyle="1" w:styleId="PointManual1">
    <w:name w:val="Point Manual (1)"/>
    <w:basedOn w:val="Normal"/>
    <w:rsid w:val="004C7DC8"/>
    <w:pPr>
      <w:spacing w:before="120" w:after="120" w:line="360" w:lineRule="auto"/>
      <w:ind w:left="1134" w:hanging="567"/>
    </w:pPr>
    <w:rPr>
      <w:rFonts w:ascii="Times New Roman" w:hAnsi="Times New Roman" w:cs="Times New Roman"/>
      <w:sz w:val="24"/>
      <w:lang w:val="en-GB"/>
    </w:rPr>
  </w:style>
  <w:style w:type="paragraph" w:customStyle="1" w:styleId="PointManual2">
    <w:name w:val="Point Manual (2)"/>
    <w:basedOn w:val="Normal"/>
    <w:rsid w:val="004C7DC8"/>
    <w:pPr>
      <w:spacing w:before="120" w:after="120" w:line="360" w:lineRule="auto"/>
      <w:ind w:left="1701" w:hanging="567"/>
    </w:pPr>
    <w:rPr>
      <w:rFonts w:ascii="Times New Roman" w:hAnsi="Times New Roman" w:cs="Times New Roman"/>
      <w:sz w:val="24"/>
      <w:lang w:val="en-GB"/>
    </w:rPr>
  </w:style>
  <w:style w:type="paragraph" w:customStyle="1" w:styleId="PointManual3">
    <w:name w:val="Point Manual (3)"/>
    <w:basedOn w:val="Normal"/>
    <w:rsid w:val="004C7DC8"/>
    <w:pPr>
      <w:spacing w:before="120" w:after="120" w:line="360" w:lineRule="auto"/>
      <w:ind w:left="2268" w:hanging="567"/>
    </w:pPr>
    <w:rPr>
      <w:rFonts w:ascii="Times New Roman" w:hAnsi="Times New Roman" w:cs="Times New Roman"/>
      <w:sz w:val="24"/>
      <w:lang w:val="en-GB"/>
    </w:rPr>
  </w:style>
  <w:style w:type="paragraph" w:customStyle="1" w:styleId="PointManual4">
    <w:name w:val="Point Manual (4)"/>
    <w:basedOn w:val="Normal"/>
    <w:rsid w:val="004C7DC8"/>
    <w:pPr>
      <w:spacing w:before="120" w:after="120" w:line="360" w:lineRule="auto"/>
      <w:ind w:left="2835" w:hanging="567"/>
    </w:pPr>
    <w:rPr>
      <w:rFonts w:ascii="Times New Roman" w:hAnsi="Times New Roman" w:cs="Times New Roman"/>
      <w:sz w:val="24"/>
      <w:lang w:val="en-GB"/>
    </w:rPr>
  </w:style>
  <w:style w:type="paragraph" w:customStyle="1" w:styleId="PointDoubleManual">
    <w:name w:val="Point Double Manual"/>
    <w:basedOn w:val="Normal"/>
    <w:rsid w:val="004C7DC8"/>
    <w:pPr>
      <w:tabs>
        <w:tab w:val="left" w:pos="567"/>
      </w:tabs>
      <w:spacing w:before="120" w:after="120" w:line="360" w:lineRule="auto"/>
      <w:ind w:left="1134" w:hanging="1134"/>
    </w:pPr>
    <w:rPr>
      <w:rFonts w:ascii="Times New Roman" w:hAnsi="Times New Roman" w:cs="Times New Roman"/>
      <w:sz w:val="24"/>
      <w:lang w:val="en-GB"/>
    </w:rPr>
  </w:style>
  <w:style w:type="paragraph" w:customStyle="1" w:styleId="PointDoubleManual1">
    <w:name w:val="Point Double Manual (1)"/>
    <w:basedOn w:val="Normal"/>
    <w:rsid w:val="004C7DC8"/>
    <w:pPr>
      <w:tabs>
        <w:tab w:val="left" w:pos="1134"/>
      </w:tabs>
      <w:spacing w:before="120" w:after="120" w:line="360" w:lineRule="auto"/>
      <w:ind w:left="1701" w:hanging="1134"/>
    </w:pPr>
    <w:rPr>
      <w:rFonts w:ascii="Times New Roman" w:hAnsi="Times New Roman" w:cs="Times New Roman"/>
      <w:sz w:val="24"/>
      <w:lang w:val="en-GB"/>
    </w:rPr>
  </w:style>
  <w:style w:type="paragraph" w:customStyle="1" w:styleId="PointDoubleManual2">
    <w:name w:val="Point Double Manual (2)"/>
    <w:basedOn w:val="Normal"/>
    <w:rsid w:val="004C7DC8"/>
    <w:pPr>
      <w:tabs>
        <w:tab w:val="left" w:pos="1701"/>
      </w:tabs>
      <w:spacing w:before="120" w:after="120" w:line="360" w:lineRule="auto"/>
      <w:ind w:left="2268" w:hanging="1134"/>
    </w:pPr>
    <w:rPr>
      <w:rFonts w:ascii="Times New Roman" w:hAnsi="Times New Roman" w:cs="Times New Roman"/>
      <w:sz w:val="24"/>
      <w:lang w:val="en-GB"/>
    </w:rPr>
  </w:style>
  <w:style w:type="paragraph" w:customStyle="1" w:styleId="PointDoubleManual3">
    <w:name w:val="Point Double Manual (3)"/>
    <w:basedOn w:val="Normal"/>
    <w:rsid w:val="004C7DC8"/>
    <w:pPr>
      <w:tabs>
        <w:tab w:val="left" w:pos="2268"/>
      </w:tabs>
      <w:spacing w:before="120" w:after="120" w:line="360" w:lineRule="auto"/>
      <w:ind w:left="2835" w:hanging="1134"/>
    </w:pPr>
    <w:rPr>
      <w:rFonts w:ascii="Times New Roman" w:hAnsi="Times New Roman" w:cs="Times New Roman"/>
      <w:sz w:val="24"/>
      <w:lang w:val="en-GB"/>
    </w:rPr>
  </w:style>
  <w:style w:type="paragraph" w:customStyle="1" w:styleId="PointDoubleManual4">
    <w:name w:val="Point Double Manual (4)"/>
    <w:basedOn w:val="Normal"/>
    <w:rsid w:val="004C7DC8"/>
    <w:pPr>
      <w:tabs>
        <w:tab w:val="left" w:pos="2835"/>
      </w:tabs>
      <w:spacing w:before="120" w:after="120" w:line="360" w:lineRule="auto"/>
      <w:ind w:left="3402" w:hanging="1134"/>
    </w:pPr>
    <w:rPr>
      <w:rFonts w:ascii="Times New Roman" w:hAnsi="Times New Roman" w:cs="Times New Roman"/>
      <w:sz w:val="24"/>
      <w:lang w:val="en-GB"/>
    </w:rPr>
  </w:style>
  <w:style w:type="paragraph" w:customStyle="1" w:styleId="Pointabc">
    <w:name w:val="Point abc"/>
    <w:basedOn w:val="Normal"/>
    <w:rsid w:val="004C7DC8"/>
    <w:pPr>
      <w:numPr>
        <w:ilvl w:val="6"/>
        <w:numId w:val="16"/>
      </w:numPr>
      <w:tabs>
        <w:tab w:val="clear" w:pos="2268"/>
        <w:tab w:val="num" w:pos="567"/>
      </w:tabs>
      <w:spacing w:before="120" w:after="120" w:line="360" w:lineRule="auto"/>
      <w:ind w:left="567"/>
    </w:pPr>
    <w:rPr>
      <w:rFonts w:ascii="Times New Roman" w:hAnsi="Times New Roman" w:cs="Times New Roman"/>
      <w:sz w:val="24"/>
      <w:lang w:val="en-GB"/>
    </w:rPr>
  </w:style>
  <w:style w:type="paragraph" w:customStyle="1" w:styleId="Pointabc1">
    <w:name w:val="Point abc (1)"/>
    <w:basedOn w:val="Normal"/>
    <w:rsid w:val="004C7DC8"/>
    <w:pPr>
      <w:numPr>
        <w:ilvl w:val="3"/>
        <w:numId w:val="16"/>
      </w:numPr>
      <w:spacing w:before="120" w:after="120" w:line="360" w:lineRule="auto"/>
    </w:pPr>
    <w:rPr>
      <w:rFonts w:ascii="Times New Roman" w:hAnsi="Times New Roman" w:cs="Times New Roman"/>
      <w:sz w:val="24"/>
      <w:lang w:val="en-GB"/>
    </w:rPr>
  </w:style>
  <w:style w:type="paragraph" w:customStyle="1" w:styleId="Pointabc2">
    <w:name w:val="Point abc (2)"/>
    <w:basedOn w:val="Normal"/>
    <w:rsid w:val="004C7DC8"/>
    <w:pPr>
      <w:numPr>
        <w:ilvl w:val="5"/>
        <w:numId w:val="16"/>
      </w:numPr>
      <w:spacing w:before="120" w:after="120" w:line="360" w:lineRule="auto"/>
    </w:pPr>
    <w:rPr>
      <w:rFonts w:ascii="Times New Roman" w:hAnsi="Times New Roman" w:cs="Times New Roman"/>
      <w:sz w:val="24"/>
      <w:lang w:val="en-GB"/>
    </w:rPr>
  </w:style>
  <w:style w:type="paragraph" w:customStyle="1" w:styleId="Pointabc3">
    <w:name w:val="Point abc (3)"/>
    <w:basedOn w:val="Normal"/>
    <w:rsid w:val="004C7DC8"/>
    <w:pPr>
      <w:numPr>
        <w:ilvl w:val="7"/>
        <w:numId w:val="16"/>
      </w:numPr>
      <w:spacing w:before="120" w:after="120" w:line="360" w:lineRule="auto"/>
    </w:pPr>
    <w:rPr>
      <w:rFonts w:ascii="Times New Roman" w:hAnsi="Times New Roman" w:cs="Times New Roman"/>
      <w:sz w:val="24"/>
      <w:lang w:val="en-GB"/>
    </w:rPr>
  </w:style>
  <w:style w:type="paragraph" w:customStyle="1" w:styleId="Pointabc4">
    <w:name w:val="Point abc (4)"/>
    <w:basedOn w:val="Normal"/>
    <w:rsid w:val="004C7DC8"/>
    <w:pPr>
      <w:numPr>
        <w:ilvl w:val="8"/>
        <w:numId w:val="16"/>
      </w:numPr>
      <w:spacing w:before="120" w:after="120" w:line="360" w:lineRule="auto"/>
    </w:pPr>
    <w:rPr>
      <w:rFonts w:ascii="Times New Roman" w:hAnsi="Times New Roman" w:cs="Times New Roman"/>
      <w:sz w:val="24"/>
      <w:lang w:val="en-GB"/>
    </w:rPr>
  </w:style>
  <w:style w:type="paragraph" w:customStyle="1" w:styleId="Point123">
    <w:name w:val="Point 123"/>
    <w:basedOn w:val="Normal"/>
    <w:rsid w:val="004C7DC8"/>
    <w:pPr>
      <w:numPr>
        <w:numId w:val="16"/>
      </w:numPr>
      <w:spacing w:before="120" w:after="120" w:line="360" w:lineRule="auto"/>
    </w:pPr>
    <w:rPr>
      <w:rFonts w:ascii="Times New Roman" w:hAnsi="Times New Roman" w:cs="Times New Roman"/>
      <w:sz w:val="24"/>
      <w:lang w:val="en-GB"/>
    </w:rPr>
  </w:style>
  <w:style w:type="paragraph" w:customStyle="1" w:styleId="Point1231">
    <w:name w:val="Point 123 (1)"/>
    <w:basedOn w:val="Normal"/>
    <w:rsid w:val="004C7DC8"/>
    <w:pPr>
      <w:numPr>
        <w:ilvl w:val="2"/>
        <w:numId w:val="16"/>
      </w:numPr>
      <w:spacing w:before="120" w:after="120" w:line="360" w:lineRule="auto"/>
    </w:pPr>
    <w:rPr>
      <w:rFonts w:ascii="Times New Roman" w:hAnsi="Times New Roman" w:cs="Times New Roman"/>
      <w:sz w:val="24"/>
      <w:lang w:val="en-GB"/>
    </w:rPr>
  </w:style>
  <w:style w:type="paragraph" w:customStyle="1" w:styleId="Point1232">
    <w:name w:val="Point 123 (2)"/>
    <w:basedOn w:val="Normal"/>
    <w:rsid w:val="004C7DC8"/>
    <w:pPr>
      <w:numPr>
        <w:ilvl w:val="4"/>
        <w:numId w:val="16"/>
      </w:numPr>
      <w:spacing w:before="120" w:after="120" w:line="360" w:lineRule="auto"/>
    </w:pPr>
    <w:rPr>
      <w:rFonts w:ascii="Times New Roman" w:hAnsi="Times New Roman" w:cs="Times New Roman"/>
      <w:sz w:val="24"/>
      <w:lang w:val="en-GB"/>
    </w:rPr>
  </w:style>
  <w:style w:type="paragraph" w:customStyle="1" w:styleId="Point1233">
    <w:name w:val="Point 123 (3)"/>
    <w:basedOn w:val="Normal"/>
    <w:rsid w:val="004C7DC8"/>
    <w:pPr>
      <w:tabs>
        <w:tab w:val="num" w:pos="2268"/>
      </w:tabs>
      <w:spacing w:before="120" w:after="120" w:line="360" w:lineRule="auto"/>
      <w:ind w:left="2268" w:hanging="567"/>
    </w:pPr>
    <w:rPr>
      <w:rFonts w:ascii="Times New Roman" w:hAnsi="Times New Roman" w:cs="Times New Roman"/>
      <w:sz w:val="24"/>
      <w:lang w:val="en-GB"/>
    </w:rPr>
  </w:style>
  <w:style w:type="paragraph" w:customStyle="1" w:styleId="Pointivx">
    <w:name w:val="Point ivx"/>
    <w:basedOn w:val="Normal"/>
    <w:rsid w:val="004C7DC8"/>
    <w:pPr>
      <w:numPr>
        <w:numId w:val="17"/>
      </w:numPr>
      <w:spacing w:before="120" w:after="120" w:line="360" w:lineRule="auto"/>
    </w:pPr>
    <w:rPr>
      <w:rFonts w:ascii="Times New Roman" w:hAnsi="Times New Roman" w:cs="Times New Roman"/>
      <w:sz w:val="24"/>
      <w:lang w:val="en-GB"/>
    </w:rPr>
  </w:style>
  <w:style w:type="paragraph" w:customStyle="1" w:styleId="Pointivx1">
    <w:name w:val="Point ivx (1)"/>
    <w:basedOn w:val="Normal"/>
    <w:rsid w:val="004C7DC8"/>
    <w:pPr>
      <w:numPr>
        <w:ilvl w:val="1"/>
        <w:numId w:val="17"/>
      </w:numPr>
      <w:spacing w:before="120" w:after="120" w:line="360" w:lineRule="auto"/>
    </w:pPr>
    <w:rPr>
      <w:rFonts w:ascii="Times New Roman" w:hAnsi="Times New Roman" w:cs="Times New Roman"/>
      <w:sz w:val="24"/>
      <w:lang w:val="en-GB"/>
    </w:rPr>
  </w:style>
  <w:style w:type="paragraph" w:customStyle="1" w:styleId="Pointivx2">
    <w:name w:val="Point ivx (2)"/>
    <w:basedOn w:val="Normal"/>
    <w:rsid w:val="004C7DC8"/>
    <w:pPr>
      <w:numPr>
        <w:ilvl w:val="2"/>
        <w:numId w:val="17"/>
      </w:numPr>
      <w:spacing w:before="120" w:after="120" w:line="360" w:lineRule="auto"/>
    </w:pPr>
    <w:rPr>
      <w:rFonts w:ascii="Times New Roman" w:hAnsi="Times New Roman" w:cs="Times New Roman"/>
      <w:sz w:val="24"/>
      <w:lang w:val="en-GB"/>
    </w:rPr>
  </w:style>
  <w:style w:type="paragraph" w:customStyle="1" w:styleId="Pointivx3">
    <w:name w:val="Point ivx (3)"/>
    <w:basedOn w:val="Normal"/>
    <w:rsid w:val="004C7DC8"/>
    <w:pPr>
      <w:numPr>
        <w:ilvl w:val="3"/>
        <w:numId w:val="17"/>
      </w:numPr>
      <w:spacing w:before="120" w:after="120" w:line="360" w:lineRule="auto"/>
    </w:pPr>
    <w:rPr>
      <w:rFonts w:ascii="Times New Roman" w:hAnsi="Times New Roman" w:cs="Times New Roman"/>
      <w:sz w:val="24"/>
      <w:lang w:val="en-GB"/>
    </w:rPr>
  </w:style>
  <w:style w:type="paragraph" w:customStyle="1" w:styleId="Pointivx4">
    <w:name w:val="Point ivx (4)"/>
    <w:basedOn w:val="Normal"/>
    <w:rsid w:val="004C7DC8"/>
    <w:pPr>
      <w:numPr>
        <w:ilvl w:val="4"/>
        <w:numId w:val="17"/>
      </w:numPr>
      <w:spacing w:before="120" w:after="120" w:line="360" w:lineRule="auto"/>
    </w:pPr>
    <w:rPr>
      <w:rFonts w:ascii="Times New Roman" w:hAnsi="Times New Roman" w:cs="Times New Roman"/>
      <w:sz w:val="24"/>
      <w:lang w:val="en-GB"/>
    </w:rPr>
  </w:style>
  <w:style w:type="paragraph" w:customStyle="1" w:styleId="Bullet">
    <w:name w:val="Bullet"/>
    <w:basedOn w:val="Normal"/>
    <w:rsid w:val="004C7DC8"/>
    <w:pPr>
      <w:numPr>
        <w:numId w:val="11"/>
      </w:numPr>
      <w:spacing w:before="120" w:after="120" w:line="360" w:lineRule="auto"/>
    </w:pPr>
    <w:rPr>
      <w:rFonts w:ascii="Times New Roman" w:hAnsi="Times New Roman" w:cs="Times New Roman"/>
      <w:sz w:val="24"/>
      <w:lang w:val="en-GB"/>
    </w:rPr>
  </w:style>
  <w:style w:type="paragraph" w:customStyle="1" w:styleId="Bullet1">
    <w:name w:val="Bullet 1"/>
    <w:basedOn w:val="Normal"/>
    <w:rsid w:val="004C7DC8"/>
    <w:pPr>
      <w:numPr>
        <w:numId w:val="12"/>
      </w:numPr>
      <w:spacing w:before="120" w:after="120" w:line="360" w:lineRule="auto"/>
    </w:pPr>
    <w:rPr>
      <w:rFonts w:ascii="Times New Roman" w:hAnsi="Times New Roman" w:cs="Times New Roman"/>
      <w:sz w:val="24"/>
      <w:lang w:val="en-GB"/>
    </w:rPr>
  </w:style>
  <w:style w:type="paragraph" w:customStyle="1" w:styleId="Bullet2">
    <w:name w:val="Bullet 2"/>
    <w:basedOn w:val="Normal"/>
    <w:rsid w:val="004C7DC8"/>
    <w:pPr>
      <w:numPr>
        <w:numId w:val="13"/>
      </w:numPr>
      <w:spacing w:before="120" w:after="120" w:line="360" w:lineRule="auto"/>
    </w:pPr>
    <w:rPr>
      <w:rFonts w:ascii="Times New Roman" w:hAnsi="Times New Roman" w:cs="Times New Roman"/>
      <w:sz w:val="24"/>
      <w:lang w:val="en-GB"/>
    </w:rPr>
  </w:style>
  <w:style w:type="paragraph" w:customStyle="1" w:styleId="Bullet3">
    <w:name w:val="Bullet 3"/>
    <w:basedOn w:val="Normal"/>
    <w:rsid w:val="004C7DC8"/>
    <w:pPr>
      <w:numPr>
        <w:numId w:val="14"/>
      </w:numPr>
      <w:spacing w:before="120" w:after="120" w:line="360" w:lineRule="auto"/>
    </w:pPr>
    <w:rPr>
      <w:rFonts w:ascii="Times New Roman" w:hAnsi="Times New Roman" w:cs="Times New Roman"/>
      <w:sz w:val="24"/>
      <w:lang w:val="en-GB"/>
    </w:rPr>
  </w:style>
  <w:style w:type="paragraph" w:customStyle="1" w:styleId="Bullet4">
    <w:name w:val="Bullet 4"/>
    <w:basedOn w:val="Normal"/>
    <w:rsid w:val="004C7DC8"/>
    <w:pPr>
      <w:numPr>
        <w:numId w:val="15"/>
      </w:numPr>
      <w:spacing w:before="120" w:after="120" w:line="360" w:lineRule="auto"/>
    </w:pPr>
    <w:rPr>
      <w:rFonts w:ascii="Times New Roman" w:hAnsi="Times New Roman" w:cs="Times New Roman"/>
      <w:sz w:val="24"/>
      <w:lang w:val="en-GB"/>
    </w:rPr>
  </w:style>
  <w:style w:type="paragraph" w:customStyle="1" w:styleId="Dash">
    <w:name w:val="Dash"/>
    <w:basedOn w:val="Normal"/>
    <w:rsid w:val="004C7DC8"/>
    <w:pPr>
      <w:numPr>
        <w:numId w:val="1"/>
      </w:numPr>
      <w:spacing w:before="120" w:after="120" w:line="360" w:lineRule="auto"/>
    </w:pPr>
    <w:rPr>
      <w:rFonts w:ascii="Times New Roman" w:hAnsi="Times New Roman" w:cs="Times New Roman"/>
      <w:sz w:val="24"/>
      <w:lang w:val="en-GB"/>
    </w:rPr>
  </w:style>
  <w:style w:type="paragraph" w:customStyle="1" w:styleId="Dash1">
    <w:name w:val="Dash 1"/>
    <w:basedOn w:val="Normal"/>
    <w:rsid w:val="004C7DC8"/>
    <w:pPr>
      <w:numPr>
        <w:numId w:val="2"/>
      </w:numPr>
      <w:spacing w:before="120" w:after="120" w:line="360" w:lineRule="auto"/>
    </w:pPr>
    <w:rPr>
      <w:rFonts w:ascii="Times New Roman" w:hAnsi="Times New Roman" w:cs="Times New Roman"/>
      <w:sz w:val="24"/>
      <w:lang w:val="en-GB"/>
    </w:rPr>
  </w:style>
  <w:style w:type="paragraph" w:customStyle="1" w:styleId="Dash2">
    <w:name w:val="Dash 2"/>
    <w:basedOn w:val="Normal"/>
    <w:rsid w:val="004C7DC8"/>
    <w:pPr>
      <w:numPr>
        <w:numId w:val="3"/>
      </w:numPr>
      <w:spacing w:before="120" w:after="120" w:line="360" w:lineRule="auto"/>
    </w:pPr>
    <w:rPr>
      <w:rFonts w:ascii="Times New Roman" w:hAnsi="Times New Roman" w:cs="Times New Roman"/>
      <w:sz w:val="24"/>
      <w:lang w:val="en-GB"/>
    </w:rPr>
  </w:style>
  <w:style w:type="paragraph" w:customStyle="1" w:styleId="Dash3">
    <w:name w:val="Dash 3"/>
    <w:basedOn w:val="Normal"/>
    <w:rsid w:val="004C7DC8"/>
    <w:pPr>
      <w:numPr>
        <w:numId w:val="4"/>
      </w:numPr>
      <w:spacing w:before="120" w:after="120" w:line="360" w:lineRule="auto"/>
    </w:pPr>
    <w:rPr>
      <w:rFonts w:ascii="Times New Roman" w:hAnsi="Times New Roman" w:cs="Times New Roman"/>
      <w:sz w:val="24"/>
      <w:lang w:val="en-GB"/>
    </w:rPr>
  </w:style>
  <w:style w:type="paragraph" w:customStyle="1" w:styleId="Dash4">
    <w:name w:val="Dash 4"/>
    <w:basedOn w:val="Normal"/>
    <w:rsid w:val="004C7DC8"/>
    <w:pPr>
      <w:numPr>
        <w:numId w:val="5"/>
      </w:numPr>
      <w:spacing w:before="120" w:after="120" w:line="360" w:lineRule="auto"/>
    </w:pPr>
    <w:rPr>
      <w:rFonts w:ascii="Times New Roman" w:hAnsi="Times New Roman" w:cs="Times New Roman"/>
      <w:sz w:val="24"/>
      <w:lang w:val="en-GB"/>
    </w:rPr>
  </w:style>
  <w:style w:type="paragraph" w:customStyle="1" w:styleId="DashEqual">
    <w:name w:val="Dash Equal"/>
    <w:basedOn w:val="Dash"/>
    <w:rsid w:val="004C7DC8"/>
    <w:pPr>
      <w:numPr>
        <w:numId w:val="6"/>
      </w:numPr>
    </w:pPr>
  </w:style>
  <w:style w:type="paragraph" w:customStyle="1" w:styleId="DashEqual1">
    <w:name w:val="Dash Equal 1"/>
    <w:basedOn w:val="Dash1"/>
    <w:rsid w:val="004C7DC8"/>
    <w:pPr>
      <w:numPr>
        <w:numId w:val="7"/>
      </w:numPr>
    </w:pPr>
  </w:style>
  <w:style w:type="paragraph" w:customStyle="1" w:styleId="DashEqual2">
    <w:name w:val="Dash Equal 2"/>
    <w:basedOn w:val="Dash2"/>
    <w:rsid w:val="004C7DC8"/>
    <w:pPr>
      <w:numPr>
        <w:numId w:val="8"/>
      </w:numPr>
    </w:pPr>
  </w:style>
  <w:style w:type="paragraph" w:customStyle="1" w:styleId="DashEqual3">
    <w:name w:val="Dash Equal 3"/>
    <w:basedOn w:val="Dash3"/>
    <w:rsid w:val="004C7DC8"/>
    <w:pPr>
      <w:numPr>
        <w:numId w:val="9"/>
      </w:numPr>
    </w:pPr>
  </w:style>
  <w:style w:type="paragraph" w:customStyle="1" w:styleId="DashEqual4">
    <w:name w:val="Dash Equal 4"/>
    <w:basedOn w:val="Dash4"/>
    <w:rsid w:val="004C7DC8"/>
    <w:pPr>
      <w:numPr>
        <w:numId w:val="10"/>
      </w:numPr>
    </w:pPr>
  </w:style>
  <w:style w:type="character" w:customStyle="1" w:styleId="Marker">
    <w:name w:val="Marker"/>
    <w:basedOn w:val="DefaultParagraphFont"/>
    <w:rsid w:val="004C7DC8"/>
    <w:rPr>
      <w:color w:val="0000FF"/>
      <w:shd w:val="clear" w:color="auto" w:fill="auto"/>
    </w:rPr>
  </w:style>
  <w:style w:type="character" w:customStyle="1" w:styleId="Marker1">
    <w:name w:val="Marker1"/>
    <w:basedOn w:val="DefaultParagraphFont"/>
    <w:rsid w:val="004C7DC8"/>
    <w:rPr>
      <w:color w:val="008000"/>
      <w:shd w:val="clear" w:color="auto" w:fill="auto"/>
    </w:rPr>
  </w:style>
  <w:style w:type="paragraph" w:customStyle="1" w:styleId="HeadingLeft">
    <w:name w:val="Heading Left"/>
    <w:basedOn w:val="Normal"/>
    <w:next w:val="Normal"/>
    <w:rsid w:val="004C7DC8"/>
    <w:pPr>
      <w:spacing w:before="360" w:after="120" w:line="360" w:lineRule="auto"/>
      <w:outlineLvl w:val="0"/>
    </w:pPr>
    <w:rPr>
      <w:rFonts w:ascii="Times New Roman" w:hAnsi="Times New Roman" w:cs="Times New Roman"/>
      <w:b/>
      <w:caps/>
      <w:sz w:val="24"/>
      <w:u w:val="single"/>
      <w:lang w:val="en-GB"/>
    </w:rPr>
  </w:style>
  <w:style w:type="paragraph" w:customStyle="1" w:styleId="HeadingIVX">
    <w:name w:val="Heading IVX"/>
    <w:basedOn w:val="HeadingLeft"/>
    <w:next w:val="Normal"/>
    <w:rsid w:val="004C7DC8"/>
    <w:pPr>
      <w:numPr>
        <w:numId w:val="20"/>
      </w:numPr>
    </w:pPr>
  </w:style>
  <w:style w:type="paragraph" w:customStyle="1" w:styleId="Heading123">
    <w:name w:val="Heading 123"/>
    <w:basedOn w:val="HeadingLeft"/>
    <w:next w:val="Normal"/>
    <w:rsid w:val="004C7DC8"/>
    <w:pPr>
      <w:numPr>
        <w:numId w:val="19"/>
      </w:numPr>
    </w:pPr>
  </w:style>
  <w:style w:type="paragraph" w:customStyle="1" w:styleId="HeadingABC">
    <w:name w:val="Heading ABC"/>
    <w:basedOn w:val="HeadingLeft"/>
    <w:next w:val="Normal"/>
    <w:rsid w:val="004C7DC8"/>
    <w:pPr>
      <w:numPr>
        <w:numId w:val="18"/>
      </w:numPr>
    </w:pPr>
  </w:style>
  <w:style w:type="paragraph" w:customStyle="1" w:styleId="HeadingCentered">
    <w:name w:val="Heading Centered"/>
    <w:basedOn w:val="HeadingLeft"/>
    <w:next w:val="Normal"/>
    <w:rsid w:val="004C7DC8"/>
    <w:pPr>
      <w:jc w:val="center"/>
    </w:pPr>
  </w:style>
  <w:style w:type="paragraph" w:customStyle="1" w:styleId="Jardin">
    <w:name w:val="Jardin"/>
    <w:basedOn w:val="Normal"/>
    <w:rsid w:val="004C7DC8"/>
    <w:pPr>
      <w:spacing w:before="200" w:after="0" w:line="240" w:lineRule="auto"/>
      <w:jc w:val="center"/>
    </w:pPr>
    <w:rPr>
      <w:rFonts w:ascii="Times New Roman" w:hAnsi="Times New Roman" w:cs="Times New Roman"/>
      <w:sz w:val="24"/>
      <w:lang w:val="en-GB"/>
    </w:rPr>
  </w:style>
  <w:style w:type="paragraph" w:customStyle="1" w:styleId="Amendment">
    <w:name w:val="Amendment"/>
    <w:basedOn w:val="Normal"/>
    <w:next w:val="Normal"/>
    <w:rsid w:val="004C7DC8"/>
    <w:pPr>
      <w:spacing w:before="120" w:after="120" w:line="360" w:lineRule="auto"/>
    </w:pPr>
    <w:rPr>
      <w:rFonts w:ascii="Times New Roman" w:hAnsi="Times New Roman" w:cs="Times New Roman"/>
      <w:i/>
      <w:sz w:val="24"/>
      <w:u w:val="single"/>
      <w:lang w:val="en-GB"/>
    </w:rPr>
  </w:style>
  <w:style w:type="paragraph" w:customStyle="1" w:styleId="AmendmentList">
    <w:name w:val="Amendment List"/>
    <w:basedOn w:val="Normal"/>
    <w:rsid w:val="004C7DC8"/>
    <w:pPr>
      <w:spacing w:before="120" w:after="120" w:line="360" w:lineRule="auto"/>
      <w:ind w:left="2268" w:hanging="2268"/>
    </w:pPr>
    <w:rPr>
      <w:rFonts w:ascii="Times New Roman" w:hAnsi="Times New Roman" w:cs="Times New Roman"/>
      <w:sz w:val="24"/>
      <w:lang w:val="en-GB"/>
    </w:rPr>
  </w:style>
  <w:style w:type="paragraph" w:customStyle="1" w:styleId="ReplyRE">
    <w:name w:val="Reply RE"/>
    <w:basedOn w:val="Normal"/>
    <w:next w:val="Normal"/>
    <w:rsid w:val="004C7DC8"/>
    <w:pPr>
      <w:spacing w:before="120" w:after="480" w:line="240" w:lineRule="auto"/>
      <w:contextualSpacing/>
    </w:pPr>
    <w:rPr>
      <w:rFonts w:ascii="Times New Roman" w:hAnsi="Times New Roman" w:cs="Times New Roman"/>
      <w:sz w:val="24"/>
      <w:lang w:val="en-GB"/>
    </w:rPr>
  </w:style>
  <w:style w:type="paragraph" w:customStyle="1" w:styleId="ReplyBold">
    <w:name w:val="Reply Bold"/>
    <w:basedOn w:val="ReplyRE"/>
    <w:next w:val="Normal"/>
    <w:rsid w:val="004C7DC8"/>
    <w:rPr>
      <w:b/>
    </w:rPr>
  </w:style>
  <w:style w:type="paragraph" w:customStyle="1" w:styleId="Annex">
    <w:name w:val="Annex"/>
    <w:basedOn w:val="Normal"/>
    <w:next w:val="Normal"/>
    <w:rsid w:val="004C7DC8"/>
    <w:pPr>
      <w:spacing w:before="120" w:after="120" w:line="360" w:lineRule="auto"/>
      <w:jc w:val="right"/>
    </w:pPr>
    <w:rPr>
      <w:rFonts w:ascii="Times New Roman" w:hAnsi="Times New Roman" w:cs="Times New Roman"/>
      <w:b/>
      <w:sz w:val="24"/>
      <w:u w:val="single"/>
      <w:lang w:val="en-GB"/>
    </w:rPr>
  </w:style>
  <w:style w:type="paragraph" w:customStyle="1" w:styleId="Sign">
    <w:name w:val="Sign"/>
    <w:basedOn w:val="Normal"/>
    <w:rsid w:val="004C7DC8"/>
    <w:pPr>
      <w:tabs>
        <w:tab w:val="center" w:pos="7087"/>
      </w:tabs>
      <w:spacing w:before="120" w:after="120" w:line="360" w:lineRule="auto"/>
      <w:contextualSpacing/>
    </w:pPr>
    <w:rPr>
      <w:rFonts w:ascii="Times New Roman" w:hAnsi="Times New Roman" w:cs="Times New Roman"/>
      <w:sz w:val="24"/>
      <w:lang w:val="en-GB"/>
    </w:rPr>
  </w:style>
  <w:style w:type="paragraph" w:customStyle="1" w:styleId="NotDeclassified">
    <w:name w:val="Not Declassified"/>
    <w:basedOn w:val="Normal"/>
    <w:next w:val="Normal"/>
    <w:rsid w:val="004C7DC8"/>
    <w:pPr>
      <w:spacing w:before="120" w:after="120" w:line="360" w:lineRule="auto"/>
    </w:pPr>
    <w:rPr>
      <w:rFonts w:ascii="Times New Roman" w:hAnsi="Times New Roman" w:cs="Times New Roman"/>
      <w:b/>
      <w:sz w:val="24"/>
      <w:shd w:val="clear" w:color="auto" w:fill="CCCCCC"/>
      <w:lang w:val="en-GB"/>
    </w:rPr>
  </w:style>
  <w:style w:type="character" w:customStyle="1" w:styleId="NotDeclassifiedCharacter">
    <w:name w:val="Not Declassified Character"/>
    <w:basedOn w:val="DefaultParagraphFont"/>
    <w:rsid w:val="004C7DC8"/>
    <w:rPr>
      <w:rFonts w:ascii="Times New Roman" w:hAnsi="Times New Roman" w:cs="Times New Roman"/>
      <w:b/>
      <w:sz w:val="24"/>
      <w:shd w:val="clear" w:color="auto" w:fill="CCCCCC"/>
    </w:rPr>
  </w:style>
  <w:style w:type="paragraph" w:customStyle="1" w:styleId="NormalCompact">
    <w:name w:val="Normal Compact"/>
    <w:basedOn w:val="Normal"/>
    <w:next w:val="Normal"/>
    <w:rsid w:val="004C7DC8"/>
    <w:pPr>
      <w:spacing w:before="120" w:after="120" w:line="240" w:lineRule="auto"/>
    </w:pPr>
    <w:rPr>
      <w:rFonts w:ascii="Times New Roman" w:hAnsi="Times New Roman" w:cs="Times New Roman"/>
      <w:sz w:val="24"/>
      <w:lang w:val="en-GB"/>
    </w:rPr>
  </w:style>
  <w:style w:type="paragraph" w:styleId="EndnoteText">
    <w:name w:val="endnote text"/>
    <w:basedOn w:val="Normal"/>
    <w:link w:val="EndnoteTextChar"/>
    <w:semiHidden/>
    <w:unhideWhenUsed/>
    <w:rsid w:val="004C7DC8"/>
    <w:pPr>
      <w:spacing w:after="0" w:line="240" w:lineRule="auto"/>
    </w:pPr>
    <w:rPr>
      <w:rFonts w:ascii="Times New Roman" w:hAnsi="Times New Roman" w:cs="Times New Roman"/>
      <w:sz w:val="20"/>
      <w:szCs w:val="20"/>
      <w:lang w:val="en-GB"/>
    </w:rPr>
  </w:style>
  <w:style w:type="character" w:customStyle="1" w:styleId="EndnoteTextChar">
    <w:name w:val="Endnote Text Char"/>
    <w:basedOn w:val="DefaultParagraphFont"/>
    <w:link w:val="EndnoteText"/>
    <w:semiHidden/>
    <w:rsid w:val="004C7DC8"/>
    <w:rPr>
      <w:rFonts w:ascii="Times New Roman" w:hAnsi="Times New Roman" w:cs="Times New Roman"/>
      <w:sz w:val="20"/>
      <w:szCs w:val="20"/>
      <w:lang w:val="en-GB"/>
    </w:rPr>
  </w:style>
  <w:style w:type="character" w:styleId="EndnoteReference">
    <w:name w:val="endnote reference"/>
    <w:basedOn w:val="DefaultParagraphFont"/>
    <w:semiHidden/>
    <w:unhideWhenUsed/>
    <w:rsid w:val="004C7DC8"/>
    <w:rPr>
      <w:vertAlign w:val="superscript"/>
    </w:rPr>
  </w:style>
  <w:style w:type="paragraph" w:customStyle="1" w:styleId="HeaderCouncilLarge">
    <w:name w:val="Header Council Large"/>
    <w:basedOn w:val="Normal"/>
    <w:link w:val="HeaderCouncilLargeChar"/>
    <w:rsid w:val="004C7DC8"/>
    <w:pPr>
      <w:spacing w:after="440" w:line="360" w:lineRule="auto"/>
      <w:ind w:left="-1134" w:right="-1134"/>
    </w:pPr>
    <w:rPr>
      <w:rFonts w:ascii="Times New Roman" w:hAnsi="Times New Roman" w:cs="Times New Roman"/>
      <w:sz w:val="2"/>
      <w:lang w:val="en-GB"/>
    </w:rPr>
  </w:style>
  <w:style w:type="character" w:customStyle="1" w:styleId="HeaderCouncilLargeChar">
    <w:name w:val="Header Council Large Char"/>
    <w:basedOn w:val="TechnicalBlockChar"/>
    <w:link w:val="HeaderCouncilLarge"/>
    <w:rsid w:val="004C7DC8"/>
    <w:rPr>
      <w:rFonts w:ascii="Times New Roman" w:hAnsi="Times New Roman" w:cs="Times New Roman"/>
      <w:sz w:val="2"/>
      <w:lang w:val="en-GB"/>
    </w:rPr>
  </w:style>
  <w:style w:type="character" w:styleId="PlaceholderText">
    <w:name w:val="Placeholder Text"/>
    <w:basedOn w:val="DefaultParagraphFont"/>
    <w:uiPriority w:val="99"/>
    <w:semiHidden/>
    <w:rsid w:val="004C7DC8"/>
    <w:rPr>
      <w:color w:val="808080"/>
    </w:rPr>
  </w:style>
  <w:style w:type="paragraph" w:customStyle="1" w:styleId="Par-numberI0">
    <w:name w:val="Par-number I."/>
    <w:basedOn w:val="Normal"/>
    <w:next w:val="Normal"/>
    <w:rsid w:val="004C7DC8"/>
    <w:pPr>
      <w:widowControl w:val="0"/>
      <w:tabs>
        <w:tab w:val="num" w:pos="1701"/>
      </w:tabs>
      <w:spacing w:after="0" w:line="360" w:lineRule="auto"/>
      <w:ind w:left="1701" w:hanging="567"/>
    </w:pPr>
    <w:rPr>
      <w:rFonts w:ascii="Times New Roman" w:eastAsia="Times New Roman" w:hAnsi="Times New Roman" w:cs="Times New Roman"/>
      <w:sz w:val="24"/>
      <w:szCs w:val="20"/>
      <w:lang w:val="en-GB" w:eastAsia="fr-BE"/>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4C7DC8"/>
    <w:pPr>
      <w:spacing w:before="120" w:after="120" w:line="360" w:lineRule="auto"/>
      <w:ind w:left="720"/>
      <w:contextualSpacing/>
    </w:pPr>
    <w:rPr>
      <w:rFonts w:ascii="Times New Roman" w:hAnsi="Times New Roman" w:cs="Times New Roman"/>
      <w:sz w:val="24"/>
      <w:lang w:val="en-GB"/>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4C7DC8"/>
    <w:rPr>
      <w:rFonts w:ascii="Times New Roman" w:hAnsi="Times New Roman" w:cs="Times New Roman"/>
      <w:sz w:val="24"/>
      <w:lang w:val="en-GB"/>
    </w:rPr>
  </w:style>
  <w:style w:type="character" w:styleId="Hyperlink">
    <w:name w:val="Hyperlink"/>
    <w:uiPriority w:val="99"/>
    <w:unhideWhenUsed/>
    <w:rsid w:val="004C7DC8"/>
    <w:rPr>
      <w:color w:val="0000FF"/>
      <w:u w:val="single"/>
    </w:rPr>
  </w:style>
  <w:style w:type="character" w:styleId="Strong">
    <w:name w:val="Strong"/>
    <w:uiPriority w:val="22"/>
    <w:qFormat/>
    <w:rsid w:val="004C7DC8"/>
    <w:rPr>
      <w:rFonts w:ascii="Times New Roman" w:hAnsi="Times New Roman" w:cs="Times New Roman" w:hint="default"/>
      <w:b/>
      <w:bCs/>
    </w:rPr>
  </w:style>
  <w:style w:type="paragraph" w:customStyle="1" w:styleId="msonormal0">
    <w:name w:val="msonormal"/>
    <w:basedOn w:val="Normal"/>
    <w:rsid w:val="004C7DC8"/>
    <w:pPr>
      <w:suppressAutoHyphens/>
      <w:spacing w:before="100" w:after="100" w:line="240" w:lineRule="auto"/>
    </w:pPr>
    <w:rPr>
      <w:rFonts w:ascii="Times New Roman" w:eastAsia="Times New Roman" w:hAnsi="Times New Roman" w:cs="Times New Roman"/>
      <w:sz w:val="24"/>
      <w:szCs w:val="24"/>
      <w:lang w:val="en-GB" w:eastAsia="ar-SA"/>
    </w:rPr>
  </w:style>
  <w:style w:type="paragraph" w:styleId="TOC6">
    <w:name w:val="toc 6"/>
    <w:basedOn w:val="Normal"/>
    <w:next w:val="Normal"/>
    <w:autoRedefine/>
    <w:uiPriority w:val="39"/>
    <w:semiHidden/>
    <w:unhideWhenUsed/>
    <w:rsid w:val="004C7DC8"/>
    <w:pPr>
      <w:tabs>
        <w:tab w:val="left" w:pos="3402"/>
        <w:tab w:val="right" w:leader="dot" w:pos="9639"/>
      </w:tabs>
      <w:spacing w:after="0" w:line="360" w:lineRule="auto"/>
      <w:ind w:left="3402" w:right="567" w:hanging="567"/>
    </w:pPr>
    <w:rPr>
      <w:rFonts w:ascii="Times New Roman" w:eastAsia="Calibri" w:hAnsi="Times New Roman" w:cs="Arial"/>
      <w:sz w:val="24"/>
      <w:lang w:val="en-US"/>
    </w:rPr>
  </w:style>
  <w:style w:type="paragraph" w:styleId="NormalIndent">
    <w:name w:val="Normal Indent"/>
    <w:basedOn w:val="Normal"/>
    <w:semiHidden/>
    <w:unhideWhenUsed/>
    <w:rsid w:val="004C7DC8"/>
    <w:pPr>
      <w:spacing w:after="240" w:line="240" w:lineRule="auto"/>
      <w:ind w:left="720"/>
      <w:jc w:val="both"/>
    </w:pPr>
    <w:rPr>
      <w:rFonts w:ascii="Times New Roman" w:eastAsia="Times New Roman" w:hAnsi="Times New Roman" w:cs="Times New Roman"/>
      <w:sz w:val="24"/>
      <w:lang w:val="en-GB" w:eastAsia="en-GB"/>
    </w:rPr>
  </w:style>
  <w:style w:type="paragraph" w:styleId="CommentText">
    <w:name w:val="annotation text"/>
    <w:basedOn w:val="Normal"/>
    <w:link w:val="CommentTextChar"/>
    <w:uiPriority w:val="99"/>
    <w:semiHidden/>
    <w:unhideWhenUsed/>
    <w:qFormat/>
    <w:rsid w:val="004C7DC8"/>
    <w:pPr>
      <w:spacing w:after="0" w:line="360" w:lineRule="auto"/>
    </w:pPr>
    <w:rPr>
      <w:rFonts w:ascii="Times New Roman" w:eastAsia="Calibri" w:hAnsi="Times New Roman" w:cs="Arial"/>
      <w:sz w:val="20"/>
      <w:szCs w:val="20"/>
      <w:lang w:val="en-US"/>
    </w:rPr>
  </w:style>
  <w:style w:type="character" w:customStyle="1" w:styleId="CommentTextChar">
    <w:name w:val="Comment Text Char"/>
    <w:basedOn w:val="DefaultParagraphFont"/>
    <w:link w:val="CommentText"/>
    <w:uiPriority w:val="99"/>
    <w:semiHidden/>
    <w:qFormat/>
    <w:rsid w:val="004C7DC8"/>
    <w:rPr>
      <w:rFonts w:ascii="Times New Roman" w:eastAsia="Calibri" w:hAnsi="Times New Roman" w:cs="Arial"/>
      <w:sz w:val="20"/>
      <w:szCs w:val="20"/>
      <w:lang w:val="en-US"/>
    </w:rPr>
  </w:style>
  <w:style w:type="character" w:customStyle="1" w:styleId="MacroTextChar">
    <w:name w:val="Macro Text Char"/>
    <w:basedOn w:val="DefaultParagraphFont"/>
    <w:link w:val="MacroText"/>
    <w:semiHidden/>
    <w:rsid w:val="004C7DC8"/>
    <w:rPr>
      <w:rFonts w:ascii="Courier New" w:eastAsia="Times New Roman" w:hAnsi="Courier New" w:cs="Times New Roman"/>
      <w:lang w:val="en-GB"/>
    </w:rPr>
  </w:style>
  <w:style w:type="paragraph" w:styleId="MacroText">
    <w:name w:val="macro"/>
    <w:link w:val="MacroTextChar"/>
    <w:semiHidden/>
    <w:unhideWhenUsed/>
    <w:rsid w:val="004C7DC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1">
    <w:name w:val="Macro Text Char1"/>
    <w:basedOn w:val="DefaultParagraphFont"/>
    <w:uiPriority w:val="99"/>
    <w:semiHidden/>
    <w:rsid w:val="004C7DC8"/>
    <w:rPr>
      <w:rFonts w:ascii="Consolas" w:hAnsi="Consolas" w:cs="Consolas"/>
      <w:sz w:val="20"/>
      <w:szCs w:val="20"/>
    </w:rPr>
  </w:style>
  <w:style w:type="paragraph" w:styleId="ListBullet">
    <w:name w:val="List Bullet"/>
    <w:basedOn w:val="Normal"/>
    <w:semiHidden/>
    <w:unhideWhenUsed/>
    <w:rsid w:val="004C7DC8"/>
    <w:pPr>
      <w:numPr>
        <w:numId w:val="22"/>
      </w:numPr>
      <w:spacing w:after="0" w:line="360" w:lineRule="auto"/>
      <w:contextualSpacing/>
    </w:pPr>
    <w:rPr>
      <w:rFonts w:ascii="Times New Roman" w:eastAsia="Calibri" w:hAnsi="Times New Roman" w:cs="Arial"/>
      <w:sz w:val="24"/>
      <w:lang w:val="en-US"/>
    </w:rPr>
  </w:style>
  <w:style w:type="paragraph" w:styleId="ListNumber">
    <w:name w:val="List Number"/>
    <w:basedOn w:val="Normal"/>
    <w:semiHidden/>
    <w:unhideWhenUsed/>
    <w:rsid w:val="004C7DC8"/>
    <w:pPr>
      <w:numPr>
        <w:numId w:val="23"/>
      </w:numPr>
      <w:spacing w:after="240" w:line="240" w:lineRule="auto"/>
      <w:jc w:val="both"/>
    </w:pPr>
    <w:rPr>
      <w:rFonts w:ascii="Times New Roman" w:eastAsia="Times New Roman" w:hAnsi="Times New Roman" w:cs="Times New Roman"/>
      <w:sz w:val="24"/>
      <w:lang w:val="en-GB" w:eastAsia="en-GB"/>
    </w:rPr>
  </w:style>
  <w:style w:type="paragraph" w:styleId="List2">
    <w:name w:val="List 2"/>
    <w:basedOn w:val="Normal"/>
    <w:semiHidden/>
    <w:unhideWhenUsed/>
    <w:rsid w:val="004C7DC8"/>
    <w:pPr>
      <w:spacing w:after="240" w:line="240" w:lineRule="auto"/>
      <w:ind w:left="566" w:hanging="283"/>
      <w:jc w:val="both"/>
    </w:pPr>
    <w:rPr>
      <w:rFonts w:ascii="Times New Roman" w:eastAsia="Times New Roman" w:hAnsi="Times New Roman" w:cs="Times New Roman"/>
      <w:sz w:val="24"/>
      <w:lang w:val="en-GB" w:eastAsia="en-GB"/>
    </w:rPr>
  </w:style>
  <w:style w:type="paragraph" w:styleId="ListBullet2">
    <w:name w:val="List Bullet 2"/>
    <w:basedOn w:val="Normal"/>
    <w:semiHidden/>
    <w:unhideWhenUsed/>
    <w:rsid w:val="004C7DC8"/>
    <w:pPr>
      <w:numPr>
        <w:numId w:val="24"/>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3">
    <w:name w:val="List Bullet 3"/>
    <w:basedOn w:val="Normal"/>
    <w:semiHidden/>
    <w:unhideWhenUsed/>
    <w:rsid w:val="004C7DC8"/>
    <w:pPr>
      <w:numPr>
        <w:numId w:val="25"/>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4">
    <w:name w:val="List Bullet 4"/>
    <w:basedOn w:val="Normal"/>
    <w:semiHidden/>
    <w:unhideWhenUsed/>
    <w:rsid w:val="004C7DC8"/>
    <w:pPr>
      <w:numPr>
        <w:numId w:val="26"/>
      </w:numPr>
      <w:spacing w:before="120" w:after="120" w:line="240" w:lineRule="auto"/>
      <w:contextualSpacing/>
      <w:jc w:val="both"/>
    </w:pPr>
    <w:rPr>
      <w:rFonts w:ascii="Times New Roman" w:eastAsia="Calibri" w:hAnsi="Times New Roman" w:cs="Times New Roman"/>
      <w:sz w:val="24"/>
      <w:lang w:val="en-GB" w:eastAsia="en-GB"/>
    </w:rPr>
  </w:style>
  <w:style w:type="paragraph" w:styleId="ListBullet5">
    <w:name w:val="List Bullet 5"/>
    <w:basedOn w:val="Normal"/>
    <w:autoRedefine/>
    <w:semiHidden/>
    <w:unhideWhenUsed/>
    <w:rsid w:val="004C7DC8"/>
    <w:pPr>
      <w:numPr>
        <w:numId w:val="27"/>
      </w:numPr>
      <w:spacing w:after="240" w:line="240" w:lineRule="auto"/>
      <w:jc w:val="both"/>
    </w:pPr>
    <w:rPr>
      <w:rFonts w:ascii="Times New Roman" w:eastAsia="Times New Roman" w:hAnsi="Times New Roman" w:cs="Times New Roman"/>
      <w:sz w:val="24"/>
      <w:lang w:val="en-GB" w:eastAsia="en-GB"/>
    </w:rPr>
  </w:style>
  <w:style w:type="paragraph" w:styleId="ListNumber5">
    <w:name w:val="List Number 5"/>
    <w:basedOn w:val="Normal"/>
    <w:semiHidden/>
    <w:unhideWhenUsed/>
    <w:rsid w:val="004C7DC8"/>
    <w:pPr>
      <w:numPr>
        <w:numId w:val="28"/>
      </w:numPr>
      <w:spacing w:after="240" w:line="240" w:lineRule="auto"/>
      <w:jc w:val="both"/>
    </w:pPr>
    <w:rPr>
      <w:rFonts w:ascii="Times New Roman" w:eastAsia="Times New Roman" w:hAnsi="Times New Roman" w:cs="Times New Roman"/>
      <w:sz w:val="24"/>
      <w:lang w:val="en-GB" w:eastAsia="en-GB"/>
    </w:rPr>
  </w:style>
  <w:style w:type="paragraph" w:styleId="Title">
    <w:name w:val="Title"/>
    <w:basedOn w:val="Normal"/>
    <w:link w:val="TitleChar"/>
    <w:qFormat/>
    <w:rsid w:val="004C7DC8"/>
    <w:pPr>
      <w:spacing w:before="240" w:after="60" w:line="240" w:lineRule="auto"/>
      <w:jc w:val="center"/>
      <w:outlineLvl w:val="0"/>
    </w:pPr>
    <w:rPr>
      <w:rFonts w:ascii="Arial" w:eastAsia="Times New Roman" w:hAnsi="Arial" w:cs="Times New Roman"/>
      <w:b/>
      <w:kern w:val="28"/>
      <w:sz w:val="32"/>
      <w:lang w:val="en-GB" w:eastAsia="en-GB"/>
    </w:rPr>
  </w:style>
  <w:style w:type="character" w:customStyle="1" w:styleId="TitleChar">
    <w:name w:val="Title Char"/>
    <w:basedOn w:val="DefaultParagraphFont"/>
    <w:link w:val="Title"/>
    <w:rsid w:val="004C7DC8"/>
    <w:rPr>
      <w:rFonts w:ascii="Arial" w:eastAsia="Times New Roman" w:hAnsi="Arial" w:cs="Times New Roman"/>
      <w:b/>
      <w:kern w:val="28"/>
      <w:sz w:val="32"/>
      <w:lang w:val="en-GB" w:eastAsia="en-GB"/>
    </w:rPr>
  </w:style>
  <w:style w:type="character" w:customStyle="1" w:styleId="SignatureChar">
    <w:name w:val="Signature Char"/>
    <w:basedOn w:val="DefaultParagraphFont"/>
    <w:link w:val="Signature"/>
    <w:uiPriority w:val="99"/>
    <w:semiHidden/>
    <w:rsid w:val="004C7DC8"/>
    <w:rPr>
      <w:rFonts w:ascii="Times New Roman" w:eastAsia="Times New Roman" w:hAnsi="Times New Roman" w:cs="Times New Roman"/>
      <w:sz w:val="24"/>
      <w:lang w:val="en-GB" w:eastAsia="en-GB"/>
    </w:rPr>
  </w:style>
  <w:style w:type="paragraph" w:styleId="Signature">
    <w:name w:val="Signature"/>
    <w:basedOn w:val="Normal"/>
    <w:next w:val="Contact"/>
    <w:link w:val="SignatureChar"/>
    <w:uiPriority w:val="99"/>
    <w:semiHidden/>
    <w:unhideWhenUsed/>
    <w:rsid w:val="004C7DC8"/>
    <w:pPr>
      <w:tabs>
        <w:tab w:val="left" w:pos="5103"/>
      </w:tabs>
      <w:spacing w:before="1200" w:after="0" w:line="240" w:lineRule="auto"/>
      <w:ind w:left="5103"/>
      <w:jc w:val="center"/>
    </w:pPr>
    <w:rPr>
      <w:rFonts w:ascii="Times New Roman" w:eastAsia="Times New Roman" w:hAnsi="Times New Roman" w:cs="Times New Roman"/>
      <w:sz w:val="24"/>
      <w:lang w:val="en-GB" w:eastAsia="en-GB"/>
    </w:rPr>
  </w:style>
  <w:style w:type="character" w:customStyle="1" w:styleId="SignatureChar1">
    <w:name w:val="Signature Char1"/>
    <w:basedOn w:val="DefaultParagraphFont"/>
    <w:uiPriority w:val="99"/>
    <w:semiHidden/>
    <w:rsid w:val="004C7DC8"/>
  </w:style>
  <w:style w:type="paragraph" w:customStyle="1" w:styleId="Contact">
    <w:name w:val="Contact"/>
    <w:basedOn w:val="Normal"/>
    <w:next w:val="Enclosures"/>
    <w:rsid w:val="004C7DC8"/>
    <w:pPr>
      <w:spacing w:before="480" w:after="0" w:line="240" w:lineRule="auto"/>
      <w:ind w:left="567" w:hanging="567"/>
    </w:pPr>
    <w:rPr>
      <w:rFonts w:ascii="Times New Roman" w:eastAsia="Times New Roman" w:hAnsi="Times New Roman" w:cs="Times New Roman"/>
      <w:sz w:val="24"/>
      <w:lang w:val="en-GB" w:eastAsia="en-GB"/>
    </w:rPr>
  </w:style>
  <w:style w:type="paragraph" w:customStyle="1" w:styleId="Enclosures">
    <w:name w:val="Enclosures"/>
    <w:basedOn w:val="Normal"/>
    <w:next w:val="Participants"/>
    <w:rsid w:val="004C7DC8"/>
    <w:pPr>
      <w:keepNext/>
      <w:keepLines/>
      <w:tabs>
        <w:tab w:val="left" w:pos="5670"/>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Participants">
    <w:name w:val="Participants"/>
    <w:basedOn w:val="Normal"/>
    <w:next w:val="Copies"/>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paragraph" w:customStyle="1" w:styleId="Copies">
    <w:name w:val="Copies"/>
    <w:basedOn w:val="Normal"/>
    <w:next w:val="Normal"/>
    <w:rsid w:val="004C7DC8"/>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semiHidden/>
    <w:rsid w:val="004C7DC8"/>
    <w:rPr>
      <w:rFonts w:ascii="Times New Roman" w:eastAsia="Times New Roman" w:hAnsi="Times New Roman" w:cs="Times New Roman"/>
      <w:sz w:val="24"/>
      <w:lang w:val="en-GB" w:eastAsia="en-GB"/>
    </w:rPr>
  </w:style>
  <w:style w:type="paragraph" w:styleId="Closing">
    <w:name w:val="Closing"/>
    <w:basedOn w:val="Normal"/>
    <w:next w:val="Signature"/>
    <w:link w:val="ClosingChar"/>
    <w:semiHidden/>
    <w:unhideWhenUsed/>
    <w:rsid w:val="004C7DC8"/>
    <w:pPr>
      <w:tabs>
        <w:tab w:val="left" w:pos="5103"/>
      </w:tabs>
      <w:spacing w:before="240" w:after="240" w:line="240" w:lineRule="auto"/>
      <w:ind w:left="5103"/>
    </w:pPr>
    <w:rPr>
      <w:rFonts w:ascii="Times New Roman" w:eastAsia="Times New Roman" w:hAnsi="Times New Roman" w:cs="Times New Roman"/>
      <w:sz w:val="24"/>
      <w:lang w:val="en-GB" w:eastAsia="en-GB"/>
    </w:rPr>
  </w:style>
  <w:style w:type="character" w:customStyle="1" w:styleId="ClosingChar1">
    <w:name w:val="Closing Char1"/>
    <w:basedOn w:val="DefaultParagraphFont"/>
    <w:uiPriority w:val="99"/>
    <w:semiHidden/>
    <w:rsid w:val="004C7DC8"/>
  </w:style>
  <w:style w:type="character" w:customStyle="1" w:styleId="BodyTextChar">
    <w:name w:val="Body Text Char"/>
    <w:aliases w:val="Document Char1,Doc Char1,Body Text2 Char1,doc Char1,Standard paragraph Char1,BodyText Char1,(Norm) Char1,Body Text 12 Char1,bt Char1,gl Char1,uvlaka 2 Char1,heading3 Char1,Body Text - Level 2 Char1,1body Char1,BodText Char1,Body Txt Char1"/>
    <w:basedOn w:val="DefaultParagraphFont"/>
    <w:link w:val="BodyText"/>
    <w:semiHidden/>
    <w:locked/>
    <w:rsid w:val="004C7DC8"/>
    <w:rPr>
      <w:rFonts w:ascii="Times New Roman" w:eastAsia="Times New Roman" w:hAnsi="Times New Roman" w:cs="Times New Roman"/>
      <w:sz w:val="24"/>
      <w:lang w:val="en-GB" w:eastAsia="en-GB"/>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b.,b"/>
    <w:basedOn w:val="Normal"/>
    <w:link w:val="BodyTextChar"/>
    <w:semiHidden/>
    <w:unhideWhenUsed/>
    <w:qFormat/>
    <w:rsid w:val="004C7DC8"/>
    <w:pPr>
      <w:spacing w:after="120" w:line="240" w:lineRule="auto"/>
      <w:jc w:val="both"/>
    </w:pPr>
    <w:rPr>
      <w:rFonts w:ascii="Times New Roman" w:eastAsia="Times New Roman" w:hAnsi="Times New Roman" w:cs="Times New Roman"/>
      <w:sz w:val="24"/>
      <w:lang w:val="en-GB" w:eastAsia="en-GB"/>
    </w:rPr>
  </w:style>
  <w:style w:type="character" w:customStyle="1" w:styleId="BodyTextChar1">
    <w:name w:val="Body Text Char1"/>
    <w:aliases w:val="Document Char,Doc Char,Body Text2 Char,doc Char,Standard paragraph Char,BodyText Char,(Norm) Char,Body Text 12 Char,bt Char,gl Char,uvlaka 2 Char,heading3 Char,Body Text - Level 2 Char,1body Char,BodText Char,body text Char,Body Txt Char"/>
    <w:basedOn w:val="DefaultParagraphFont"/>
    <w:semiHidden/>
    <w:rsid w:val="004C7DC8"/>
  </w:style>
  <w:style w:type="character" w:customStyle="1" w:styleId="BodyTextIndentChar">
    <w:name w:val="Body Text Indent Char"/>
    <w:basedOn w:val="DefaultParagraphFont"/>
    <w:link w:val="BodyTextIndent"/>
    <w:semiHidden/>
    <w:rsid w:val="004C7DC8"/>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unhideWhenUsed/>
    <w:rsid w:val="004C7DC8"/>
    <w:pPr>
      <w:spacing w:after="120" w:line="240" w:lineRule="auto"/>
      <w:ind w:left="283"/>
      <w:jc w:val="both"/>
    </w:pPr>
    <w:rPr>
      <w:rFonts w:ascii="Times New Roman" w:eastAsia="Times New Roman" w:hAnsi="Times New Roman" w:cs="Times New Roman"/>
      <w:sz w:val="24"/>
      <w:lang w:val="en-GB" w:eastAsia="en-GB"/>
    </w:rPr>
  </w:style>
  <w:style w:type="character" w:customStyle="1" w:styleId="BodyTextIndentChar1">
    <w:name w:val="Body Text Indent Char1"/>
    <w:basedOn w:val="DefaultParagraphFont"/>
    <w:uiPriority w:val="99"/>
    <w:semiHidden/>
    <w:rsid w:val="004C7DC8"/>
  </w:style>
  <w:style w:type="character" w:customStyle="1" w:styleId="MessageHeaderChar">
    <w:name w:val="Message Header Char"/>
    <w:basedOn w:val="DefaultParagraphFont"/>
    <w:link w:val="MessageHeader"/>
    <w:semiHidden/>
    <w:rsid w:val="004C7DC8"/>
    <w:rPr>
      <w:rFonts w:ascii="Arial" w:eastAsia="Times New Roman" w:hAnsi="Arial" w:cs="Times New Roman"/>
      <w:sz w:val="24"/>
      <w:shd w:val="pct20" w:color="auto" w:fill="auto"/>
      <w:lang w:val="en-GB" w:eastAsia="en-GB"/>
    </w:rPr>
  </w:style>
  <w:style w:type="paragraph" w:styleId="MessageHeader">
    <w:name w:val="Message Header"/>
    <w:basedOn w:val="Normal"/>
    <w:link w:val="MessageHeaderChar"/>
    <w:semiHidden/>
    <w:unhideWhenUsed/>
    <w:rsid w:val="004C7DC8"/>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en-GB" w:eastAsia="en-GB"/>
    </w:rPr>
  </w:style>
  <w:style w:type="character" w:customStyle="1" w:styleId="MessageHeaderChar1">
    <w:name w:val="Message Header Char1"/>
    <w:basedOn w:val="DefaultParagraphFont"/>
    <w:uiPriority w:val="99"/>
    <w:semiHidden/>
    <w:rsid w:val="004C7DC8"/>
    <w:rPr>
      <w:rFonts w:asciiTheme="majorHAnsi" w:eastAsiaTheme="majorEastAsia" w:hAnsiTheme="majorHAnsi" w:cstheme="majorBidi"/>
      <w:sz w:val="24"/>
      <w:szCs w:val="24"/>
      <w:shd w:val="pct20" w:color="auto" w:fill="auto"/>
    </w:rPr>
  </w:style>
  <w:style w:type="paragraph" w:styleId="Subtitle">
    <w:name w:val="Subtitle"/>
    <w:basedOn w:val="Normal"/>
    <w:link w:val="SubtitleChar"/>
    <w:qFormat/>
    <w:rsid w:val="004C7DC8"/>
    <w:pPr>
      <w:spacing w:after="60" w:line="240" w:lineRule="auto"/>
      <w:jc w:val="center"/>
      <w:outlineLvl w:val="1"/>
    </w:pPr>
    <w:rPr>
      <w:rFonts w:ascii="Arial" w:eastAsia="Times New Roman" w:hAnsi="Arial" w:cs="Times New Roman"/>
      <w:sz w:val="24"/>
      <w:lang w:val="en-GB" w:eastAsia="en-GB"/>
    </w:rPr>
  </w:style>
  <w:style w:type="character" w:customStyle="1" w:styleId="SubtitleChar">
    <w:name w:val="Subtitle Char"/>
    <w:basedOn w:val="DefaultParagraphFont"/>
    <w:link w:val="Subtitle"/>
    <w:rsid w:val="004C7DC8"/>
    <w:rPr>
      <w:rFonts w:ascii="Arial" w:eastAsia="Times New Roman" w:hAnsi="Arial" w:cs="Times New Roman"/>
      <w:sz w:val="24"/>
      <w:lang w:val="en-GB" w:eastAsia="en-GB"/>
    </w:rPr>
  </w:style>
  <w:style w:type="character" w:customStyle="1" w:styleId="SalutationChar">
    <w:name w:val="Salutation Char"/>
    <w:basedOn w:val="DefaultParagraphFont"/>
    <w:link w:val="Salutation"/>
    <w:semiHidden/>
    <w:rsid w:val="004C7DC8"/>
    <w:rPr>
      <w:rFonts w:ascii="Times New Roman" w:eastAsia="Times New Roman" w:hAnsi="Times New Roman" w:cs="Times New Roman"/>
      <w:sz w:val="24"/>
      <w:lang w:val="en-GB" w:eastAsia="en-GB"/>
    </w:rPr>
  </w:style>
  <w:style w:type="paragraph" w:styleId="Salutation">
    <w:name w:val="Salutation"/>
    <w:basedOn w:val="Normal"/>
    <w:next w:val="Normal"/>
    <w:link w:val="Salutation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SalutationChar1">
    <w:name w:val="Salutation Char1"/>
    <w:basedOn w:val="DefaultParagraphFont"/>
    <w:uiPriority w:val="99"/>
    <w:semiHidden/>
    <w:rsid w:val="004C7DC8"/>
  </w:style>
  <w:style w:type="paragraph" w:customStyle="1" w:styleId="References">
    <w:name w:val="References"/>
    <w:basedOn w:val="Normal"/>
    <w:next w:val="AddressTR"/>
    <w:rsid w:val="004C7DC8"/>
    <w:pPr>
      <w:spacing w:after="240" w:line="240" w:lineRule="auto"/>
      <w:ind w:left="5103"/>
    </w:pPr>
    <w:rPr>
      <w:rFonts w:ascii="Times New Roman" w:eastAsia="Times New Roman" w:hAnsi="Times New Roman" w:cs="Times New Roman"/>
      <w:sz w:val="20"/>
      <w:lang w:val="en-GB" w:eastAsia="en-GB"/>
    </w:rPr>
  </w:style>
  <w:style w:type="paragraph" w:customStyle="1" w:styleId="AddressTR">
    <w:name w:val="AddressTR"/>
    <w:basedOn w:val="Normal"/>
    <w:next w:val="Normal"/>
    <w:rsid w:val="004C7DC8"/>
    <w:pPr>
      <w:spacing w:after="720" w:line="240" w:lineRule="auto"/>
      <w:ind w:left="5103"/>
    </w:pPr>
    <w:rPr>
      <w:rFonts w:ascii="Times New Roman" w:eastAsia="Times New Roman" w:hAnsi="Times New Roman" w:cs="Times New Roman"/>
      <w:sz w:val="24"/>
      <w:lang w:val="en-GB" w:eastAsia="en-GB"/>
    </w:rPr>
  </w:style>
  <w:style w:type="character" w:customStyle="1" w:styleId="DateChar">
    <w:name w:val="Date Char"/>
    <w:basedOn w:val="DefaultParagraphFont"/>
    <w:link w:val="Date"/>
    <w:semiHidden/>
    <w:rsid w:val="004C7DC8"/>
    <w:rPr>
      <w:rFonts w:ascii="Times New Roman" w:eastAsia="Times New Roman" w:hAnsi="Times New Roman" w:cs="Times New Roman"/>
      <w:sz w:val="24"/>
      <w:lang w:val="en-GB" w:eastAsia="en-GB"/>
    </w:rPr>
  </w:style>
  <w:style w:type="paragraph" w:styleId="Date">
    <w:name w:val="Date"/>
    <w:basedOn w:val="Normal"/>
    <w:next w:val="References"/>
    <w:link w:val="DateChar"/>
    <w:semiHidden/>
    <w:unhideWhenUsed/>
    <w:rsid w:val="004C7DC8"/>
    <w:pPr>
      <w:spacing w:after="0" w:line="240" w:lineRule="auto"/>
      <w:ind w:left="5103" w:right="-567"/>
    </w:pPr>
    <w:rPr>
      <w:rFonts w:ascii="Times New Roman" w:eastAsia="Times New Roman" w:hAnsi="Times New Roman" w:cs="Times New Roman"/>
      <w:sz w:val="24"/>
      <w:lang w:val="en-GB" w:eastAsia="en-GB"/>
    </w:rPr>
  </w:style>
  <w:style w:type="character" w:customStyle="1" w:styleId="DateChar1">
    <w:name w:val="Date Char1"/>
    <w:basedOn w:val="DefaultParagraphFont"/>
    <w:uiPriority w:val="99"/>
    <w:semiHidden/>
    <w:rsid w:val="004C7DC8"/>
  </w:style>
  <w:style w:type="paragraph" w:styleId="BodyTextFirstIndent">
    <w:name w:val="Body Text First Indent"/>
    <w:basedOn w:val="BodyText"/>
    <w:link w:val="BodyTextFirstIndentChar"/>
    <w:semiHidden/>
    <w:unhideWhenUsed/>
    <w:rsid w:val="004C7DC8"/>
    <w:pPr>
      <w:ind w:firstLine="210"/>
    </w:pPr>
  </w:style>
  <w:style w:type="character" w:customStyle="1" w:styleId="BodyTextFirstIndentChar">
    <w:name w:val="Body Text First Indent Char"/>
    <w:basedOn w:val="BodyTextChar1"/>
    <w:link w:val="BodyTextFirstIndent"/>
    <w:semiHidden/>
    <w:rsid w:val="004C7DC8"/>
    <w:rPr>
      <w:rFonts w:ascii="Times New Roman" w:eastAsia="Times New Roman" w:hAnsi="Times New Roman" w:cs="Times New Roman"/>
      <w:sz w:val="24"/>
      <w:lang w:val="en-GB" w:eastAsia="en-GB"/>
    </w:rPr>
  </w:style>
  <w:style w:type="character" w:customStyle="1" w:styleId="BodyTextFirstIndent2Char">
    <w:name w:val="Body Text First Indent 2 Char"/>
    <w:basedOn w:val="BodyTextIndentChar"/>
    <w:link w:val="BodyTextFirstIndent2"/>
    <w:semiHidden/>
    <w:rsid w:val="004C7DC8"/>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semiHidden/>
    <w:unhideWhenUsed/>
    <w:rsid w:val="004C7DC8"/>
    <w:pPr>
      <w:ind w:firstLine="210"/>
    </w:pPr>
  </w:style>
  <w:style w:type="character" w:customStyle="1" w:styleId="BodyTextFirstIndent2Char1">
    <w:name w:val="Body Text First Indent 2 Char1"/>
    <w:basedOn w:val="BodyTextIndentChar1"/>
    <w:uiPriority w:val="99"/>
    <w:semiHidden/>
    <w:rsid w:val="004C7DC8"/>
  </w:style>
  <w:style w:type="character" w:customStyle="1" w:styleId="NoteHeadingChar">
    <w:name w:val="Note Heading Char"/>
    <w:basedOn w:val="DefaultParagraphFont"/>
    <w:link w:val="NoteHeading"/>
    <w:semiHidden/>
    <w:rsid w:val="004C7DC8"/>
    <w:rPr>
      <w:rFonts w:ascii="Times New Roman" w:eastAsia="Times New Roman" w:hAnsi="Times New Roman" w:cs="Times New Roman"/>
      <w:sz w:val="24"/>
      <w:lang w:val="en-GB" w:eastAsia="en-GB"/>
    </w:rPr>
  </w:style>
  <w:style w:type="paragraph" w:styleId="NoteHeading">
    <w:name w:val="Note Heading"/>
    <w:basedOn w:val="Normal"/>
    <w:next w:val="Normal"/>
    <w:link w:val="NoteHeadingChar"/>
    <w:semiHidden/>
    <w:unhideWhenUsed/>
    <w:rsid w:val="004C7DC8"/>
    <w:pPr>
      <w:spacing w:after="240" w:line="240" w:lineRule="auto"/>
      <w:jc w:val="both"/>
    </w:pPr>
    <w:rPr>
      <w:rFonts w:ascii="Times New Roman" w:eastAsia="Times New Roman" w:hAnsi="Times New Roman" w:cs="Times New Roman"/>
      <w:sz w:val="24"/>
      <w:lang w:val="en-GB" w:eastAsia="en-GB"/>
    </w:rPr>
  </w:style>
  <w:style w:type="character" w:customStyle="1" w:styleId="NoteHeadingChar1">
    <w:name w:val="Note Heading Char1"/>
    <w:basedOn w:val="DefaultParagraphFont"/>
    <w:uiPriority w:val="99"/>
    <w:semiHidden/>
    <w:rsid w:val="004C7DC8"/>
  </w:style>
  <w:style w:type="character" w:customStyle="1" w:styleId="BodyText2Char">
    <w:name w:val="Body Text 2 Char"/>
    <w:basedOn w:val="DefaultParagraphFont"/>
    <w:link w:val="BodyText2"/>
    <w:semiHidden/>
    <w:rsid w:val="004C7DC8"/>
    <w:rPr>
      <w:rFonts w:ascii="Times New Roman" w:eastAsia="Times New Roman" w:hAnsi="Times New Roman" w:cs="Times New Roman"/>
      <w:sz w:val="24"/>
      <w:lang w:val="en-GB" w:eastAsia="en-GB"/>
    </w:rPr>
  </w:style>
  <w:style w:type="paragraph" w:styleId="BodyText2">
    <w:name w:val="Body Text 2"/>
    <w:basedOn w:val="Normal"/>
    <w:link w:val="BodyText2Char"/>
    <w:semiHidden/>
    <w:unhideWhenUsed/>
    <w:rsid w:val="004C7DC8"/>
    <w:pPr>
      <w:spacing w:after="120" w:line="480" w:lineRule="auto"/>
      <w:jc w:val="both"/>
    </w:pPr>
    <w:rPr>
      <w:rFonts w:ascii="Times New Roman" w:eastAsia="Times New Roman" w:hAnsi="Times New Roman" w:cs="Times New Roman"/>
      <w:sz w:val="24"/>
      <w:lang w:val="en-GB" w:eastAsia="en-GB"/>
    </w:rPr>
  </w:style>
  <w:style w:type="character" w:customStyle="1" w:styleId="BodyText2Char1">
    <w:name w:val="Body Text 2 Char1"/>
    <w:basedOn w:val="DefaultParagraphFont"/>
    <w:uiPriority w:val="99"/>
    <w:semiHidden/>
    <w:rsid w:val="004C7DC8"/>
  </w:style>
  <w:style w:type="character" w:customStyle="1" w:styleId="BodyText3Char">
    <w:name w:val="Body Text 3 Char"/>
    <w:basedOn w:val="DefaultParagraphFont"/>
    <w:link w:val="BodyText3"/>
    <w:semiHidden/>
    <w:rsid w:val="004C7DC8"/>
    <w:rPr>
      <w:rFonts w:ascii="Times New Roman" w:eastAsia="Times New Roman" w:hAnsi="Times New Roman" w:cs="Times New Roman"/>
      <w:sz w:val="16"/>
      <w:lang w:val="en-GB" w:eastAsia="en-GB"/>
    </w:rPr>
  </w:style>
  <w:style w:type="paragraph" w:styleId="BodyText3">
    <w:name w:val="Body Text 3"/>
    <w:basedOn w:val="Normal"/>
    <w:link w:val="BodyText3Char"/>
    <w:semiHidden/>
    <w:unhideWhenUsed/>
    <w:rsid w:val="004C7DC8"/>
    <w:pPr>
      <w:spacing w:after="120" w:line="240" w:lineRule="auto"/>
      <w:jc w:val="both"/>
    </w:pPr>
    <w:rPr>
      <w:rFonts w:ascii="Times New Roman" w:eastAsia="Times New Roman" w:hAnsi="Times New Roman" w:cs="Times New Roman"/>
      <w:sz w:val="16"/>
      <w:lang w:val="en-GB" w:eastAsia="en-GB"/>
    </w:rPr>
  </w:style>
  <w:style w:type="character" w:customStyle="1" w:styleId="BodyText3Char1">
    <w:name w:val="Body Text 3 Char1"/>
    <w:basedOn w:val="DefaultParagraphFont"/>
    <w:uiPriority w:val="99"/>
    <w:semiHidden/>
    <w:rsid w:val="004C7DC8"/>
    <w:rPr>
      <w:sz w:val="16"/>
      <w:szCs w:val="16"/>
    </w:rPr>
  </w:style>
  <w:style w:type="character" w:customStyle="1" w:styleId="BodyTextIndent2Char">
    <w:name w:val="Body Text Indent 2 Char"/>
    <w:basedOn w:val="DefaultParagraphFont"/>
    <w:link w:val="BodyTextIndent2"/>
    <w:semiHidden/>
    <w:rsid w:val="004C7DC8"/>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semiHidden/>
    <w:unhideWhenUsed/>
    <w:rsid w:val="004C7DC8"/>
    <w:pPr>
      <w:spacing w:after="120" w:line="480" w:lineRule="auto"/>
      <w:ind w:left="283"/>
      <w:jc w:val="both"/>
    </w:pPr>
    <w:rPr>
      <w:rFonts w:ascii="Times New Roman" w:eastAsia="Times New Roman" w:hAnsi="Times New Roman" w:cs="Times New Roman"/>
      <w:sz w:val="24"/>
      <w:lang w:val="en-GB" w:eastAsia="en-GB"/>
    </w:rPr>
  </w:style>
  <w:style w:type="character" w:customStyle="1" w:styleId="BodyTextIndent2Char1">
    <w:name w:val="Body Text Indent 2 Char1"/>
    <w:basedOn w:val="DefaultParagraphFont"/>
    <w:uiPriority w:val="99"/>
    <w:semiHidden/>
    <w:rsid w:val="004C7DC8"/>
  </w:style>
  <w:style w:type="character" w:customStyle="1" w:styleId="BodyTextIndent3Char">
    <w:name w:val="Body Text Indent 3 Char"/>
    <w:basedOn w:val="DefaultParagraphFont"/>
    <w:link w:val="BodyTextIndent3"/>
    <w:semiHidden/>
    <w:rsid w:val="004C7DC8"/>
    <w:rPr>
      <w:rFonts w:ascii="Times New Roman" w:eastAsia="Times New Roman" w:hAnsi="Times New Roman" w:cs="Times New Roman"/>
      <w:sz w:val="16"/>
      <w:lang w:val="en-GB" w:eastAsia="en-GB"/>
    </w:rPr>
  </w:style>
  <w:style w:type="paragraph" w:styleId="BodyTextIndent3">
    <w:name w:val="Body Text Indent 3"/>
    <w:basedOn w:val="Normal"/>
    <w:link w:val="BodyTextIndent3Char"/>
    <w:semiHidden/>
    <w:unhideWhenUsed/>
    <w:rsid w:val="004C7DC8"/>
    <w:pPr>
      <w:spacing w:after="120" w:line="240" w:lineRule="auto"/>
      <w:ind w:left="283"/>
      <w:jc w:val="both"/>
    </w:pPr>
    <w:rPr>
      <w:rFonts w:ascii="Times New Roman" w:eastAsia="Times New Roman" w:hAnsi="Times New Roman" w:cs="Times New Roman"/>
      <w:sz w:val="16"/>
      <w:lang w:val="en-GB" w:eastAsia="en-GB"/>
    </w:rPr>
  </w:style>
  <w:style w:type="character" w:customStyle="1" w:styleId="BodyTextIndent3Char1">
    <w:name w:val="Body Text Indent 3 Char1"/>
    <w:basedOn w:val="DefaultParagraphFont"/>
    <w:uiPriority w:val="99"/>
    <w:semiHidden/>
    <w:rsid w:val="004C7DC8"/>
    <w:rPr>
      <w:sz w:val="16"/>
      <w:szCs w:val="16"/>
    </w:rPr>
  </w:style>
  <w:style w:type="character" w:customStyle="1" w:styleId="DocumentMapChar">
    <w:name w:val="Document Map Char"/>
    <w:basedOn w:val="DefaultParagraphFont"/>
    <w:link w:val="DocumentMap"/>
    <w:semiHidden/>
    <w:rsid w:val="004C7DC8"/>
    <w:rPr>
      <w:rFonts w:ascii="Tahoma" w:eastAsia="Times New Roman" w:hAnsi="Tahoma" w:cs="Times New Roman"/>
      <w:sz w:val="24"/>
      <w:shd w:val="clear" w:color="auto" w:fill="000080"/>
      <w:lang w:val="en-GB" w:eastAsia="en-GB"/>
    </w:rPr>
  </w:style>
  <w:style w:type="paragraph" w:styleId="DocumentMap">
    <w:name w:val="Document Map"/>
    <w:basedOn w:val="Normal"/>
    <w:link w:val="DocumentMapChar"/>
    <w:semiHidden/>
    <w:unhideWhenUsed/>
    <w:rsid w:val="004C7DC8"/>
    <w:pPr>
      <w:shd w:val="clear" w:color="auto" w:fill="000080"/>
      <w:spacing w:after="240" w:line="240" w:lineRule="auto"/>
      <w:jc w:val="both"/>
    </w:pPr>
    <w:rPr>
      <w:rFonts w:ascii="Tahoma" w:eastAsia="Times New Roman" w:hAnsi="Tahoma" w:cs="Times New Roman"/>
      <w:sz w:val="24"/>
      <w:lang w:val="en-GB" w:eastAsia="en-GB"/>
    </w:rPr>
  </w:style>
  <w:style w:type="character" w:customStyle="1" w:styleId="DocumentMapChar1">
    <w:name w:val="Document Map Char1"/>
    <w:basedOn w:val="DefaultParagraphFont"/>
    <w:uiPriority w:val="99"/>
    <w:semiHidden/>
    <w:rsid w:val="004C7DC8"/>
    <w:rPr>
      <w:rFonts w:ascii="Segoe UI" w:hAnsi="Segoe UI" w:cs="Segoe UI"/>
      <w:sz w:val="16"/>
      <w:szCs w:val="16"/>
    </w:rPr>
  </w:style>
  <w:style w:type="character" w:customStyle="1" w:styleId="PlainTextChar">
    <w:name w:val="Plain Text Char"/>
    <w:basedOn w:val="DefaultParagraphFont"/>
    <w:link w:val="PlainText"/>
    <w:semiHidden/>
    <w:rsid w:val="004C7DC8"/>
    <w:rPr>
      <w:rFonts w:ascii="Courier New" w:eastAsia="Times New Roman" w:hAnsi="Courier New" w:cs="Times New Roman"/>
      <w:sz w:val="20"/>
      <w:lang w:val="en-GB" w:eastAsia="en-GB"/>
    </w:rPr>
  </w:style>
  <w:style w:type="paragraph" w:styleId="PlainText">
    <w:name w:val="Plain Text"/>
    <w:basedOn w:val="Normal"/>
    <w:link w:val="PlainTextChar"/>
    <w:semiHidden/>
    <w:unhideWhenUsed/>
    <w:rsid w:val="004C7DC8"/>
    <w:pPr>
      <w:spacing w:after="240" w:line="240" w:lineRule="auto"/>
      <w:jc w:val="both"/>
    </w:pPr>
    <w:rPr>
      <w:rFonts w:ascii="Courier New" w:eastAsia="Times New Roman" w:hAnsi="Courier New" w:cs="Times New Roman"/>
      <w:sz w:val="20"/>
      <w:lang w:val="en-GB" w:eastAsia="en-GB"/>
    </w:rPr>
  </w:style>
  <w:style w:type="character" w:customStyle="1" w:styleId="PlainTextChar1">
    <w:name w:val="Plain Text Char1"/>
    <w:basedOn w:val="DefaultParagraphFont"/>
    <w:uiPriority w:val="99"/>
    <w:semiHidden/>
    <w:rsid w:val="004C7DC8"/>
    <w:rPr>
      <w:rFonts w:ascii="Consolas" w:hAnsi="Consolas" w:cs="Consolas"/>
      <w:sz w:val="21"/>
      <w:szCs w:val="21"/>
    </w:rPr>
  </w:style>
  <w:style w:type="character" w:customStyle="1" w:styleId="CommentSubjectChar">
    <w:name w:val="Comment Subject Char"/>
    <w:basedOn w:val="CommentTextChar"/>
    <w:link w:val="CommentSubject"/>
    <w:semiHidden/>
    <w:rsid w:val="004C7DC8"/>
    <w:rPr>
      <w:rFonts w:ascii="Times New Roman" w:eastAsia="Calibri" w:hAnsi="Times New Roman" w:cs="Arial"/>
      <w:b/>
      <w:bCs/>
      <w:sz w:val="20"/>
      <w:szCs w:val="20"/>
      <w:lang w:val="en-US"/>
    </w:rPr>
  </w:style>
  <w:style w:type="paragraph" w:styleId="CommentSubject">
    <w:name w:val="annotation subject"/>
    <w:basedOn w:val="CommentText"/>
    <w:next w:val="CommentText"/>
    <w:link w:val="CommentSubjectChar"/>
    <w:semiHidden/>
    <w:unhideWhenUsed/>
    <w:rsid w:val="004C7DC8"/>
    <w:rPr>
      <w:b/>
      <w:bCs/>
    </w:rPr>
  </w:style>
  <w:style w:type="character" w:customStyle="1" w:styleId="CommentSubjectChar1">
    <w:name w:val="Comment Subject Char1"/>
    <w:basedOn w:val="CommentTextChar"/>
    <w:uiPriority w:val="99"/>
    <w:semiHidden/>
    <w:rsid w:val="004C7DC8"/>
    <w:rPr>
      <w:rFonts w:ascii="Times New Roman" w:eastAsia="Calibri" w:hAnsi="Times New Roman" w:cs="Arial"/>
      <w:b/>
      <w:bCs/>
      <w:sz w:val="20"/>
      <w:szCs w:val="20"/>
      <w:lang w:val="en-US"/>
    </w:rPr>
  </w:style>
  <w:style w:type="character" w:customStyle="1" w:styleId="BalloonTextChar">
    <w:name w:val="Balloon Text Char"/>
    <w:basedOn w:val="DefaultParagraphFont"/>
    <w:link w:val="BalloonText"/>
    <w:semiHidden/>
    <w:rsid w:val="004C7DC8"/>
    <w:rPr>
      <w:rFonts w:ascii="Tahoma" w:eastAsia="Calibri" w:hAnsi="Tahoma" w:cs="Tahoma"/>
      <w:sz w:val="16"/>
      <w:szCs w:val="16"/>
    </w:rPr>
  </w:style>
  <w:style w:type="paragraph" w:styleId="BalloonText">
    <w:name w:val="Balloon Text"/>
    <w:basedOn w:val="Normal"/>
    <w:link w:val="BalloonTextChar"/>
    <w:semiHidden/>
    <w:unhideWhenUsed/>
    <w:rsid w:val="004C7DC8"/>
    <w:pPr>
      <w:spacing w:after="0" w:line="36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4C7DC8"/>
    <w:rPr>
      <w:rFonts w:ascii="Segoe UI" w:hAnsi="Segoe UI" w:cs="Segoe UI"/>
      <w:sz w:val="18"/>
      <w:szCs w:val="18"/>
    </w:rPr>
  </w:style>
  <w:style w:type="paragraph" w:styleId="NoSpacing">
    <w:name w:val="No Spacing"/>
    <w:uiPriority w:val="1"/>
    <w:qFormat/>
    <w:rsid w:val="004C7DC8"/>
    <w:pPr>
      <w:spacing w:after="0" w:line="240" w:lineRule="auto"/>
    </w:pPr>
    <w:rPr>
      <w:lang w:val="en-GB"/>
    </w:rPr>
  </w:style>
  <w:style w:type="paragraph" w:styleId="Quote">
    <w:name w:val="Quote"/>
    <w:basedOn w:val="Normal"/>
    <w:next w:val="Normal"/>
    <w:link w:val="QuoteChar"/>
    <w:uiPriority w:val="29"/>
    <w:qFormat/>
    <w:rsid w:val="004C7DC8"/>
    <w:pPr>
      <w:spacing w:after="240" w:line="240" w:lineRule="auto"/>
      <w:jc w:val="both"/>
    </w:pPr>
    <w:rPr>
      <w:rFonts w:ascii="Times New Roman" w:eastAsia="Times New Roman" w:hAnsi="Times New Roman" w:cs="Times New Roman"/>
      <w:i/>
      <w:iCs/>
      <w:color w:val="000000"/>
      <w:sz w:val="24"/>
      <w:szCs w:val="20"/>
      <w:lang w:val="en-GB" w:eastAsia="en-GB"/>
    </w:rPr>
  </w:style>
  <w:style w:type="character" w:customStyle="1" w:styleId="QuoteChar">
    <w:name w:val="Quote Char"/>
    <w:basedOn w:val="DefaultParagraphFont"/>
    <w:link w:val="Quote"/>
    <w:uiPriority w:val="29"/>
    <w:rsid w:val="004C7DC8"/>
    <w:rPr>
      <w:rFonts w:ascii="Times New Roman" w:eastAsia="Times New Roman" w:hAnsi="Times New Roman" w:cs="Times New Roman"/>
      <w:i/>
      <w:iCs/>
      <w:color w:val="000000"/>
      <w:sz w:val="24"/>
      <w:szCs w:val="20"/>
      <w:lang w:val="en-GB" w:eastAsia="en-GB"/>
    </w:rPr>
  </w:style>
  <w:style w:type="paragraph" w:customStyle="1" w:styleId="EntInstit">
    <w:name w:val="EntInstit"/>
    <w:basedOn w:val="Normal"/>
    <w:rsid w:val="004C7DC8"/>
    <w:pPr>
      <w:spacing w:after="0" w:line="240" w:lineRule="auto"/>
      <w:jc w:val="right"/>
    </w:pPr>
    <w:rPr>
      <w:rFonts w:ascii="Times New Roman" w:eastAsia="Calibri" w:hAnsi="Times New Roman" w:cs="Arial"/>
      <w:b/>
      <w:sz w:val="24"/>
      <w:lang w:val="en-US"/>
    </w:rPr>
  </w:style>
  <w:style w:type="paragraph" w:customStyle="1" w:styleId="EntRefer">
    <w:name w:val="EntRefer"/>
    <w:basedOn w:val="Normal"/>
    <w:rsid w:val="004C7DC8"/>
    <w:pPr>
      <w:spacing w:after="0" w:line="240" w:lineRule="auto"/>
    </w:pPr>
    <w:rPr>
      <w:rFonts w:ascii="Times New Roman" w:eastAsia="Calibri" w:hAnsi="Times New Roman" w:cs="Arial"/>
      <w:b/>
      <w:sz w:val="24"/>
      <w:lang w:val="en-US"/>
    </w:rPr>
  </w:style>
  <w:style w:type="paragraph" w:customStyle="1" w:styleId="Par-number10">
    <w:name w:val="Par-number 1)"/>
    <w:basedOn w:val="Normal"/>
    <w:next w:val="Normal"/>
    <w:rsid w:val="004C7DC8"/>
    <w:pPr>
      <w:numPr>
        <w:numId w:val="29"/>
      </w:numPr>
      <w:spacing w:after="0" w:line="360" w:lineRule="auto"/>
    </w:pPr>
    <w:rPr>
      <w:rFonts w:ascii="Times New Roman" w:eastAsia="Calibri" w:hAnsi="Times New Roman" w:cs="Arial"/>
      <w:sz w:val="24"/>
      <w:lang w:val="en-US"/>
    </w:rPr>
  </w:style>
  <w:style w:type="paragraph" w:customStyle="1" w:styleId="EntEmet">
    <w:name w:val="EntEmet"/>
    <w:basedOn w:val="Normal"/>
    <w:rsid w:val="004C7DC8"/>
    <w:pPr>
      <w:tabs>
        <w:tab w:val="left" w:pos="284"/>
        <w:tab w:val="left" w:pos="567"/>
        <w:tab w:val="left" w:pos="851"/>
        <w:tab w:val="left" w:pos="1134"/>
        <w:tab w:val="left" w:pos="1418"/>
      </w:tabs>
      <w:spacing w:before="40" w:after="0" w:line="240" w:lineRule="auto"/>
    </w:pPr>
    <w:rPr>
      <w:rFonts w:ascii="Times New Roman" w:eastAsia="Calibri" w:hAnsi="Times New Roman" w:cs="Arial"/>
      <w:sz w:val="24"/>
      <w:lang w:val="en-US"/>
    </w:rPr>
  </w:style>
  <w:style w:type="paragraph" w:customStyle="1" w:styleId="Par-bullet">
    <w:name w:val="Par-bullet"/>
    <w:basedOn w:val="Normal"/>
    <w:next w:val="Normal"/>
    <w:rsid w:val="004C7DC8"/>
    <w:pPr>
      <w:numPr>
        <w:numId w:val="30"/>
      </w:numPr>
      <w:spacing w:after="0" w:line="360" w:lineRule="auto"/>
    </w:pPr>
    <w:rPr>
      <w:rFonts w:ascii="Times New Roman" w:eastAsia="Calibri" w:hAnsi="Times New Roman" w:cs="Arial"/>
      <w:sz w:val="24"/>
      <w:lang w:val="en-US"/>
    </w:rPr>
  </w:style>
  <w:style w:type="paragraph" w:customStyle="1" w:styleId="Par-equal">
    <w:name w:val="Par-equal"/>
    <w:basedOn w:val="Normal"/>
    <w:next w:val="Normal"/>
    <w:rsid w:val="004C7DC8"/>
    <w:pPr>
      <w:numPr>
        <w:numId w:val="31"/>
      </w:numPr>
      <w:spacing w:after="0" w:line="360" w:lineRule="auto"/>
    </w:pPr>
    <w:rPr>
      <w:rFonts w:ascii="Times New Roman" w:eastAsia="Calibri" w:hAnsi="Times New Roman" w:cs="Arial"/>
      <w:sz w:val="24"/>
      <w:lang w:val="en-US"/>
    </w:rPr>
  </w:style>
  <w:style w:type="paragraph" w:customStyle="1" w:styleId="Par-number1">
    <w:name w:val="Par-number (1)"/>
    <w:basedOn w:val="Normal"/>
    <w:next w:val="Normal"/>
    <w:rsid w:val="004C7DC8"/>
    <w:pPr>
      <w:numPr>
        <w:numId w:val="32"/>
      </w:numPr>
      <w:spacing w:after="0" w:line="360" w:lineRule="auto"/>
    </w:pPr>
    <w:rPr>
      <w:rFonts w:ascii="Times New Roman" w:eastAsia="Calibri" w:hAnsi="Times New Roman" w:cs="Arial"/>
      <w:sz w:val="24"/>
      <w:lang w:val="en-US"/>
    </w:rPr>
  </w:style>
  <w:style w:type="paragraph" w:customStyle="1" w:styleId="Par-number11">
    <w:name w:val="Par-number 1."/>
    <w:basedOn w:val="Normal"/>
    <w:next w:val="Normal"/>
    <w:rsid w:val="004C7DC8"/>
    <w:pPr>
      <w:numPr>
        <w:numId w:val="33"/>
      </w:numPr>
      <w:spacing w:after="0" w:line="360" w:lineRule="auto"/>
    </w:pPr>
    <w:rPr>
      <w:rFonts w:ascii="Times New Roman" w:eastAsia="Calibri" w:hAnsi="Times New Roman" w:cs="Arial"/>
      <w:sz w:val="24"/>
      <w:lang w:val="en-US"/>
    </w:rPr>
  </w:style>
  <w:style w:type="paragraph" w:customStyle="1" w:styleId="Par-dash">
    <w:name w:val="Par-dash"/>
    <w:basedOn w:val="Normal"/>
    <w:next w:val="Normal"/>
    <w:rsid w:val="004C7DC8"/>
    <w:pPr>
      <w:numPr>
        <w:numId w:val="34"/>
      </w:numPr>
      <w:spacing w:after="0" w:line="360" w:lineRule="auto"/>
    </w:pPr>
    <w:rPr>
      <w:rFonts w:ascii="Times New Roman" w:eastAsia="Calibri" w:hAnsi="Times New Roman" w:cs="Arial"/>
      <w:sz w:val="24"/>
      <w:lang w:val="en-US"/>
    </w:rPr>
  </w:style>
  <w:style w:type="paragraph" w:customStyle="1" w:styleId="EntLogo">
    <w:name w:val="EntLogo"/>
    <w:basedOn w:val="Normal"/>
    <w:next w:val="EntInstit"/>
    <w:rsid w:val="004C7DC8"/>
    <w:pPr>
      <w:spacing w:after="0" w:line="360" w:lineRule="auto"/>
    </w:pPr>
    <w:rPr>
      <w:rFonts w:ascii="Times New Roman" w:eastAsia="Calibri" w:hAnsi="Times New Roman" w:cs="Arial"/>
      <w:b/>
      <w:sz w:val="24"/>
      <w:lang w:val="en-US"/>
    </w:rPr>
  </w:style>
  <w:style w:type="paragraph" w:customStyle="1" w:styleId="Par-numberA">
    <w:name w:val="Par-number A."/>
    <w:basedOn w:val="Normal"/>
    <w:next w:val="Normal"/>
    <w:rsid w:val="004C7DC8"/>
    <w:pPr>
      <w:numPr>
        <w:numId w:val="35"/>
      </w:numPr>
      <w:spacing w:after="0" w:line="360" w:lineRule="auto"/>
    </w:pPr>
    <w:rPr>
      <w:rFonts w:ascii="Times New Roman" w:eastAsia="Calibri" w:hAnsi="Times New Roman" w:cs="Arial"/>
      <w:sz w:val="24"/>
      <w:lang w:val="en-US"/>
    </w:rPr>
  </w:style>
  <w:style w:type="paragraph" w:customStyle="1" w:styleId="AC">
    <w:name w:val="AC"/>
    <w:basedOn w:val="Normal"/>
    <w:next w:val="Normal"/>
    <w:rsid w:val="004C7DC8"/>
    <w:pPr>
      <w:spacing w:after="0" w:line="360" w:lineRule="auto"/>
    </w:pPr>
    <w:rPr>
      <w:rFonts w:ascii="Times New Roman" w:eastAsia="Calibri" w:hAnsi="Times New Roman" w:cs="Arial"/>
      <w:b/>
      <w:sz w:val="40"/>
      <w:lang w:val="en-US"/>
    </w:rPr>
  </w:style>
  <w:style w:type="paragraph" w:customStyle="1" w:styleId="Par-numberi">
    <w:name w:val="Par-number (i)"/>
    <w:basedOn w:val="Normal"/>
    <w:next w:val="Normal"/>
    <w:rsid w:val="004C7DC8"/>
    <w:pPr>
      <w:numPr>
        <w:numId w:val="36"/>
      </w:numPr>
      <w:tabs>
        <w:tab w:val="left" w:pos="567"/>
      </w:tabs>
      <w:spacing w:after="0" w:line="360" w:lineRule="auto"/>
    </w:pPr>
    <w:rPr>
      <w:rFonts w:ascii="Times New Roman" w:eastAsia="Calibri" w:hAnsi="Times New Roman" w:cs="Arial"/>
      <w:sz w:val="24"/>
      <w:lang w:val="en-US"/>
    </w:rPr>
  </w:style>
  <w:style w:type="paragraph" w:customStyle="1" w:styleId="Par-numbera0">
    <w:name w:val="Par-number (a)"/>
    <w:basedOn w:val="Normal"/>
    <w:next w:val="Normal"/>
    <w:rsid w:val="004C7DC8"/>
    <w:pPr>
      <w:numPr>
        <w:numId w:val="37"/>
      </w:numPr>
      <w:spacing w:after="0" w:line="360" w:lineRule="auto"/>
    </w:pPr>
    <w:rPr>
      <w:rFonts w:ascii="Times New Roman" w:eastAsia="Calibri" w:hAnsi="Times New Roman" w:cs="Arial"/>
      <w:sz w:val="24"/>
      <w:lang w:val="en-US"/>
    </w:rPr>
  </w:style>
  <w:style w:type="paragraph" w:customStyle="1" w:styleId="AddReference">
    <w:name w:val="Add Reference"/>
    <w:basedOn w:val="Normal"/>
    <w:rsid w:val="004C7DC8"/>
    <w:pPr>
      <w:pBdr>
        <w:top w:val="single" w:sz="4" w:space="1" w:color="auto"/>
        <w:left w:val="single" w:sz="4" w:space="4" w:color="auto"/>
        <w:bottom w:val="single" w:sz="4" w:space="1" w:color="auto"/>
        <w:right w:val="single" w:sz="4" w:space="4" w:color="auto"/>
      </w:pBdr>
      <w:spacing w:after="0" w:line="240" w:lineRule="auto"/>
      <w:ind w:left="7655" w:right="-454"/>
    </w:pPr>
    <w:rPr>
      <w:rFonts w:ascii="Times New Roman" w:eastAsia="Calibri" w:hAnsi="Times New Roman" w:cs="Arial"/>
      <w:i/>
      <w:sz w:val="20"/>
      <w:lang w:val="en-US"/>
    </w:rPr>
  </w:style>
  <w:style w:type="paragraph" w:customStyle="1" w:styleId="ChapterTitle">
    <w:name w:val="ChapterTitle"/>
    <w:basedOn w:val="Normal"/>
    <w:next w:val="Normal"/>
    <w:rsid w:val="004C7DC8"/>
    <w:pPr>
      <w:keepNext/>
      <w:spacing w:before="120" w:after="360" w:line="240" w:lineRule="auto"/>
      <w:jc w:val="center"/>
    </w:pPr>
    <w:rPr>
      <w:rFonts w:ascii="Times New Roman" w:eastAsia="Calibri" w:hAnsi="Times New Roman" w:cs="Times New Roman"/>
      <w:b/>
      <w:sz w:val="32"/>
      <w:lang w:val="en-GB"/>
    </w:rPr>
  </w:style>
  <w:style w:type="paragraph" w:customStyle="1" w:styleId="SectionTitle">
    <w:name w:val="SectionTitle"/>
    <w:basedOn w:val="Normal"/>
    <w:next w:val="Heading1"/>
    <w:rsid w:val="004C7DC8"/>
    <w:pPr>
      <w:keepNext/>
      <w:spacing w:before="120" w:after="360" w:line="240" w:lineRule="auto"/>
      <w:jc w:val="center"/>
    </w:pPr>
    <w:rPr>
      <w:rFonts w:ascii="Times New Roman" w:eastAsia="Calibri" w:hAnsi="Times New Roman" w:cs="Times New Roman"/>
      <w:b/>
      <w:smallCaps/>
      <w:sz w:val="28"/>
      <w:lang w:val="en-GB"/>
    </w:rPr>
  </w:style>
  <w:style w:type="paragraph" w:customStyle="1" w:styleId="ManualNumPar1">
    <w:name w:val="Manual NumPar 1"/>
    <w:basedOn w:val="Normal"/>
    <w:next w:val="Normal"/>
    <w:rsid w:val="004C7DC8"/>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4C7DC8"/>
    <w:pPr>
      <w:keepNext/>
      <w:spacing w:before="360" w:after="120" w:line="240" w:lineRule="auto"/>
      <w:jc w:val="center"/>
    </w:pPr>
    <w:rPr>
      <w:rFonts w:ascii="Times New Roman" w:eastAsia="Calibri" w:hAnsi="Times New Roman" w:cs="Times New Roman"/>
      <w:i/>
      <w:sz w:val="24"/>
      <w:lang w:val="en-GB"/>
    </w:rPr>
  </w:style>
  <w:style w:type="paragraph" w:customStyle="1" w:styleId="Point2">
    <w:name w:val="Point 2"/>
    <w:basedOn w:val="Normal"/>
    <w:rsid w:val="004C7DC8"/>
    <w:pPr>
      <w:spacing w:before="120" w:after="120" w:line="240" w:lineRule="auto"/>
      <w:ind w:left="1984" w:hanging="567"/>
      <w:jc w:val="both"/>
    </w:pPr>
    <w:rPr>
      <w:rFonts w:ascii="Times New Roman" w:eastAsia="Calibri" w:hAnsi="Times New Roman" w:cs="Times New Roman"/>
      <w:sz w:val="24"/>
      <w:lang w:val="en-GB"/>
    </w:rPr>
  </w:style>
  <w:style w:type="paragraph" w:customStyle="1" w:styleId="Point0number">
    <w:name w:val="Point 0 (number)"/>
    <w:basedOn w:val="Normal"/>
    <w:rsid w:val="004C7DC8"/>
    <w:pPr>
      <w:numPr>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number">
    <w:name w:val="Point 1 (number)"/>
    <w:basedOn w:val="Normal"/>
    <w:rsid w:val="004C7DC8"/>
    <w:pPr>
      <w:numPr>
        <w:ilvl w:val="2"/>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2number">
    <w:name w:val="Point 2 (number)"/>
    <w:basedOn w:val="Normal"/>
    <w:rsid w:val="004C7DC8"/>
    <w:pPr>
      <w:numPr>
        <w:ilvl w:val="4"/>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number">
    <w:name w:val="Point 3 (number)"/>
    <w:basedOn w:val="Normal"/>
    <w:rsid w:val="004C7DC8"/>
    <w:pPr>
      <w:numPr>
        <w:ilvl w:val="6"/>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0letter">
    <w:name w:val="Point 0 (letter)"/>
    <w:basedOn w:val="Normal"/>
    <w:rsid w:val="004C7DC8"/>
    <w:pPr>
      <w:numPr>
        <w:ilvl w:val="1"/>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1letter">
    <w:name w:val="Point 1 (letter)"/>
    <w:basedOn w:val="Normal"/>
    <w:rsid w:val="004C7DC8"/>
    <w:pPr>
      <w:spacing w:before="120" w:after="120" w:line="240" w:lineRule="auto"/>
      <w:jc w:val="both"/>
    </w:pPr>
    <w:rPr>
      <w:rFonts w:ascii="Times New Roman" w:eastAsia="Calibri" w:hAnsi="Times New Roman" w:cs="Times New Roman"/>
      <w:sz w:val="24"/>
      <w:lang w:val="en-GB"/>
    </w:rPr>
  </w:style>
  <w:style w:type="paragraph" w:customStyle="1" w:styleId="Point2letter">
    <w:name w:val="Point 2 (letter)"/>
    <w:basedOn w:val="Normal"/>
    <w:rsid w:val="004C7DC8"/>
    <w:pPr>
      <w:numPr>
        <w:ilvl w:val="5"/>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3letter">
    <w:name w:val="Point 3 (letter)"/>
    <w:basedOn w:val="Normal"/>
    <w:rsid w:val="004C7DC8"/>
    <w:pPr>
      <w:numPr>
        <w:ilvl w:val="7"/>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Point4letter">
    <w:name w:val="Point 4 (letter)"/>
    <w:basedOn w:val="Normal"/>
    <w:rsid w:val="004C7DC8"/>
    <w:pPr>
      <w:numPr>
        <w:ilvl w:val="8"/>
        <w:numId w:val="38"/>
      </w:numPr>
      <w:tabs>
        <w:tab w:val="num" w:pos="360"/>
      </w:tabs>
      <w:spacing w:before="120" w:after="120" w:line="240" w:lineRule="auto"/>
      <w:ind w:left="0" w:firstLine="0"/>
      <w:jc w:val="both"/>
    </w:pPr>
    <w:rPr>
      <w:rFonts w:ascii="Times New Roman" w:eastAsia="Calibri" w:hAnsi="Times New Roman" w:cs="Times New Roman"/>
      <w:sz w:val="24"/>
      <w:lang w:val="en-GB"/>
    </w:rPr>
  </w:style>
  <w:style w:type="paragraph" w:customStyle="1" w:styleId="Considerant">
    <w:name w:val="Considerant"/>
    <w:basedOn w:val="ListParagraph"/>
    <w:rsid w:val="004C7DC8"/>
    <w:pPr>
      <w:numPr>
        <w:numId w:val="39"/>
      </w:numPr>
      <w:tabs>
        <w:tab w:val="num" w:pos="567"/>
      </w:tabs>
      <w:spacing w:before="0" w:after="200" w:line="276" w:lineRule="auto"/>
      <w:ind w:left="567" w:hanging="567"/>
    </w:pPr>
    <w:rPr>
      <w:rFonts w:eastAsia="Times New Roman"/>
      <w:sz w:val="22"/>
      <w:lang w:eastAsia="en-GB"/>
    </w:rPr>
  </w:style>
  <w:style w:type="paragraph" w:customStyle="1" w:styleId="ManualConsidrant">
    <w:name w:val="Manual Considérant"/>
    <w:basedOn w:val="Normal"/>
    <w:rsid w:val="004C7DC8"/>
    <w:pPr>
      <w:spacing w:before="120" w:after="120" w:line="240" w:lineRule="auto"/>
      <w:ind w:left="709" w:hanging="709"/>
      <w:jc w:val="both"/>
    </w:pPr>
    <w:rPr>
      <w:rFonts w:ascii="Times New Roman" w:eastAsia="Calibri" w:hAnsi="Times New Roman" w:cs="Times New Roman"/>
      <w:sz w:val="24"/>
      <w:lang w:val="en-GB"/>
    </w:rPr>
  </w:style>
  <w:style w:type="paragraph" w:customStyle="1" w:styleId="Default">
    <w:name w:val="Default"/>
    <w:rsid w:val="004C7DC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CM3">
    <w:name w:val="CM3"/>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character" w:customStyle="1" w:styleId="AnnexetitreChar">
    <w:name w:val="Annexe titre Char"/>
    <w:link w:val="Annexetitre"/>
    <w:locked/>
    <w:rsid w:val="004C7DC8"/>
    <w:rPr>
      <w:rFonts w:ascii="Times New Roman" w:eastAsia="Calibri" w:hAnsi="Times New Roman" w:cs="Times New Roman"/>
      <w:b/>
      <w:sz w:val="24"/>
      <w:szCs w:val="20"/>
      <w:u w:val="single"/>
      <w:lang w:val="en-GB" w:eastAsia="en-GB"/>
    </w:rPr>
  </w:style>
  <w:style w:type="paragraph" w:customStyle="1" w:styleId="Annexetitre">
    <w:name w:val="Annexe titre"/>
    <w:basedOn w:val="Normal"/>
    <w:next w:val="Normal"/>
    <w:link w:val="AnnexetitreChar"/>
    <w:rsid w:val="004C7DC8"/>
    <w:pPr>
      <w:spacing w:before="120" w:after="120" w:line="240" w:lineRule="auto"/>
      <w:jc w:val="center"/>
    </w:pPr>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rsid w:val="004C7DC8"/>
    <w:pPr>
      <w:spacing w:after="0" w:line="240" w:lineRule="auto"/>
      <w:jc w:val="both"/>
    </w:pPr>
    <w:rPr>
      <w:rFonts w:ascii="Times New Roman" w:eastAsia="Calibri" w:hAnsi="Times New Roman" w:cs="Times New Roman"/>
      <w:sz w:val="24"/>
      <w:szCs w:val="20"/>
      <w:lang w:val="en-GB" w:eastAsia="en-GB"/>
    </w:rPr>
  </w:style>
  <w:style w:type="character" w:customStyle="1" w:styleId="FooterCoverPageChar">
    <w:name w:val="Footer Cover Page Char"/>
    <w:basedOn w:val="AnnexetitreChar"/>
    <w:link w:val="FooterCoverPage"/>
    <w:locked/>
    <w:rsid w:val="004C7DC8"/>
    <w:rPr>
      <w:rFonts w:ascii="Times New Roman" w:eastAsia="Calibri" w:hAnsi="Times New Roman" w:cs="Times New Roman"/>
      <w:b w:val="0"/>
      <w:sz w:val="24"/>
      <w:szCs w:val="20"/>
      <w:u w:val="single"/>
      <w:lang w:val="en-GB" w:eastAsia="en-GB"/>
    </w:rPr>
  </w:style>
  <w:style w:type="paragraph" w:customStyle="1" w:styleId="FooterCoverPage">
    <w:name w:val="Footer Cover Page"/>
    <w:basedOn w:val="Normal"/>
    <w:link w:val="FooterCoverPageChar"/>
    <w:rsid w:val="004C7DC8"/>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en-GB" w:eastAsia="en-GB"/>
    </w:rPr>
  </w:style>
  <w:style w:type="character" w:customStyle="1" w:styleId="FooterSensitivityChar">
    <w:name w:val="Footer Sensitivity Char"/>
    <w:basedOn w:val="AnnexetitreChar"/>
    <w:link w:val="FooterSensitivity"/>
    <w:locked/>
    <w:rsid w:val="004C7DC8"/>
    <w:rPr>
      <w:rFonts w:ascii="Times New Roman" w:eastAsia="Calibri" w:hAnsi="Times New Roman" w:cs="Times New Roman"/>
      <w:b/>
      <w:sz w:val="32"/>
      <w:szCs w:val="20"/>
      <w:u w:val="single"/>
      <w:lang w:val="en-GB" w:eastAsia="en-GB"/>
    </w:rPr>
  </w:style>
  <w:style w:type="paragraph" w:customStyle="1" w:styleId="FooterSensitivity">
    <w:name w:val="Footer Sensitivity"/>
    <w:basedOn w:val="Normal"/>
    <w:link w:val="FooterSensitivityChar"/>
    <w:rsid w:val="004C7DC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en-GB" w:eastAsia="en-GB"/>
    </w:rPr>
  </w:style>
  <w:style w:type="character" w:customStyle="1" w:styleId="HeaderCoverPageChar">
    <w:name w:val="Header Cover Page Char"/>
    <w:basedOn w:val="AnnexetitreChar"/>
    <w:link w:val="HeaderCoverPage"/>
    <w:locked/>
    <w:rsid w:val="004C7DC8"/>
    <w:rPr>
      <w:rFonts w:ascii="Times New Roman" w:eastAsia="Calibri" w:hAnsi="Times New Roman" w:cs="Times New Roman"/>
      <w:b w:val="0"/>
      <w:sz w:val="24"/>
      <w:szCs w:val="20"/>
      <w:u w:val="single"/>
      <w:lang w:val="en-GB" w:eastAsia="en-GB"/>
    </w:rPr>
  </w:style>
  <w:style w:type="paragraph" w:customStyle="1" w:styleId="HeaderCoverPage">
    <w:name w:val="Header Cover Page"/>
    <w:basedOn w:val="Normal"/>
    <w:link w:val="HeaderCoverPageChar"/>
    <w:rsid w:val="004C7DC8"/>
    <w:pPr>
      <w:tabs>
        <w:tab w:val="center" w:pos="4535"/>
        <w:tab w:val="right" w:pos="9071"/>
      </w:tabs>
      <w:spacing w:after="120" w:line="240" w:lineRule="auto"/>
      <w:jc w:val="both"/>
    </w:pPr>
    <w:rPr>
      <w:rFonts w:ascii="Times New Roman" w:eastAsia="Calibri" w:hAnsi="Times New Roman" w:cs="Times New Roman"/>
      <w:sz w:val="24"/>
      <w:szCs w:val="20"/>
      <w:u w:val="single"/>
      <w:lang w:val="en-GB" w:eastAsia="en-GB"/>
    </w:rPr>
  </w:style>
  <w:style w:type="character" w:customStyle="1" w:styleId="HeaderSensitivityChar">
    <w:name w:val="Header Sensitivity Char"/>
    <w:basedOn w:val="AnnexetitreChar"/>
    <w:link w:val="HeaderSensitivity"/>
    <w:locked/>
    <w:rsid w:val="004C7DC8"/>
    <w:rPr>
      <w:rFonts w:ascii="Times New Roman" w:eastAsia="Calibri" w:hAnsi="Times New Roman" w:cs="Times New Roman"/>
      <w:b/>
      <w:sz w:val="32"/>
      <w:szCs w:val="20"/>
      <w:u w:val="single"/>
      <w:lang w:val="en-GB" w:eastAsia="en-GB"/>
    </w:rPr>
  </w:style>
  <w:style w:type="paragraph" w:customStyle="1" w:styleId="HeaderSensitivity">
    <w:name w:val="Header Sensitivity"/>
    <w:basedOn w:val="Normal"/>
    <w:link w:val="HeaderSensitivityChar"/>
    <w:rsid w:val="004C7DC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en-GB" w:eastAsia="en-GB"/>
    </w:rPr>
  </w:style>
  <w:style w:type="paragraph" w:customStyle="1" w:styleId="CM4">
    <w:name w:val="CM4"/>
    <w:basedOn w:val="Normal"/>
    <w:next w:val="Normal"/>
    <w:uiPriority w:val="99"/>
    <w:rsid w:val="004C7DC8"/>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customStyle="1" w:styleId="NumPar1">
    <w:name w:val="NumPar 1"/>
    <w:basedOn w:val="Normal"/>
    <w:next w:val="Normal"/>
    <w:rsid w:val="004C7DC8"/>
    <w:pPr>
      <w:spacing w:before="120" w:after="120" w:line="240" w:lineRule="auto"/>
      <w:ind w:left="850"/>
      <w:jc w:val="both"/>
    </w:pPr>
    <w:rPr>
      <w:rFonts w:ascii="Times New Roman" w:hAnsi="Times New Roman" w:cs="Times New Roman"/>
      <w:sz w:val="24"/>
      <w:lang w:val="en-GB" w:eastAsia="en-GB"/>
    </w:rPr>
  </w:style>
  <w:style w:type="paragraph" w:customStyle="1" w:styleId="AddressTL">
    <w:name w:val="AddressTL"/>
    <w:basedOn w:val="Normal"/>
    <w:next w:val="Normal"/>
    <w:rsid w:val="004C7DC8"/>
    <w:pPr>
      <w:spacing w:after="720" w:line="240" w:lineRule="auto"/>
    </w:pPr>
    <w:rPr>
      <w:rFonts w:ascii="Times New Roman" w:eastAsia="Times New Roman" w:hAnsi="Times New Roman" w:cs="Times New Roman"/>
      <w:sz w:val="24"/>
      <w:lang w:val="en-GB" w:eastAsia="en-GB"/>
    </w:rPr>
  </w:style>
  <w:style w:type="paragraph" w:customStyle="1" w:styleId="DoubSign">
    <w:name w:val="DoubSign"/>
    <w:basedOn w:val="Normal"/>
    <w:next w:val="Contact"/>
    <w:rsid w:val="004C7DC8"/>
    <w:pPr>
      <w:tabs>
        <w:tab w:val="left" w:pos="5103"/>
      </w:tabs>
      <w:spacing w:before="1200" w:after="0" w:line="240" w:lineRule="auto"/>
    </w:pPr>
    <w:rPr>
      <w:rFonts w:ascii="Times New Roman" w:eastAsia="Times New Roman" w:hAnsi="Times New Roman" w:cs="Times New Roman"/>
      <w:sz w:val="24"/>
      <w:lang w:val="en-GB" w:eastAsia="en-GB"/>
    </w:rPr>
  </w:style>
  <w:style w:type="paragraph" w:customStyle="1" w:styleId="Subject">
    <w:name w:val="Subject"/>
    <w:basedOn w:val="Normal"/>
    <w:next w:val="Normal"/>
    <w:rsid w:val="004C7DC8"/>
    <w:pPr>
      <w:spacing w:after="480" w:line="240" w:lineRule="auto"/>
      <w:ind w:left="1531" w:hanging="1531"/>
    </w:pPr>
    <w:rPr>
      <w:rFonts w:ascii="Times New Roman" w:eastAsia="Times New Roman" w:hAnsi="Times New Roman" w:cs="Times New Roman"/>
      <w:b/>
      <w:sz w:val="24"/>
      <w:lang w:val="en-GB" w:eastAsia="en-GB"/>
    </w:rPr>
  </w:style>
  <w:style w:type="paragraph" w:customStyle="1" w:styleId="NoteHead">
    <w:name w:val="NoteHead"/>
    <w:basedOn w:val="Normal"/>
    <w:next w:val="Subject"/>
    <w:rsid w:val="004C7DC8"/>
    <w:pPr>
      <w:spacing w:before="720" w:after="720" w:line="240" w:lineRule="auto"/>
      <w:jc w:val="center"/>
    </w:pPr>
    <w:rPr>
      <w:rFonts w:ascii="Times New Roman" w:eastAsia="Times New Roman" w:hAnsi="Times New Roman" w:cs="Times New Roman"/>
      <w:b/>
      <w:smallCaps/>
      <w:sz w:val="24"/>
      <w:lang w:val="en-GB" w:eastAsia="en-GB"/>
    </w:rPr>
  </w:style>
  <w:style w:type="paragraph" w:customStyle="1" w:styleId="NoteList">
    <w:name w:val="NoteList"/>
    <w:basedOn w:val="Normal"/>
    <w:next w:val="Subject"/>
    <w:rsid w:val="004C7DC8"/>
    <w:pPr>
      <w:tabs>
        <w:tab w:val="left" w:pos="5823"/>
      </w:tabs>
      <w:spacing w:before="720" w:after="720" w:line="240" w:lineRule="auto"/>
      <w:ind w:left="5104" w:hanging="3119"/>
    </w:pPr>
    <w:rPr>
      <w:rFonts w:ascii="Times New Roman" w:eastAsia="Times New Roman" w:hAnsi="Times New Roman" w:cs="Times New Roman"/>
      <w:b/>
      <w:smallCaps/>
      <w:sz w:val="24"/>
      <w:lang w:val="en-GB" w:eastAsia="en-GB"/>
    </w:rPr>
  </w:style>
  <w:style w:type="paragraph" w:customStyle="1" w:styleId="YReferences">
    <w:name w:val="YReferences"/>
    <w:basedOn w:val="Normal"/>
    <w:next w:val="Normal"/>
    <w:rsid w:val="004C7DC8"/>
    <w:pPr>
      <w:spacing w:after="480" w:line="240" w:lineRule="auto"/>
      <w:ind w:left="1531" w:hanging="1531"/>
      <w:jc w:val="both"/>
    </w:pPr>
    <w:rPr>
      <w:rFonts w:ascii="Times New Roman" w:eastAsia="Times New Roman" w:hAnsi="Times New Roman" w:cs="Times New Roman"/>
      <w:sz w:val="24"/>
      <w:lang w:val="en-GB" w:eastAsia="en-GB"/>
    </w:rPr>
  </w:style>
  <w:style w:type="paragraph" w:customStyle="1" w:styleId="ListBullet1">
    <w:name w:val="List Bullet 1"/>
    <w:basedOn w:val="Text1"/>
    <w:rsid w:val="004C7DC8"/>
    <w:pPr>
      <w:tabs>
        <w:tab w:val="num" w:pos="765"/>
      </w:tabs>
      <w:spacing w:before="0" w:after="240" w:line="240" w:lineRule="auto"/>
      <w:ind w:left="765" w:hanging="283"/>
      <w:jc w:val="both"/>
    </w:pPr>
    <w:rPr>
      <w:rFonts w:eastAsia="Times New Roman"/>
      <w:lang w:val="en-US" w:eastAsia="en-GB"/>
    </w:rPr>
  </w:style>
  <w:style w:type="paragraph" w:customStyle="1" w:styleId="ListDash">
    <w:name w:val="List Dash"/>
    <w:basedOn w:val="Normal"/>
    <w:rsid w:val="004C7DC8"/>
    <w:pPr>
      <w:numPr>
        <w:numId w:val="40"/>
      </w:numPr>
      <w:spacing w:after="240" w:line="240" w:lineRule="auto"/>
      <w:jc w:val="both"/>
    </w:pPr>
    <w:rPr>
      <w:rFonts w:ascii="Times New Roman" w:eastAsia="Times New Roman" w:hAnsi="Times New Roman" w:cs="Times New Roman"/>
      <w:sz w:val="24"/>
      <w:lang w:val="en-GB" w:eastAsia="en-GB"/>
    </w:rPr>
  </w:style>
  <w:style w:type="paragraph" w:customStyle="1" w:styleId="ListDash1">
    <w:name w:val="List Dash 1"/>
    <w:basedOn w:val="Text1"/>
    <w:rsid w:val="004C7DC8"/>
    <w:pPr>
      <w:numPr>
        <w:numId w:val="41"/>
      </w:numPr>
      <w:tabs>
        <w:tab w:val="clear" w:pos="765"/>
      </w:tabs>
      <w:spacing w:before="0" w:after="240" w:line="240" w:lineRule="auto"/>
      <w:ind w:left="928" w:hanging="360"/>
      <w:jc w:val="both"/>
    </w:pPr>
    <w:rPr>
      <w:rFonts w:eastAsia="Times New Roman"/>
      <w:lang w:val="en-US" w:eastAsia="en-GB"/>
    </w:rPr>
  </w:style>
  <w:style w:type="paragraph" w:customStyle="1" w:styleId="ListDash2">
    <w:name w:val="List Dash 2"/>
    <w:basedOn w:val="Text2"/>
    <w:rsid w:val="004C7DC8"/>
    <w:pPr>
      <w:numPr>
        <w:numId w:val="42"/>
      </w:numPr>
      <w:spacing w:before="0" w:after="240" w:line="240" w:lineRule="auto"/>
      <w:jc w:val="both"/>
    </w:pPr>
    <w:rPr>
      <w:rFonts w:eastAsia="Times New Roman"/>
      <w:lang w:eastAsia="en-GB"/>
    </w:rPr>
  </w:style>
  <w:style w:type="paragraph" w:customStyle="1" w:styleId="ListDash3">
    <w:name w:val="List Dash 3"/>
    <w:basedOn w:val="Text3"/>
    <w:rsid w:val="004C7DC8"/>
    <w:pPr>
      <w:numPr>
        <w:numId w:val="43"/>
      </w:numPr>
      <w:spacing w:before="0" w:after="240" w:line="240" w:lineRule="auto"/>
      <w:jc w:val="both"/>
    </w:pPr>
    <w:rPr>
      <w:rFonts w:eastAsia="Times New Roman"/>
      <w:lang w:eastAsia="en-GB"/>
    </w:rPr>
  </w:style>
  <w:style w:type="paragraph" w:customStyle="1" w:styleId="ListDash4">
    <w:name w:val="List Dash 4"/>
    <w:basedOn w:val="Text4"/>
    <w:rsid w:val="004C7DC8"/>
    <w:pPr>
      <w:numPr>
        <w:numId w:val="44"/>
      </w:numPr>
      <w:spacing w:before="0" w:after="240" w:line="240" w:lineRule="auto"/>
      <w:jc w:val="both"/>
    </w:pPr>
    <w:rPr>
      <w:rFonts w:eastAsia="Times New Roman"/>
      <w:lang w:eastAsia="en-GB"/>
    </w:rPr>
  </w:style>
  <w:style w:type="paragraph" w:customStyle="1" w:styleId="ListNumberLevel2">
    <w:name w:val="List Number (Level 2)"/>
    <w:basedOn w:val="Normal"/>
    <w:rsid w:val="004C7DC8"/>
    <w:pPr>
      <w:numPr>
        <w:ilvl w:val="1"/>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3">
    <w:name w:val="List Number (Level 3)"/>
    <w:basedOn w:val="Normal"/>
    <w:rsid w:val="004C7DC8"/>
    <w:pPr>
      <w:numPr>
        <w:ilvl w:val="2"/>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Level4">
    <w:name w:val="List Number (Level 4)"/>
    <w:basedOn w:val="Normal"/>
    <w:rsid w:val="004C7DC8"/>
    <w:pPr>
      <w:numPr>
        <w:ilvl w:val="3"/>
        <w:numId w:val="23"/>
      </w:numPr>
      <w:spacing w:after="240" w:line="240" w:lineRule="auto"/>
      <w:jc w:val="both"/>
    </w:pPr>
    <w:rPr>
      <w:rFonts w:ascii="Times New Roman" w:eastAsia="Times New Roman" w:hAnsi="Times New Roman" w:cs="Times New Roman"/>
      <w:sz w:val="24"/>
      <w:lang w:val="en-GB" w:eastAsia="en-GB"/>
    </w:rPr>
  </w:style>
  <w:style w:type="paragraph" w:customStyle="1" w:styleId="ListNumber1">
    <w:name w:val="List Number 1"/>
    <w:basedOn w:val="Text1"/>
    <w:rsid w:val="004C7DC8"/>
    <w:pPr>
      <w:numPr>
        <w:numId w:val="45"/>
      </w:numPr>
      <w:tabs>
        <w:tab w:val="clear" w:pos="1191"/>
        <w:tab w:val="num" w:pos="2199"/>
      </w:tabs>
      <w:spacing w:before="0" w:after="240" w:line="240" w:lineRule="auto"/>
      <w:ind w:left="2199" w:hanging="283"/>
      <w:jc w:val="both"/>
    </w:pPr>
    <w:rPr>
      <w:rFonts w:eastAsia="Times New Roman"/>
      <w:lang w:val="en-US" w:eastAsia="en-GB"/>
    </w:rPr>
  </w:style>
  <w:style w:type="paragraph" w:customStyle="1" w:styleId="ListNumber1Level2">
    <w:name w:val="List Number 1 (Level 2)"/>
    <w:basedOn w:val="Text1"/>
    <w:rsid w:val="004C7DC8"/>
    <w:pPr>
      <w:numPr>
        <w:ilvl w:val="1"/>
        <w:numId w:val="45"/>
      </w:numPr>
      <w:tabs>
        <w:tab w:val="clear" w:pos="1899"/>
        <w:tab w:val="num" w:pos="2199"/>
      </w:tabs>
      <w:spacing w:before="0" w:after="240" w:line="240" w:lineRule="auto"/>
      <w:ind w:left="2199" w:hanging="283"/>
      <w:jc w:val="both"/>
    </w:pPr>
    <w:rPr>
      <w:rFonts w:eastAsia="Times New Roman"/>
      <w:lang w:val="en-US" w:eastAsia="en-GB"/>
    </w:rPr>
  </w:style>
  <w:style w:type="paragraph" w:customStyle="1" w:styleId="ListNumber1Level3">
    <w:name w:val="List Number 1 (Level 3)"/>
    <w:basedOn w:val="Text1"/>
    <w:rsid w:val="004C7DC8"/>
    <w:pPr>
      <w:numPr>
        <w:ilvl w:val="2"/>
        <w:numId w:val="45"/>
      </w:numPr>
      <w:tabs>
        <w:tab w:val="clear" w:pos="2608"/>
        <w:tab w:val="num" w:pos="2199"/>
      </w:tabs>
      <w:spacing w:before="0" w:after="240" w:line="240" w:lineRule="auto"/>
      <w:ind w:left="2199" w:hanging="283"/>
      <w:jc w:val="both"/>
    </w:pPr>
    <w:rPr>
      <w:rFonts w:eastAsia="Times New Roman"/>
      <w:lang w:val="en-US" w:eastAsia="en-GB"/>
    </w:rPr>
  </w:style>
  <w:style w:type="paragraph" w:customStyle="1" w:styleId="ListNumber1Level4">
    <w:name w:val="List Number 1 (Level 4)"/>
    <w:basedOn w:val="Text1"/>
    <w:rsid w:val="004C7DC8"/>
    <w:pPr>
      <w:numPr>
        <w:ilvl w:val="3"/>
        <w:numId w:val="45"/>
      </w:numPr>
      <w:tabs>
        <w:tab w:val="clear" w:pos="3317"/>
        <w:tab w:val="num" w:pos="2199"/>
      </w:tabs>
      <w:spacing w:before="0" w:after="240" w:line="240" w:lineRule="auto"/>
      <w:ind w:left="2199" w:hanging="283"/>
      <w:jc w:val="both"/>
    </w:pPr>
    <w:rPr>
      <w:rFonts w:eastAsia="Times New Roman"/>
      <w:lang w:val="en-US" w:eastAsia="en-GB"/>
    </w:rPr>
  </w:style>
  <w:style w:type="paragraph" w:customStyle="1" w:styleId="ListNumber2Level2">
    <w:name w:val="List Number 2 (Level 2)"/>
    <w:basedOn w:val="Text2"/>
    <w:rsid w:val="004C7DC8"/>
    <w:pPr>
      <w:numPr>
        <w:ilvl w:val="1"/>
        <w:numId w:val="46"/>
      </w:numPr>
      <w:spacing w:before="0" w:after="240" w:line="240" w:lineRule="auto"/>
      <w:jc w:val="both"/>
    </w:pPr>
    <w:rPr>
      <w:rFonts w:eastAsia="Times New Roman"/>
      <w:lang w:eastAsia="en-GB"/>
    </w:rPr>
  </w:style>
  <w:style w:type="paragraph" w:customStyle="1" w:styleId="ListNumber2Level3">
    <w:name w:val="List Number 2 (Level 3)"/>
    <w:basedOn w:val="Text2"/>
    <w:rsid w:val="004C7DC8"/>
    <w:pPr>
      <w:numPr>
        <w:ilvl w:val="2"/>
        <w:numId w:val="46"/>
      </w:numPr>
      <w:spacing w:before="0" w:after="240" w:line="240" w:lineRule="auto"/>
      <w:jc w:val="both"/>
    </w:pPr>
    <w:rPr>
      <w:rFonts w:eastAsia="Times New Roman"/>
      <w:lang w:eastAsia="en-GB"/>
    </w:rPr>
  </w:style>
  <w:style w:type="paragraph" w:customStyle="1" w:styleId="ListNumber2Level4">
    <w:name w:val="List Number 2 (Level 4)"/>
    <w:basedOn w:val="Text2"/>
    <w:rsid w:val="004C7DC8"/>
    <w:pPr>
      <w:numPr>
        <w:ilvl w:val="3"/>
        <w:numId w:val="46"/>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rsid w:val="004C7DC8"/>
    <w:pPr>
      <w:numPr>
        <w:ilvl w:val="1"/>
        <w:numId w:val="47"/>
      </w:numPr>
      <w:spacing w:before="0" w:after="240" w:line="240" w:lineRule="auto"/>
      <w:jc w:val="both"/>
    </w:pPr>
    <w:rPr>
      <w:rFonts w:eastAsia="Times New Roman"/>
      <w:lang w:eastAsia="en-GB"/>
    </w:rPr>
  </w:style>
  <w:style w:type="paragraph" w:customStyle="1" w:styleId="ListNumber3Level3">
    <w:name w:val="List Number 3 (Level 3)"/>
    <w:basedOn w:val="Text3"/>
    <w:rsid w:val="004C7DC8"/>
    <w:pPr>
      <w:numPr>
        <w:ilvl w:val="2"/>
        <w:numId w:val="47"/>
      </w:numPr>
      <w:spacing w:before="0" w:after="240" w:line="240" w:lineRule="auto"/>
      <w:jc w:val="both"/>
    </w:pPr>
    <w:rPr>
      <w:rFonts w:eastAsia="Times New Roman"/>
      <w:lang w:eastAsia="en-GB"/>
    </w:rPr>
  </w:style>
  <w:style w:type="paragraph" w:customStyle="1" w:styleId="ListNumber3Level4">
    <w:name w:val="List Number 3 (Level 4)"/>
    <w:basedOn w:val="Text3"/>
    <w:rsid w:val="004C7DC8"/>
    <w:pPr>
      <w:numPr>
        <w:ilvl w:val="3"/>
        <w:numId w:val="47"/>
      </w:numPr>
      <w:spacing w:before="0" w:after="240" w:line="240" w:lineRule="auto"/>
      <w:jc w:val="both"/>
    </w:pPr>
    <w:rPr>
      <w:rFonts w:eastAsia="Times New Roman"/>
      <w:lang w:eastAsia="en-GB"/>
    </w:rPr>
  </w:style>
  <w:style w:type="paragraph" w:customStyle="1" w:styleId="ListNumber4Level2">
    <w:name w:val="List Number 4 (Level 2)"/>
    <w:basedOn w:val="Text4"/>
    <w:rsid w:val="004C7DC8"/>
    <w:pPr>
      <w:numPr>
        <w:ilvl w:val="1"/>
        <w:numId w:val="48"/>
      </w:numPr>
      <w:spacing w:before="0" w:after="240" w:line="240" w:lineRule="auto"/>
      <w:jc w:val="both"/>
    </w:pPr>
    <w:rPr>
      <w:rFonts w:eastAsia="Times New Roman"/>
      <w:lang w:eastAsia="en-GB"/>
    </w:rPr>
  </w:style>
  <w:style w:type="paragraph" w:customStyle="1" w:styleId="ListNumber4Level3">
    <w:name w:val="List Number 4 (Level 3)"/>
    <w:basedOn w:val="Text4"/>
    <w:rsid w:val="004C7DC8"/>
    <w:pPr>
      <w:numPr>
        <w:ilvl w:val="2"/>
        <w:numId w:val="48"/>
      </w:numPr>
      <w:spacing w:before="0" w:after="240" w:line="240" w:lineRule="auto"/>
      <w:jc w:val="both"/>
    </w:pPr>
    <w:rPr>
      <w:rFonts w:eastAsia="Times New Roman"/>
      <w:lang w:eastAsia="en-GB"/>
    </w:rPr>
  </w:style>
  <w:style w:type="paragraph" w:customStyle="1" w:styleId="ListNumber4Level4">
    <w:name w:val="List Number 4 (Level 4)"/>
    <w:basedOn w:val="Text4"/>
    <w:rsid w:val="004C7DC8"/>
    <w:pPr>
      <w:numPr>
        <w:ilvl w:val="3"/>
        <w:numId w:val="48"/>
      </w:numPr>
      <w:spacing w:before="0" w:after="240" w:line="240" w:lineRule="auto"/>
      <w:jc w:val="both"/>
    </w:pPr>
    <w:rPr>
      <w:rFonts w:eastAsia="Times New Roman"/>
      <w:lang w:eastAsia="en-GB"/>
    </w:rPr>
  </w:style>
  <w:style w:type="paragraph" w:customStyle="1" w:styleId="DisclaimerNotice">
    <w:name w:val="Disclaimer Notice"/>
    <w:basedOn w:val="Normal"/>
    <w:next w:val="AddressTR"/>
    <w:rsid w:val="004C7DC8"/>
    <w:pPr>
      <w:spacing w:after="240" w:line="240" w:lineRule="auto"/>
      <w:ind w:left="5103"/>
    </w:pPr>
    <w:rPr>
      <w:rFonts w:ascii="Times New Roman" w:eastAsia="Times New Roman" w:hAnsi="Times New Roman" w:cs="Times New Roman"/>
      <w:i/>
      <w:sz w:val="20"/>
      <w:lang w:val="en-GB" w:eastAsia="en-GB"/>
    </w:rPr>
  </w:style>
  <w:style w:type="paragraph" w:customStyle="1" w:styleId="Disclaimer">
    <w:name w:val="Disclaimer"/>
    <w:basedOn w:val="Normal"/>
    <w:rsid w:val="004C7DC8"/>
    <w:pPr>
      <w:keepLines/>
      <w:pBdr>
        <w:top w:val="single" w:sz="4" w:space="1" w:color="auto"/>
      </w:pBdr>
      <w:spacing w:before="480" w:after="0" w:line="240" w:lineRule="auto"/>
      <w:jc w:val="both"/>
    </w:pPr>
    <w:rPr>
      <w:rFonts w:ascii="Times New Roman" w:eastAsia="Times New Roman" w:hAnsi="Times New Roman" w:cs="Times New Roman"/>
      <w:i/>
      <w:sz w:val="24"/>
      <w:lang w:val="en-GB" w:eastAsia="en-GB"/>
    </w:rPr>
  </w:style>
  <w:style w:type="paragraph" w:customStyle="1" w:styleId="DisclaimerSJ">
    <w:name w:val="Disclaimer_SJ"/>
    <w:basedOn w:val="Normal"/>
    <w:next w:val="Normal"/>
    <w:rsid w:val="004C7DC8"/>
    <w:pPr>
      <w:spacing w:after="0" w:line="240" w:lineRule="auto"/>
      <w:jc w:val="both"/>
    </w:pPr>
    <w:rPr>
      <w:rFonts w:ascii="Arial" w:eastAsia="Times New Roman" w:hAnsi="Arial" w:cs="Times New Roman"/>
      <w:b/>
      <w:sz w:val="16"/>
      <w:lang w:val="en-GB" w:eastAsia="en-GB"/>
    </w:rPr>
  </w:style>
  <w:style w:type="paragraph" w:customStyle="1" w:styleId="StyleHeading3BoldNotItalic">
    <w:name w:val="Style Heading 3 + Bold Not Italic"/>
    <w:basedOn w:val="Heading3"/>
    <w:autoRedefine/>
    <w:rsid w:val="004C7DC8"/>
    <w:pPr>
      <w:numPr>
        <w:numId w:val="49"/>
      </w:numPr>
      <w:tabs>
        <w:tab w:val="num" w:pos="850"/>
      </w:tabs>
      <w:spacing w:before="0" w:after="240"/>
      <w:ind w:left="720" w:hanging="720"/>
    </w:pPr>
    <w:rPr>
      <w:rFonts w:ascii="Times New Roman Bold" w:eastAsia="Times New Roman" w:hAnsi="Times New Roman Bold" w:cs="Times New Roman"/>
      <w:bCs/>
      <w:lang w:val="en-GB" w:eastAsia="en-GB"/>
    </w:rPr>
  </w:style>
  <w:style w:type="paragraph" w:customStyle="1" w:styleId="Annextitle">
    <w:name w:val="Annex title"/>
    <w:basedOn w:val="Normal"/>
    <w:autoRedefine/>
    <w:rsid w:val="004C7DC8"/>
    <w:pPr>
      <w:spacing w:before="120" w:after="240" w:line="240" w:lineRule="auto"/>
      <w:jc w:val="center"/>
    </w:pPr>
    <w:rPr>
      <w:rFonts w:ascii="Times New Roman Bold" w:eastAsia="Times New Roman" w:hAnsi="Times New Roman Bold" w:cs="Times New Roman"/>
      <w:b/>
      <w:iCs/>
      <w:smallCaps/>
      <w:sz w:val="24"/>
      <w:szCs w:val="24"/>
      <w:lang w:val="en-GB" w:eastAsia="en-GB"/>
    </w:rPr>
  </w:style>
  <w:style w:type="paragraph" w:customStyle="1" w:styleId="StyleHeading1Hanging085cm">
    <w:name w:val="Style Heading 1 + Hanging:  0.85 cm"/>
    <w:basedOn w:val="Heading1"/>
    <w:autoRedefine/>
    <w:rsid w:val="004C7DC8"/>
    <w:pPr>
      <w:numPr>
        <w:numId w:val="0"/>
      </w:numPr>
      <w:tabs>
        <w:tab w:val="left" w:pos="1134"/>
        <w:tab w:val="left" w:pos="1560"/>
      </w:tabs>
      <w:spacing w:after="240"/>
    </w:pPr>
    <w:rPr>
      <w:rFonts w:eastAsia="Times New Roman" w:cs="Times New Roman"/>
      <w:i/>
      <w:szCs w:val="24"/>
      <w:lang w:val="en-GB" w:eastAsia="en-GB"/>
    </w:rPr>
  </w:style>
  <w:style w:type="paragraph" w:customStyle="1" w:styleId="StyleHeading1Left0cm">
    <w:name w:val="Style Heading 1 + Left:  0 cm"/>
    <w:basedOn w:val="Heading1"/>
    <w:autoRedefine/>
    <w:rsid w:val="004C7DC8"/>
    <w:pPr>
      <w:numPr>
        <w:numId w:val="50"/>
      </w:numPr>
      <w:tabs>
        <w:tab w:val="left" w:pos="1134"/>
        <w:tab w:val="left" w:pos="1560"/>
      </w:tabs>
      <w:spacing w:after="240"/>
    </w:pPr>
    <w:rPr>
      <w:rFonts w:ascii="Times New Roman Bold" w:eastAsia="Times New Roman" w:hAnsi="Times New Roman Bold" w:cs="Times New Roman"/>
      <w:i/>
      <w:szCs w:val="24"/>
      <w:lang w:val="en-GB" w:eastAsia="en-GB"/>
    </w:rPr>
  </w:style>
  <w:style w:type="paragraph" w:customStyle="1" w:styleId="CM1">
    <w:name w:val="CM1"/>
    <w:basedOn w:val="Default"/>
    <w:next w:val="Default"/>
    <w:uiPriority w:val="99"/>
    <w:rsid w:val="004C7DC8"/>
    <w:pPr>
      <w:spacing w:after="200" w:line="276" w:lineRule="auto"/>
    </w:pPr>
    <w:rPr>
      <w:rFonts w:ascii="EUAlbertina" w:eastAsia="Calibri" w:hAnsi="EUAlbertina" w:cs="Times New Roman"/>
      <w:color w:val="auto"/>
    </w:rPr>
  </w:style>
  <w:style w:type="paragraph" w:customStyle="1" w:styleId="Annextitre">
    <w:name w:val="Annex titre"/>
    <w:basedOn w:val="Normal"/>
    <w:rsid w:val="004C7DC8"/>
    <w:pPr>
      <w:spacing w:before="120" w:after="120" w:line="240" w:lineRule="auto"/>
      <w:jc w:val="both"/>
    </w:pPr>
    <w:rPr>
      <w:rFonts w:ascii="Times New Roman" w:eastAsia="Calibri" w:hAnsi="Times New Roman" w:cs="Times New Roman"/>
      <w:sz w:val="24"/>
      <w:lang w:val="en-GB" w:eastAsia="en-GB"/>
    </w:rPr>
  </w:style>
  <w:style w:type="paragraph" w:customStyle="1" w:styleId="NormalLeft">
    <w:name w:val="Normal Left"/>
    <w:basedOn w:val="Normal"/>
    <w:rsid w:val="004C7DC8"/>
    <w:pPr>
      <w:spacing w:before="120" w:after="120" w:line="240" w:lineRule="auto"/>
    </w:pPr>
    <w:rPr>
      <w:rFonts w:ascii="Times New Roman" w:eastAsia="Calibri" w:hAnsi="Times New Roman" w:cs="Times New Roman"/>
      <w:sz w:val="24"/>
      <w:lang w:val="en-GB" w:eastAsia="en-GB"/>
    </w:rPr>
  </w:style>
  <w:style w:type="paragraph" w:customStyle="1" w:styleId="QuotedText">
    <w:name w:val="Quoted Text"/>
    <w:basedOn w:val="Normal"/>
    <w:rsid w:val="004C7DC8"/>
    <w:pPr>
      <w:spacing w:before="120" w:after="120" w:line="240" w:lineRule="auto"/>
      <w:ind w:left="1417"/>
      <w:jc w:val="both"/>
    </w:pPr>
    <w:rPr>
      <w:rFonts w:ascii="Times New Roman" w:eastAsia="Calibri" w:hAnsi="Times New Roman" w:cs="Times New Roman"/>
      <w:sz w:val="24"/>
      <w:lang w:val="en-GB" w:eastAsia="en-GB"/>
    </w:rPr>
  </w:style>
  <w:style w:type="paragraph" w:customStyle="1" w:styleId="Point0">
    <w:name w:val="Point 0"/>
    <w:basedOn w:val="Normal"/>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Point1">
    <w:name w:val="Point 1"/>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Point3">
    <w:name w:val="Point 3"/>
    <w:basedOn w:val="Normal"/>
    <w:rsid w:val="004C7DC8"/>
    <w:pPr>
      <w:spacing w:before="120" w:after="120" w:line="240" w:lineRule="auto"/>
      <w:ind w:left="2551" w:hanging="567"/>
      <w:jc w:val="both"/>
    </w:pPr>
    <w:rPr>
      <w:rFonts w:ascii="Times New Roman" w:eastAsia="Calibri" w:hAnsi="Times New Roman" w:cs="Times New Roman"/>
      <w:sz w:val="24"/>
      <w:lang w:val="en-GB" w:eastAsia="en-GB"/>
    </w:rPr>
  </w:style>
  <w:style w:type="paragraph" w:customStyle="1" w:styleId="Point4">
    <w:name w:val="Point 4"/>
    <w:basedOn w:val="Normal"/>
    <w:rsid w:val="004C7DC8"/>
    <w:pPr>
      <w:spacing w:before="120" w:after="120" w:line="240" w:lineRule="auto"/>
      <w:ind w:left="3118" w:hanging="567"/>
      <w:jc w:val="both"/>
    </w:pPr>
    <w:rPr>
      <w:rFonts w:ascii="Times New Roman" w:eastAsia="Calibri" w:hAnsi="Times New Roman" w:cs="Times New Roman"/>
      <w:sz w:val="24"/>
      <w:lang w:val="en-GB" w:eastAsia="en-GB"/>
    </w:rPr>
  </w:style>
  <w:style w:type="paragraph" w:customStyle="1" w:styleId="Tiret0">
    <w:name w:val="Tiret 0"/>
    <w:basedOn w:val="Point0"/>
    <w:rsid w:val="004C7DC8"/>
    <w:pPr>
      <w:numPr>
        <w:numId w:val="51"/>
      </w:numPr>
    </w:pPr>
  </w:style>
  <w:style w:type="paragraph" w:customStyle="1" w:styleId="Tiret1">
    <w:name w:val="Tiret 1"/>
    <w:basedOn w:val="Point1"/>
    <w:rsid w:val="004C7DC8"/>
    <w:pPr>
      <w:numPr>
        <w:numId w:val="52"/>
      </w:numPr>
    </w:pPr>
  </w:style>
  <w:style w:type="paragraph" w:customStyle="1" w:styleId="Tiret2">
    <w:name w:val="Tiret 2"/>
    <w:basedOn w:val="Point2"/>
    <w:rsid w:val="004C7DC8"/>
    <w:pPr>
      <w:numPr>
        <w:numId w:val="53"/>
      </w:numPr>
    </w:pPr>
    <w:rPr>
      <w:lang w:eastAsia="en-GB"/>
    </w:rPr>
  </w:style>
  <w:style w:type="paragraph" w:customStyle="1" w:styleId="Tiret3">
    <w:name w:val="Tiret 3"/>
    <w:basedOn w:val="Point3"/>
    <w:rsid w:val="004C7DC8"/>
    <w:pPr>
      <w:numPr>
        <w:numId w:val="54"/>
      </w:numPr>
    </w:pPr>
  </w:style>
  <w:style w:type="paragraph" w:customStyle="1" w:styleId="Tiret4">
    <w:name w:val="Tiret 4"/>
    <w:basedOn w:val="Point4"/>
    <w:rsid w:val="004C7DC8"/>
    <w:pPr>
      <w:numPr>
        <w:numId w:val="55"/>
      </w:numPr>
    </w:pPr>
  </w:style>
  <w:style w:type="paragraph" w:customStyle="1" w:styleId="PointDouble0">
    <w:name w:val="PointDouble 0"/>
    <w:basedOn w:val="Normal"/>
    <w:rsid w:val="004C7DC8"/>
    <w:pPr>
      <w:tabs>
        <w:tab w:val="left" w:pos="850"/>
      </w:tabs>
      <w:spacing w:before="120" w:after="120" w:line="240" w:lineRule="auto"/>
      <w:ind w:left="1417" w:hanging="1417"/>
      <w:jc w:val="both"/>
    </w:pPr>
    <w:rPr>
      <w:rFonts w:ascii="Times New Roman" w:eastAsia="Calibri" w:hAnsi="Times New Roman" w:cs="Times New Roman"/>
      <w:sz w:val="24"/>
      <w:lang w:val="en-GB" w:eastAsia="en-GB"/>
    </w:rPr>
  </w:style>
  <w:style w:type="paragraph" w:customStyle="1" w:styleId="PointDouble1">
    <w:name w:val="PointDouble 1"/>
    <w:basedOn w:val="Normal"/>
    <w:rsid w:val="004C7DC8"/>
    <w:pPr>
      <w:tabs>
        <w:tab w:val="left" w:pos="1417"/>
      </w:tabs>
      <w:spacing w:before="120" w:after="120" w:line="240" w:lineRule="auto"/>
      <w:ind w:left="1984" w:hanging="1134"/>
      <w:jc w:val="both"/>
    </w:pPr>
    <w:rPr>
      <w:rFonts w:ascii="Times New Roman" w:eastAsia="Calibri" w:hAnsi="Times New Roman" w:cs="Times New Roman"/>
      <w:sz w:val="24"/>
      <w:lang w:val="en-GB" w:eastAsia="en-GB"/>
    </w:rPr>
  </w:style>
  <w:style w:type="paragraph" w:customStyle="1" w:styleId="PointDouble2">
    <w:name w:val="PointDouble 2"/>
    <w:basedOn w:val="Normal"/>
    <w:rsid w:val="004C7DC8"/>
    <w:pPr>
      <w:tabs>
        <w:tab w:val="left" w:pos="1984"/>
      </w:tabs>
      <w:spacing w:before="120" w:after="120" w:line="240" w:lineRule="auto"/>
      <w:ind w:left="2551" w:hanging="1134"/>
      <w:jc w:val="both"/>
    </w:pPr>
    <w:rPr>
      <w:rFonts w:ascii="Times New Roman" w:eastAsia="Calibri" w:hAnsi="Times New Roman" w:cs="Times New Roman"/>
      <w:sz w:val="24"/>
      <w:lang w:val="en-GB" w:eastAsia="en-GB"/>
    </w:rPr>
  </w:style>
  <w:style w:type="paragraph" w:customStyle="1" w:styleId="PointDouble3">
    <w:name w:val="PointDouble 3"/>
    <w:basedOn w:val="Normal"/>
    <w:rsid w:val="004C7DC8"/>
    <w:pPr>
      <w:tabs>
        <w:tab w:val="left" w:pos="2551"/>
      </w:tabs>
      <w:spacing w:before="120" w:after="120" w:line="240" w:lineRule="auto"/>
      <w:ind w:left="3118" w:hanging="1134"/>
      <w:jc w:val="both"/>
    </w:pPr>
    <w:rPr>
      <w:rFonts w:ascii="Times New Roman" w:eastAsia="Calibri" w:hAnsi="Times New Roman" w:cs="Times New Roman"/>
      <w:sz w:val="24"/>
      <w:lang w:val="en-GB" w:eastAsia="en-GB"/>
    </w:rPr>
  </w:style>
  <w:style w:type="paragraph" w:customStyle="1" w:styleId="PointDouble4">
    <w:name w:val="PointDouble 4"/>
    <w:basedOn w:val="Normal"/>
    <w:rsid w:val="004C7DC8"/>
    <w:pPr>
      <w:tabs>
        <w:tab w:val="left" w:pos="3118"/>
      </w:tabs>
      <w:spacing w:before="120" w:after="120" w:line="240" w:lineRule="auto"/>
      <w:ind w:left="3685" w:hanging="1134"/>
      <w:jc w:val="both"/>
    </w:pPr>
    <w:rPr>
      <w:rFonts w:ascii="Times New Roman" w:eastAsia="Calibri" w:hAnsi="Times New Roman" w:cs="Times New Roman"/>
      <w:sz w:val="24"/>
      <w:lang w:val="en-GB" w:eastAsia="en-GB"/>
    </w:rPr>
  </w:style>
  <w:style w:type="paragraph" w:customStyle="1" w:styleId="PointTriple0">
    <w:name w:val="PointTriple 0"/>
    <w:basedOn w:val="Normal"/>
    <w:rsid w:val="004C7DC8"/>
    <w:pPr>
      <w:tabs>
        <w:tab w:val="left" w:pos="850"/>
        <w:tab w:val="left" w:pos="1417"/>
      </w:tabs>
      <w:spacing w:before="120" w:after="120" w:line="240" w:lineRule="auto"/>
      <w:ind w:left="1984" w:hanging="1984"/>
      <w:jc w:val="both"/>
    </w:pPr>
    <w:rPr>
      <w:rFonts w:ascii="Times New Roman" w:eastAsia="Calibri" w:hAnsi="Times New Roman" w:cs="Times New Roman"/>
      <w:sz w:val="24"/>
      <w:lang w:val="en-GB" w:eastAsia="en-GB"/>
    </w:rPr>
  </w:style>
  <w:style w:type="paragraph" w:customStyle="1" w:styleId="PointTriple1">
    <w:name w:val="PointTriple 1"/>
    <w:basedOn w:val="Normal"/>
    <w:rsid w:val="004C7DC8"/>
    <w:pPr>
      <w:tabs>
        <w:tab w:val="left" w:pos="1417"/>
        <w:tab w:val="left" w:pos="1984"/>
      </w:tabs>
      <w:spacing w:before="120" w:after="120" w:line="240" w:lineRule="auto"/>
      <w:ind w:left="2551" w:hanging="1701"/>
      <w:jc w:val="both"/>
    </w:pPr>
    <w:rPr>
      <w:rFonts w:ascii="Times New Roman" w:eastAsia="Calibri" w:hAnsi="Times New Roman" w:cs="Times New Roman"/>
      <w:sz w:val="24"/>
      <w:lang w:val="en-GB" w:eastAsia="en-GB"/>
    </w:rPr>
  </w:style>
  <w:style w:type="paragraph" w:customStyle="1" w:styleId="PointTriple2">
    <w:name w:val="PointTriple 2"/>
    <w:basedOn w:val="Normal"/>
    <w:rsid w:val="004C7DC8"/>
    <w:pPr>
      <w:tabs>
        <w:tab w:val="left" w:pos="1984"/>
        <w:tab w:val="left" w:pos="2551"/>
      </w:tabs>
      <w:spacing w:before="120" w:after="120" w:line="240" w:lineRule="auto"/>
      <w:ind w:left="3118" w:hanging="1701"/>
      <w:jc w:val="both"/>
    </w:pPr>
    <w:rPr>
      <w:rFonts w:ascii="Times New Roman" w:eastAsia="Calibri" w:hAnsi="Times New Roman" w:cs="Times New Roman"/>
      <w:sz w:val="24"/>
      <w:lang w:val="en-GB" w:eastAsia="en-GB"/>
    </w:rPr>
  </w:style>
  <w:style w:type="paragraph" w:customStyle="1" w:styleId="PointTriple3">
    <w:name w:val="PointTriple 3"/>
    <w:basedOn w:val="Normal"/>
    <w:rsid w:val="004C7DC8"/>
    <w:pPr>
      <w:tabs>
        <w:tab w:val="left" w:pos="2551"/>
        <w:tab w:val="left" w:pos="3118"/>
      </w:tabs>
      <w:spacing w:before="120" w:after="120" w:line="240" w:lineRule="auto"/>
      <w:ind w:left="3685" w:hanging="1701"/>
      <w:jc w:val="both"/>
    </w:pPr>
    <w:rPr>
      <w:rFonts w:ascii="Times New Roman" w:eastAsia="Calibri" w:hAnsi="Times New Roman" w:cs="Times New Roman"/>
      <w:sz w:val="24"/>
      <w:lang w:val="en-GB" w:eastAsia="en-GB"/>
    </w:rPr>
  </w:style>
  <w:style w:type="paragraph" w:customStyle="1" w:styleId="PointTriple4">
    <w:name w:val="PointTriple 4"/>
    <w:basedOn w:val="Normal"/>
    <w:rsid w:val="004C7DC8"/>
    <w:pPr>
      <w:tabs>
        <w:tab w:val="left" w:pos="3118"/>
        <w:tab w:val="left" w:pos="3685"/>
      </w:tabs>
      <w:spacing w:before="120" w:after="120" w:line="240" w:lineRule="auto"/>
      <w:ind w:left="4252" w:hanging="1701"/>
      <w:jc w:val="both"/>
    </w:pPr>
    <w:rPr>
      <w:rFonts w:ascii="Times New Roman" w:eastAsia="Calibri" w:hAnsi="Times New Roman" w:cs="Times New Roman"/>
      <w:sz w:val="24"/>
      <w:lang w:val="en-GB" w:eastAsia="en-GB"/>
    </w:rPr>
  </w:style>
  <w:style w:type="paragraph" w:customStyle="1" w:styleId="NumPar2">
    <w:name w:val="NumPar 2"/>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3">
    <w:name w:val="NumPar 3"/>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NumPar4">
    <w:name w:val="NumPar 4"/>
    <w:basedOn w:val="Normal"/>
    <w:next w:val="Text1"/>
    <w:rsid w:val="004C7DC8"/>
    <w:pPr>
      <w:tabs>
        <w:tab w:val="num" w:pos="850"/>
      </w:tabs>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2">
    <w:name w:val="Manual NumPar 2"/>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3">
    <w:name w:val="Manual NumPar 3"/>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ManualNumPar4">
    <w:name w:val="Manual NumPar 4"/>
    <w:basedOn w:val="Normal"/>
    <w:next w:val="Text1"/>
    <w:rsid w:val="004C7DC8"/>
    <w:pPr>
      <w:spacing w:before="120" w:after="120" w:line="240" w:lineRule="auto"/>
      <w:ind w:left="850" w:hanging="850"/>
      <w:jc w:val="both"/>
    </w:pPr>
    <w:rPr>
      <w:rFonts w:ascii="Times New Roman" w:eastAsia="Calibri" w:hAnsi="Times New Roman" w:cs="Times New Roman"/>
      <w:sz w:val="24"/>
      <w:lang w:val="en-GB" w:eastAsia="en-GB"/>
    </w:rPr>
  </w:style>
  <w:style w:type="paragraph" w:customStyle="1" w:styleId="QuotedNumPar">
    <w:name w:val="Quoted NumPar"/>
    <w:basedOn w:val="Normal"/>
    <w:rsid w:val="004C7DC8"/>
    <w:pPr>
      <w:spacing w:before="120" w:after="120" w:line="240" w:lineRule="auto"/>
      <w:ind w:left="1417" w:hanging="567"/>
      <w:jc w:val="both"/>
    </w:pPr>
    <w:rPr>
      <w:rFonts w:ascii="Times New Roman" w:eastAsia="Calibri" w:hAnsi="Times New Roman" w:cs="Times New Roman"/>
      <w:sz w:val="24"/>
      <w:lang w:val="en-GB" w:eastAsia="en-GB"/>
    </w:rPr>
  </w:style>
  <w:style w:type="paragraph" w:customStyle="1" w:styleId="ManualHeading1">
    <w:name w:val="Manual Heading 1"/>
    <w:basedOn w:val="Normal"/>
    <w:next w:val="Text1"/>
    <w:rsid w:val="004C7DC8"/>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en-GB" w:eastAsia="en-GB"/>
    </w:rPr>
  </w:style>
  <w:style w:type="paragraph" w:customStyle="1" w:styleId="ManualHeading2">
    <w:name w:val="Manual Heading 2"/>
    <w:basedOn w:val="Normal"/>
    <w:next w:val="Text1"/>
    <w:rsid w:val="004C7DC8"/>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en-GB" w:eastAsia="en-GB"/>
    </w:rPr>
  </w:style>
  <w:style w:type="paragraph" w:customStyle="1" w:styleId="ManualHeading3">
    <w:name w:val="Manual Heading 3"/>
    <w:basedOn w:val="Normal"/>
    <w:next w:val="Text1"/>
    <w:rsid w:val="004C7DC8"/>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ManualHeading4">
    <w:name w:val="Manual Heading 4"/>
    <w:basedOn w:val="Normal"/>
    <w:next w:val="Text1"/>
    <w:rsid w:val="004C7DC8"/>
    <w:pPr>
      <w:keepNext/>
      <w:tabs>
        <w:tab w:val="left" w:pos="850"/>
      </w:tabs>
      <w:spacing w:before="120" w:after="120" w:line="240" w:lineRule="auto"/>
      <w:ind w:left="850" w:hanging="850"/>
      <w:jc w:val="both"/>
      <w:outlineLvl w:val="3"/>
    </w:pPr>
    <w:rPr>
      <w:rFonts w:ascii="Times New Roman" w:eastAsia="Calibri" w:hAnsi="Times New Roman" w:cs="Times New Roman"/>
      <w:sz w:val="24"/>
      <w:lang w:val="en-GB" w:eastAsia="en-GB"/>
    </w:rPr>
  </w:style>
  <w:style w:type="paragraph" w:customStyle="1" w:styleId="PartTitle">
    <w:name w:val="PartTitle"/>
    <w:basedOn w:val="Normal"/>
    <w:next w:val="ChapterTitle"/>
    <w:rsid w:val="004C7DC8"/>
    <w:pPr>
      <w:keepNext/>
      <w:pageBreakBefore/>
      <w:spacing w:before="120" w:after="360" w:line="240" w:lineRule="auto"/>
      <w:jc w:val="center"/>
    </w:pPr>
    <w:rPr>
      <w:rFonts w:ascii="Times New Roman" w:eastAsia="Calibri" w:hAnsi="Times New Roman" w:cs="Times New Roman"/>
      <w:b/>
      <w:sz w:val="36"/>
      <w:lang w:val="en-GB" w:eastAsia="en-GB"/>
    </w:rPr>
  </w:style>
  <w:style w:type="paragraph" w:customStyle="1" w:styleId="TableTitle">
    <w:name w:val="Table Title"/>
    <w:basedOn w:val="Normal"/>
    <w:next w:val="Normal"/>
    <w:rsid w:val="004C7DC8"/>
    <w:pPr>
      <w:spacing w:before="120" w:after="120" w:line="240" w:lineRule="auto"/>
      <w:jc w:val="center"/>
    </w:pPr>
    <w:rPr>
      <w:rFonts w:ascii="Times New Roman" w:eastAsia="Calibri" w:hAnsi="Times New Roman" w:cs="Times New Roman"/>
      <w:b/>
      <w:sz w:val="24"/>
      <w:lang w:val="en-GB" w:eastAsia="en-GB"/>
    </w:rPr>
  </w:style>
  <w:style w:type="paragraph" w:customStyle="1" w:styleId="Bullet0">
    <w:name w:val="Bullet 0"/>
    <w:basedOn w:val="Normal"/>
    <w:rsid w:val="004C7DC8"/>
    <w:pPr>
      <w:numPr>
        <w:numId w:val="56"/>
      </w:numPr>
      <w:spacing w:before="120" w:after="120" w:line="240" w:lineRule="auto"/>
      <w:jc w:val="both"/>
    </w:pPr>
    <w:rPr>
      <w:rFonts w:ascii="Times New Roman" w:eastAsia="Calibri" w:hAnsi="Times New Roman" w:cs="Times New Roman"/>
      <w:sz w:val="24"/>
      <w:lang w:val="en-GB" w:eastAsia="en-GB"/>
    </w:rPr>
  </w:style>
  <w:style w:type="paragraph" w:customStyle="1" w:styleId="Annexetitreexpos">
    <w:name w:val="Annexe titre (exposé)"/>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Annexetitrefichefinancire">
    <w:name w:val="Annexe titre (fiche financiè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ait">
    <w:name w:val="Fait à"/>
    <w:basedOn w:val="Normal"/>
    <w:next w:val="Institutionquisigne"/>
    <w:rsid w:val="004C7DC8"/>
    <w:pPr>
      <w:keepNext/>
      <w:spacing w:before="120" w:after="0" w:line="240" w:lineRule="auto"/>
      <w:jc w:val="both"/>
    </w:pPr>
    <w:rPr>
      <w:rFonts w:ascii="Times New Roman" w:eastAsia="Calibri" w:hAnsi="Times New Roman" w:cs="Times New Roman"/>
      <w:sz w:val="24"/>
      <w:lang w:val="en-GB" w:eastAsia="en-GB"/>
    </w:rPr>
  </w:style>
  <w:style w:type="paragraph" w:customStyle="1" w:styleId="Institutionquisigne">
    <w:name w:val="Institution qui signe"/>
    <w:basedOn w:val="Normal"/>
    <w:next w:val="Personnequisigne"/>
    <w:rsid w:val="004C7DC8"/>
    <w:pPr>
      <w:keepNext/>
      <w:tabs>
        <w:tab w:val="left" w:pos="4252"/>
      </w:tabs>
      <w:spacing w:before="720" w:after="0" w:line="240" w:lineRule="auto"/>
      <w:jc w:val="both"/>
    </w:pPr>
    <w:rPr>
      <w:rFonts w:ascii="Times New Roman" w:eastAsia="Calibri" w:hAnsi="Times New Roman" w:cs="Times New Roman"/>
      <w:i/>
      <w:sz w:val="24"/>
      <w:lang w:val="en-GB" w:eastAsia="en-GB"/>
    </w:rPr>
  </w:style>
  <w:style w:type="paragraph" w:customStyle="1" w:styleId="Personnequisigne">
    <w:name w:val="Personne qui signe"/>
    <w:basedOn w:val="Normal"/>
    <w:next w:val="Institutionquisigne"/>
    <w:rsid w:val="004C7DC8"/>
    <w:pPr>
      <w:tabs>
        <w:tab w:val="left" w:pos="4252"/>
      </w:tabs>
      <w:spacing w:after="0" w:line="240" w:lineRule="auto"/>
    </w:pPr>
    <w:rPr>
      <w:rFonts w:ascii="Times New Roman" w:eastAsia="Calibri" w:hAnsi="Times New Roman" w:cs="Times New Roman"/>
      <w:i/>
      <w:sz w:val="24"/>
      <w:lang w:val="en-GB" w:eastAsia="en-GB"/>
    </w:rPr>
  </w:style>
  <w:style w:type="paragraph" w:customStyle="1" w:styleId="Applicationdirecte">
    <w:name w:val="Application directe"/>
    <w:basedOn w:val="Normal"/>
    <w:next w:val="Fait"/>
    <w:rsid w:val="004C7DC8"/>
    <w:pPr>
      <w:spacing w:before="480" w:after="120" w:line="240" w:lineRule="auto"/>
      <w:jc w:val="both"/>
    </w:pPr>
    <w:rPr>
      <w:rFonts w:ascii="Times New Roman" w:eastAsia="Calibri" w:hAnsi="Times New Roman" w:cs="Times New Roman"/>
      <w:sz w:val="24"/>
      <w:lang w:val="en-GB" w:eastAsia="en-GB"/>
    </w:rPr>
  </w:style>
  <w:style w:type="paragraph" w:customStyle="1" w:styleId="Avertissementtitre">
    <w:name w:val="Avertissement titre"/>
    <w:basedOn w:val="Normal"/>
    <w:next w:val="Normal"/>
    <w:rsid w:val="004C7DC8"/>
    <w:pPr>
      <w:keepNext/>
      <w:spacing w:before="480" w:after="120" w:line="240" w:lineRule="auto"/>
      <w:jc w:val="both"/>
    </w:pPr>
    <w:rPr>
      <w:rFonts w:ascii="Times New Roman" w:eastAsia="Calibri" w:hAnsi="Times New Roman" w:cs="Times New Roman"/>
      <w:sz w:val="24"/>
      <w:u w:val="single"/>
      <w:lang w:val="en-GB" w:eastAsia="en-GB"/>
    </w:rPr>
  </w:style>
  <w:style w:type="paragraph" w:customStyle="1" w:styleId="Confidence">
    <w:name w:val="Confidence"/>
    <w:basedOn w:val="Normal"/>
    <w:next w:val="Normal"/>
    <w:rsid w:val="004C7DC8"/>
    <w:pPr>
      <w:spacing w:before="360" w:after="120" w:line="240" w:lineRule="auto"/>
      <w:jc w:val="center"/>
    </w:pPr>
    <w:rPr>
      <w:rFonts w:ascii="Times New Roman" w:eastAsia="Calibri" w:hAnsi="Times New Roman" w:cs="Times New Roman"/>
      <w:sz w:val="24"/>
      <w:lang w:val="en-GB" w:eastAsia="en-GB"/>
    </w:rPr>
  </w:style>
  <w:style w:type="paragraph" w:customStyle="1" w:styleId="TypedudocumentPagedecouverture">
    <w:name w:val="Type du document (Page de couverture)"/>
    <w:basedOn w:val="Typedudocument"/>
    <w:next w:val="TitreobjetPagedecouverture"/>
    <w:rsid w:val="004C7DC8"/>
  </w:style>
  <w:style w:type="paragraph" w:customStyle="1" w:styleId="Typedudocument">
    <w:name w:val="Type du document"/>
    <w:basedOn w:val="Normal"/>
    <w:next w:val="Titreobjet"/>
    <w:rsid w:val="004C7DC8"/>
    <w:pPr>
      <w:spacing w:before="360" w:after="180" w:line="240" w:lineRule="auto"/>
      <w:jc w:val="center"/>
    </w:pPr>
    <w:rPr>
      <w:rFonts w:ascii="Times New Roman" w:eastAsia="Calibri" w:hAnsi="Times New Roman" w:cs="Times New Roman"/>
      <w:b/>
      <w:sz w:val="24"/>
      <w:lang w:val="en-GB" w:eastAsia="en-GB"/>
    </w:rPr>
  </w:style>
  <w:style w:type="paragraph" w:customStyle="1" w:styleId="Titreobjet">
    <w:name w:val="Titre objet"/>
    <w:basedOn w:val="Normal"/>
    <w:next w:val="Sous-titreobjet"/>
    <w:rsid w:val="004C7DC8"/>
    <w:pPr>
      <w:spacing w:before="180" w:after="180" w:line="240" w:lineRule="auto"/>
      <w:jc w:val="center"/>
    </w:pPr>
    <w:rPr>
      <w:rFonts w:ascii="Times New Roman" w:eastAsia="Calibri" w:hAnsi="Times New Roman" w:cs="Times New Roman"/>
      <w:b/>
      <w:sz w:val="24"/>
      <w:lang w:val="en-GB" w:eastAsia="en-GB"/>
    </w:rPr>
  </w:style>
  <w:style w:type="paragraph" w:customStyle="1" w:styleId="Sous-titreobjet">
    <w:name w:val="Sous-titre objet"/>
    <w:basedOn w:val="Normal"/>
    <w:rsid w:val="004C7DC8"/>
    <w:pPr>
      <w:spacing w:after="0" w:line="240" w:lineRule="auto"/>
      <w:jc w:val="center"/>
    </w:pPr>
    <w:rPr>
      <w:rFonts w:ascii="Times New Roman" w:eastAsia="Calibri" w:hAnsi="Times New Roman" w:cs="Times New Roman"/>
      <w:b/>
      <w:sz w:val="24"/>
      <w:lang w:val="en-GB" w:eastAsia="en-GB"/>
    </w:rPr>
  </w:style>
  <w:style w:type="paragraph" w:customStyle="1" w:styleId="TitreobjetPagedecouverture">
    <w:name w:val="Titre objet (Page de couverture)"/>
    <w:basedOn w:val="Titreobjet"/>
    <w:next w:val="Sous-titreobjetPagedecouverture"/>
    <w:rsid w:val="004C7DC8"/>
  </w:style>
  <w:style w:type="paragraph" w:customStyle="1" w:styleId="Sous-titreobjetPagedecouverture">
    <w:name w:val="Sous-titre objet (Page de couverture)"/>
    <w:basedOn w:val="Sous-titreobjet"/>
    <w:rsid w:val="004C7DC8"/>
  </w:style>
  <w:style w:type="paragraph" w:customStyle="1" w:styleId="Confidentialit">
    <w:name w:val="Confidentialité"/>
    <w:basedOn w:val="Normal"/>
    <w:next w:val="TypedudocumentPagedecouverture"/>
    <w:rsid w:val="004C7DC8"/>
    <w:pPr>
      <w:spacing w:before="240" w:after="240" w:line="240" w:lineRule="auto"/>
      <w:ind w:left="5103"/>
    </w:pPr>
    <w:rPr>
      <w:rFonts w:ascii="Times New Roman" w:eastAsia="Calibri" w:hAnsi="Times New Roman" w:cs="Times New Roman"/>
      <w:i/>
      <w:sz w:val="32"/>
      <w:lang w:val="en-GB" w:eastAsia="en-GB"/>
    </w:rPr>
  </w:style>
  <w:style w:type="paragraph" w:customStyle="1" w:styleId="Considrant">
    <w:name w:val="Considérant"/>
    <w:basedOn w:val="Normal"/>
    <w:rsid w:val="004C7DC8"/>
    <w:pPr>
      <w:numPr>
        <w:numId w:val="57"/>
      </w:numPr>
      <w:spacing w:before="120" w:after="120" w:line="240" w:lineRule="auto"/>
      <w:jc w:val="both"/>
    </w:pPr>
    <w:rPr>
      <w:rFonts w:ascii="Times New Roman" w:eastAsia="Calibri" w:hAnsi="Times New Roman" w:cs="Times New Roman"/>
      <w:sz w:val="24"/>
      <w:lang w:val="en-GB" w:eastAsia="en-GB"/>
    </w:rPr>
  </w:style>
  <w:style w:type="paragraph" w:customStyle="1" w:styleId="Corrigendum">
    <w:name w:val="Corrigendum"/>
    <w:basedOn w:val="Normal"/>
    <w:next w:val="Normal"/>
    <w:rsid w:val="004C7DC8"/>
    <w:pPr>
      <w:spacing w:after="240" w:line="240" w:lineRule="auto"/>
    </w:pPr>
    <w:rPr>
      <w:rFonts w:ascii="Times New Roman" w:eastAsia="Calibri" w:hAnsi="Times New Roman" w:cs="Times New Roman"/>
      <w:sz w:val="24"/>
      <w:lang w:val="en-GB" w:eastAsia="en-GB"/>
    </w:rPr>
  </w:style>
  <w:style w:type="paragraph" w:customStyle="1" w:styleId="Datedadoption">
    <w:name w:val="Date d'adoption"/>
    <w:basedOn w:val="Normal"/>
    <w:next w:val="Titreobjet"/>
    <w:rsid w:val="004C7DC8"/>
    <w:pPr>
      <w:spacing w:before="360" w:after="0" w:line="240" w:lineRule="auto"/>
      <w:jc w:val="center"/>
    </w:pPr>
    <w:rPr>
      <w:rFonts w:ascii="Times New Roman" w:eastAsia="Calibri" w:hAnsi="Times New Roman" w:cs="Times New Roman"/>
      <w:b/>
      <w:sz w:val="24"/>
      <w:lang w:val="en-GB" w:eastAsia="en-GB"/>
    </w:rPr>
  </w:style>
  <w:style w:type="paragraph" w:customStyle="1" w:styleId="Rfrenceinstitutionnelle">
    <w:name w:val="Référence institutionnell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Emission">
    <w:name w:val="Emission"/>
    <w:basedOn w:val="Normal"/>
    <w:next w:val="Rfrence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Exposdesmotifstitre">
    <w:name w:val="Exposé des motifs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Formuledadoption">
    <w:name w:val="Formule d'adoption"/>
    <w:basedOn w:val="Normal"/>
    <w:next w:val="Titrearticle"/>
    <w:rsid w:val="004C7DC8"/>
    <w:pPr>
      <w:keepNext/>
      <w:spacing w:before="120" w:after="120" w:line="240" w:lineRule="auto"/>
      <w:jc w:val="both"/>
    </w:pPr>
    <w:rPr>
      <w:rFonts w:ascii="Times New Roman" w:eastAsia="Calibri" w:hAnsi="Times New Roman" w:cs="Times New Roman"/>
      <w:sz w:val="24"/>
      <w:lang w:val="en-GB" w:eastAsia="en-GB"/>
    </w:rPr>
  </w:style>
  <w:style w:type="paragraph" w:customStyle="1" w:styleId="Institutionquiagit">
    <w:name w:val="Institution qui agit"/>
    <w:basedOn w:val="Normal"/>
    <w:next w:val="Normal"/>
    <w:rsid w:val="004C7DC8"/>
    <w:pPr>
      <w:keepNext/>
      <w:spacing w:before="600" w:after="120" w:line="240" w:lineRule="auto"/>
      <w:jc w:val="both"/>
    </w:pPr>
    <w:rPr>
      <w:rFonts w:ascii="Times New Roman" w:eastAsia="Calibri" w:hAnsi="Times New Roman" w:cs="Times New Roman"/>
      <w:sz w:val="24"/>
      <w:lang w:val="en-GB" w:eastAsia="en-GB"/>
    </w:rPr>
  </w:style>
  <w:style w:type="paragraph" w:customStyle="1" w:styleId="Rfrenceinterne">
    <w:name w:val="Référence interne"/>
    <w:basedOn w:val="Normal"/>
    <w:next w:val="Rfrenceinterinstitutionnelle"/>
    <w:rsid w:val="004C7DC8"/>
    <w:pPr>
      <w:spacing w:after="0" w:line="240" w:lineRule="auto"/>
      <w:ind w:left="5103"/>
    </w:pPr>
    <w:rPr>
      <w:rFonts w:ascii="Times New Roman" w:eastAsia="Calibri" w:hAnsi="Times New Roman" w:cs="Times New Roman"/>
      <w:sz w:val="24"/>
      <w:lang w:val="en-GB" w:eastAsia="en-GB"/>
    </w:rPr>
  </w:style>
  <w:style w:type="paragraph" w:customStyle="1" w:styleId="Rfrenceinterinstitutionnelle">
    <w:name w:val="Référence interinstitutionnelle"/>
    <w:basedOn w:val="Normal"/>
    <w:next w:val="Statut"/>
    <w:rsid w:val="004C7DC8"/>
    <w:pPr>
      <w:spacing w:after="0" w:line="240" w:lineRule="auto"/>
      <w:ind w:left="5103"/>
    </w:pPr>
    <w:rPr>
      <w:rFonts w:ascii="Times New Roman" w:eastAsia="Calibri" w:hAnsi="Times New Roman" w:cs="Times New Roman"/>
      <w:sz w:val="24"/>
      <w:lang w:val="en-GB" w:eastAsia="en-GB"/>
    </w:rPr>
  </w:style>
  <w:style w:type="paragraph" w:customStyle="1" w:styleId="Statut">
    <w:name w:val="Statut"/>
    <w:basedOn w:val="Normal"/>
    <w:next w:val="Typedudocument"/>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Langue">
    <w:name w:val="Langue"/>
    <w:basedOn w:val="Normal"/>
    <w:next w:val="Rfrenceinterne"/>
    <w:rsid w:val="004C7DC8"/>
    <w:pPr>
      <w:framePr w:wrap="around" w:vAnchor="page" w:hAnchor="text" w:xAlign="center" w:y="14741"/>
      <w:spacing w:after="600" w:line="240" w:lineRule="auto"/>
      <w:jc w:val="center"/>
    </w:pPr>
    <w:rPr>
      <w:rFonts w:ascii="Times New Roman" w:eastAsia="Calibri" w:hAnsi="Times New Roman" w:cs="Times New Roman"/>
      <w:b/>
      <w:caps/>
      <w:sz w:val="24"/>
      <w:lang w:val="en-GB" w:eastAsia="en-GB"/>
    </w:rPr>
  </w:style>
  <w:style w:type="paragraph" w:customStyle="1" w:styleId="Nomdelinstitution">
    <w:name w:val="Nom de l'institution"/>
    <w:basedOn w:val="Normal"/>
    <w:next w:val="Emission"/>
    <w:rsid w:val="004C7DC8"/>
    <w:pPr>
      <w:spacing w:after="0" w:line="240" w:lineRule="auto"/>
    </w:pPr>
    <w:rPr>
      <w:rFonts w:ascii="Arial" w:eastAsia="Calibri" w:hAnsi="Arial" w:cs="Arial"/>
      <w:sz w:val="24"/>
      <w:lang w:val="en-GB" w:eastAsia="en-GB"/>
    </w:rPr>
  </w:style>
  <w:style w:type="paragraph" w:customStyle="1" w:styleId="Address">
    <w:name w:val="Address"/>
    <w:basedOn w:val="Normal"/>
    <w:next w:val="Normal"/>
    <w:rsid w:val="004C7DC8"/>
    <w:pPr>
      <w:keepLines/>
      <w:spacing w:before="120" w:after="120" w:line="360" w:lineRule="auto"/>
      <w:ind w:left="3402"/>
    </w:pPr>
    <w:rPr>
      <w:rFonts w:ascii="Times New Roman" w:eastAsia="Calibri" w:hAnsi="Times New Roman" w:cs="Times New Roman"/>
      <w:sz w:val="24"/>
      <w:lang w:val="en-GB" w:eastAsia="en-GB"/>
    </w:rPr>
  </w:style>
  <w:style w:type="paragraph" w:customStyle="1" w:styleId="Objetexterne">
    <w:name w:val="Objet externe"/>
    <w:basedOn w:val="Normal"/>
    <w:next w:val="Normal"/>
    <w:rsid w:val="004C7DC8"/>
    <w:pPr>
      <w:spacing w:before="120" w:after="120" w:line="240" w:lineRule="auto"/>
      <w:jc w:val="both"/>
    </w:pPr>
    <w:rPr>
      <w:rFonts w:ascii="Times New Roman" w:eastAsia="Calibri" w:hAnsi="Times New Roman" w:cs="Times New Roman"/>
      <w:i/>
      <w:caps/>
      <w:sz w:val="24"/>
      <w:lang w:val="en-GB" w:eastAsia="en-GB"/>
    </w:rPr>
  </w:style>
  <w:style w:type="paragraph" w:customStyle="1" w:styleId="Supertitre">
    <w:name w:val="Supertitre"/>
    <w:basedOn w:val="Normal"/>
    <w:next w:val="Normal"/>
    <w:rsid w:val="004C7DC8"/>
    <w:pPr>
      <w:spacing w:after="600" w:line="240" w:lineRule="auto"/>
      <w:jc w:val="center"/>
    </w:pPr>
    <w:rPr>
      <w:rFonts w:ascii="Times New Roman" w:eastAsia="Calibri" w:hAnsi="Times New Roman" w:cs="Times New Roman"/>
      <w:b/>
      <w:sz w:val="24"/>
      <w:lang w:val="en-GB" w:eastAsia="en-GB"/>
    </w:rPr>
  </w:style>
  <w:style w:type="paragraph" w:customStyle="1" w:styleId="Languesfaisantfoi">
    <w:name w:val="Langues faisant foi"/>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Rfrencecroise">
    <w:name w:val="Référence croisée"/>
    <w:basedOn w:val="Normal"/>
    <w:rsid w:val="004C7DC8"/>
    <w:pPr>
      <w:spacing w:after="0" w:line="240" w:lineRule="auto"/>
      <w:jc w:val="center"/>
    </w:pPr>
    <w:rPr>
      <w:rFonts w:ascii="Times New Roman" w:eastAsia="Calibri" w:hAnsi="Times New Roman" w:cs="Times New Roman"/>
      <w:sz w:val="24"/>
      <w:lang w:val="en-GB" w:eastAsia="en-GB"/>
    </w:rPr>
  </w:style>
  <w:style w:type="paragraph" w:customStyle="1" w:styleId="Fichefinanciretitre">
    <w:name w:val="Fiche financière titre"/>
    <w:basedOn w:val="Normal"/>
    <w:next w:val="Normal"/>
    <w:rsid w:val="004C7DC8"/>
    <w:pPr>
      <w:spacing w:before="120" w:after="120" w:line="240" w:lineRule="auto"/>
      <w:jc w:val="center"/>
    </w:pPr>
    <w:rPr>
      <w:rFonts w:ascii="Times New Roman" w:eastAsia="Calibri" w:hAnsi="Times New Roman" w:cs="Times New Roman"/>
      <w:b/>
      <w:sz w:val="24"/>
      <w:u w:val="single"/>
      <w:lang w:val="en-GB" w:eastAsia="en-GB"/>
    </w:rPr>
  </w:style>
  <w:style w:type="paragraph" w:customStyle="1" w:styleId="DatedadoptionPagedecouverture">
    <w:name w:val="Date d'adoption (Page de couverture)"/>
    <w:basedOn w:val="Datedadoption"/>
    <w:next w:val="TitreobjetPagedecouverture"/>
    <w:rsid w:val="004C7DC8"/>
  </w:style>
  <w:style w:type="paragraph" w:customStyle="1" w:styleId="RfrenceinterinstitutionnellePagedecouverture">
    <w:name w:val="Référence interinstitutionnelle (Page de couverture)"/>
    <w:basedOn w:val="Rfrenceinterinstitutionnelle"/>
    <w:next w:val="Confidentialit"/>
    <w:rsid w:val="004C7DC8"/>
  </w:style>
  <w:style w:type="paragraph" w:customStyle="1" w:styleId="StatutPagedecouverture">
    <w:name w:val="Statut (Page de couverture)"/>
    <w:basedOn w:val="Statut"/>
    <w:next w:val="TypedudocumentPagedecouverture"/>
    <w:rsid w:val="004C7DC8"/>
  </w:style>
  <w:style w:type="paragraph" w:customStyle="1" w:styleId="Volume">
    <w:name w:val="Volume"/>
    <w:basedOn w:val="Normal"/>
    <w:next w:val="Confidentialit"/>
    <w:rsid w:val="004C7DC8"/>
    <w:pPr>
      <w:spacing w:after="240" w:line="240" w:lineRule="auto"/>
      <w:ind w:left="5103"/>
    </w:pPr>
    <w:rPr>
      <w:rFonts w:ascii="Times New Roman" w:eastAsia="Calibri" w:hAnsi="Times New Roman" w:cs="Times New Roman"/>
      <w:sz w:val="24"/>
      <w:lang w:val="en-GB" w:eastAsia="en-GB"/>
    </w:rPr>
  </w:style>
  <w:style w:type="paragraph" w:customStyle="1" w:styleId="IntrtEEE">
    <w:name w:val="Intérêt EEE"/>
    <w:basedOn w:val="Languesfaisantfoi"/>
    <w:next w:val="Normal"/>
    <w:rsid w:val="004C7DC8"/>
    <w:pPr>
      <w:spacing w:after="240"/>
    </w:pPr>
  </w:style>
  <w:style w:type="paragraph" w:customStyle="1" w:styleId="Typeacteprincipal">
    <w:name w:val="Type acte principal"/>
    <w:basedOn w:val="Normal"/>
    <w:next w:val="Objetacteprincipal"/>
    <w:rsid w:val="004C7DC8"/>
    <w:pPr>
      <w:spacing w:after="240" w:line="240" w:lineRule="auto"/>
      <w:jc w:val="center"/>
    </w:pPr>
    <w:rPr>
      <w:rFonts w:ascii="Times New Roman" w:eastAsia="Calibri" w:hAnsi="Times New Roman" w:cs="Times New Roman"/>
      <w:b/>
      <w:sz w:val="24"/>
      <w:lang w:val="en-GB" w:eastAsia="en-GB"/>
    </w:rPr>
  </w:style>
  <w:style w:type="paragraph" w:customStyle="1" w:styleId="Objetacteprincipal">
    <w:name w:val="Objet acte principal"/>
    <w:basedOn w:val="Normal"/>
    <w:next w:val="Titrearticle"/>
    <w:rsid w:val="004C7DC8"/>
    <w:pPr>
      <w:spacing w:after="360" w:line="240" w:lineRule="auto"/>
      <w:jc w:val="center"/>
    </w:pPr>
    <w:rPr>
      <w:rFonts w:ascii="Times New Roman" w:eastAsia="Calibri" w:hAnsi="Times New Roman" w:cs="Times New Roman"/>
      <w:b/>
      <w:sz w:val="24"/>
      <w:lang w:val="en-GB" w:eastAsia="en-GB"/>
    </w:rPr>
  </w:style>
  <w:style w:type="paragraph" w:customStyle="1" w:styleId="Accompagnant">
    <w:name w:val="Accompagnant"/>
    <w:basedOn w:val="Normal"/>
    <w:next w:val="Typeacteprincipal"/>
    <w:rsid w:val="004C7DC8"/>
    <w:pPr>
      <w:spacing w:before="180" w:after="240" w:line="240" w:lineRule="auto"/>
      <w:jc w:val="center"/>
    </w:pPr>
    <w:rPr>
      <w:rFonts w:ascii="Times New Roman" w:eastAsia="Calibri" w:hAnsi="Times New Roman" w:cs="Times New Roman"/>
      <w:b/>
      <w:sz w:val="24"/>
      <w:lang w:val="en-GB" w:eastAsia="en-GB"/>
    </w:rPr>
  </w:style>
  <w:style w:type="paragraph" w:customStyle="1" w:styleId="IntrtEEEPagedecouverture">
    <w:name w:val="Intérêt EEE (Page de couverture)"/>
    <w:basedOn w:val="IntrtEEE"/>
    <w:next w:val="Rfrencecroise"/>
    <w:rsid w:val="004C7DC8"/>
  </w:style>
  <w:style w:type="paragraph" w:customStyle="1" w:styleId="TypeacteprincipalPagedecouverture">
    <w:name w:val="Type acte principal (Page de couverture)"/>
    <w:basedOn w:val="Typeacteprincipal"/>
    <w:next w:val="ObjetacteprincipalPagedecouverture"/>
    <w:rsid w:val="004C7DC8"/>
  </w:style>
  <w:style w:type="paragraph" w:customStyle="1" w:styleId="ObjetacteprincipalPagedecouverture">
    <w:name w:val="Objet acte principal (Page de couverture)"/>
    <w:basedOn w:val="Objetacteprincipal"/>
    <w:next w:val="Rfrencecroise"/>
    <w:rsid w:val="004C7DC8"/>
  </w:style>
  <w:style w:type="paragraph" w:customStyle="1" w:styleId="AccompagnantPagedecouverture">
    <w:name w:val="Accompagnant (Page de couverture)"/>
    <w:basedOn w:val="Accompagnant"/>
    <w:next w:val="TypeacteprincipalPagedecouverture"/>
    <w:rsid w:val="004C7DC8"/>
  </w:style>
  <w:style w:type="paragraph" w:customStyle="1" w:styleId="LanguesfaisantfoiPagedecouverture">
    <w:name w:val="Langues faisant foi (Page de couverture)"/>
    <w:basedOn w:val="Normal"/>
    <w:next w:val="Normal"/>
    <w:rsid w:val="004C7DC8"/>
    <w:pPr>
      <w:spacing w:before="360" w:after="0" w:line="240" w:lineRule="auto"/>
      <w:jc w:val="center"/>
    </w:pPr>
    <w:rPr>
      <w:rFonts w:ascii="Times New Roman" w:eastAsia="Calibri" w:hAnsi="Times New Roman" w:cs="Times New Roman"/>
      <w:sz w:val="24"/>
      <w:lang w:val="en-GB" w:eastAsia="en-GB"/>
    </w:rPr>
  </w:style>
  <w:style w:type="paragraph" w:customStyle="1" w:styleId="Declassification">
    <w:name w:val="Declassification"/>
    <w:basedOn w:val="Normal"/>
    <w:next w:val="Normal"/>
    <w:rsid w:val="004C7DC8"/>
    <w:pPr>
      <w:spacing w:after="0" w:line="240" w:lineRule="auto"/>
      <w:jc w:val="both"/>
    </w:pPr>
    <w:rPr>
      <w:rFonts w:ascii="Times New Roman" w:hAnsi="Times New Roman" w:cs="Times New Roman"/>
      <w:sz w:val="24"/>
      <w:lang w:val="en-GB"/>
    </w:rPr>
  </w:style>
  <w:style w:type="paragraph" w:customStyle="1" w:styleId="ZDGName">
    <w:name w:val="Z_DGName"/>
    <w:basedOn w:val="Normal"/>
    <w:rsid w:val="004C7D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ZCom">
    <w:name w:val="Z_Com"/>
    <w:basedOn w:val="Normal"/>
    <w:next w:val="ZDGName"/>
    <w:uiPriority w:val="99"/>
    <w:rsid w:val="004C7D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EntText">
    <w:name w:val="EntText"/>
    <w:basedOn w:val="Normal"/>
    <w:rsid w:val="004C7DC8"/>
    <w:pPr>
      <w:spacing w:before="120" w:after="120" w:line="360" w:lineRule="auto"/>
    </w:pPr>
    <w:rPr>
      <w:rFonts w:ascii="Times New Roman" w:hAnsi="Times New Roman" w:cs="Times New Roman"/>
      <w:sz w:val="24"/>
      <w:lang w:val="en-GB"/>
    </w:rPr>
  </w:style>
  <w:style w:type="paragraph" w:customStyle="1" w:styleId="Lignefinal">
    <w:name w:val="Ligne final"/>
    <w:basedOn w:val="Normal"/>
    <w:next w:val="Normal"/>
    <w:rsid w:val="004C7DC8"/>
    <w:pPr>
      <w:pBdr>
        <w:bottom w:val="single" w:sz="4" w:space="0" w:color="000000"/>
      </w:pBdr>
      <w:spacing w:before="360" w:after="120" w:line="360" w:lineRule="auto"/>
      <w:ind w:left="3400" w:right="3400"/>
      <w:jc w:val="center"/>
    </w:pPr>
    <w:rPr>
      <w:rFonts w:ascii="Times New Roman" w:hAnsi="Times New Roman" w:cs="Times New Roman"/>
      <w:b/>
      <w:sz w:val="24"/>
      <w:lang w:val="en-GB"/>
    </w:rPr>
  </w:style>
  <w:style w:type="character" w:customStyle="1" w:styleId="pjChar">
    <w:name w:val="p.j. Char"/>
    <w:basedOn w:val="TechnicalBlockChar"/>
    <w:link w:val="pj"/>
    <w:locked/>
    <w:rsid w:val="004C7DC8"/>
    <w:rPr>
      <w:rFonts w:ascii="Times New Roman" w:eastAsia="Calibri" w:hAnsi="Times New Roman" w:cs="Times New Roman"/>
      <w:sz w:val="24"/>
      <w:szCs w:val="20"/>
      <w:lang w:val="en-GB" w:eastAsia="en-GB"/>
    </w:rPr>
  </w:style>
  <w:style w:type="paragraph" w:customStyle="1" w:styleId="pj">
    <w:name w:val="p.j."/>
    <w:basedOn w:val="Normal"/>
    <w:link w:val="pjChar"/>
    <w:rsid w:val="004C7DC8"/>
    <w:pPr>
      <w:spacing w:before="1200" w:after="120" w:line="240" w:lineRule="auto"/>
      <w:ind w:left="1440" w:hanging="1440"/>
    </w:pPr>
    <w:rPr>
      <w:rFonts w:ascii="Times New Roman" w:eastAsia="Calibri" w:hAnsi="Times New Roman" w:cs="Times New Roman"/>
      <w:sz w:val="24"/>
      <w:szCs w:val="20"/>
      <w:lang w:val="en-GB" w:eastAsia="en-GB"/>
    </w:rPr>
  </w:style>
  <w:style w:type="character" w:customStyle="1" w:styleId="nbborderedChar">
    <w:name w:val="nb bordered Char"/>
    <w:basedOn w:val="TechnicalBlockChar"/>
    <w:link w:val="nbbordered"/>
    <w:locked/>
    <w:rsid w:val="004C7DC8"/>
    <w:rPr>
      <w:rFonts w:ascii="Times New Roman" w:eastAsia="Calibri" w:hAnsi="Times New Roman" w:cs="Times New Roman"/>
      <w:b/>
      <w:sz w:val="24"/>
      <w:szCs w:val="20"/>
      <w:lang w:val="en-GB" w:eastAsia="en-GB"/>
    </w:rPr>
  </w:style>
  <w:style w:type="paragraph" w:customStyle="1" w:styleId="nbbordered">
    <w:name w:val="nb bordered"/>
    <w:basedOn w:val="Normal"/>
    <w:link w:val="nbborderedChar"/>
    <w:rsid w:val="004C7DC8"/>
    <w:pPr>
      <w:pBdr>
        <w:top w:val="single" w:sz="4" w:space="1" w:color="auto"/>
        <w:left w:val="single" w:sz="4" w:space="4" w:color="auto"/>
        <w:bottom w:val="single" w:sz="4" w:space="1" w:color="auto"/>
        <w:right w:val="single" w:sz="4" w:space="4" w:color="auto"/>
      </w:pBdr>
      <w:spacing w:before="120" w:after="160" w:line="240" w:lineRule="auto"/>
      <w:ind w:left="480" w:hanging="480"/>
      <w:jc w:val="both"/>
    </w:pPr>
    <w:rPr>
      <w:rFonts w:ascii="Times New Roman" w:eastAsia="Calibri" w:hAnsi="Times New Roman" w:cs="Times New Roman"/>
      <w:b/>
      <w:sz w:val="24"/>
      <w:szCs w:val="20"/>
      <w:lang w:val="en-GB" w:eastAsia="en-GB"/>
    </w:rPr>
  </w:style>
  <w:style w:type="paragraph" w:customStyle="1" w:styleId="default0">
    <w:name w:val="default"/>
    <w:basedOn w:val="Normal"/>
    <w:uiPriority w:val="99"/>
    <w:rsid w:val="004C7DC8"/>
    <w:pPr>
      <w:autoSpaceDE w:val="0"/>
      <w:autoSpaceDN w:val="0"/>
      <w:spacing w:after="0" w:line="240" w:lineRule="auto"/>
    </w:pPr>
    <w:rPr>
      <w:rFonts w:ascii="Times New Roman" w:hAnsi="Times New Roman" w:cs="Times New Roman"/>
      <w:color w:val="000000"/>
      <w:sz w:val="24"/>
      <w:szCs w:val="24"/>
      <w:lang w:val="en-GB" w:eastAsia="en-GB"/>
    </w:rPr>
  </w:style>
  <w:style w:type="paragraph" w:customStyle="1" w:styleId="Char2Char">
    <w:name w:val="Char2 Char"/>
    <w:basedOn w:val="Normal"/>
    <w:rsid w:val="004C7DC8"/>
    <w:pPr>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Time">
    <w:name w:val="Time"/>
    <w:basedOn w:val="Normal"/>
    <w:rsid w:val="004C7DC8"/>
    <w:rPr>
      <w:lang w:val="en-GB"/>
    </w:rPr>
  </w:style>
  <w:style w:type="paragraph" w:customStyle="1" w:styleId="Pa0">
    <w:name w:val="Pa0"/>
    <w:basedOn w:val="Default"/>
    <w:next w:val="Default"/>
    <w:uiPriority w:val="99"/>
    <w:rsid w:val="004C7DC8"/>
    <w:pPr>
      <w:spacing w:before="120" w:after="120" w:line="361" w:lineRule="atLeast"/>
    </w:pPr>
    <w:rPr>
      <w:rFonts w:ascii="Verdana" w:hAnsi="Verdana" w:cs="Times New Roman"/>
      <w:color w:val="auto"/>
    </w:rPr>
  </w:style>
  <w:style w:type="paragraph" w:customStyle="1" w:styleId="Pa3">
    <w:name w:val="Pa3"/>
    <w:basedOn w:val="Default"/>
    <w:next w:val="Default"/>
    <w:uiPriority w:val="99"/>
    <w:rsid w:val="004C7DC8"/>
    <w:pPr>
      <w:spacing w:before="120" w:after="120" w:line="240" w:lineRule="atLeast"/>
    </w:pPr>
    <w:rPr>
      <w:rFonts w:ascii="Helvetica Neue" w:hAnsi="Helvetica Neue" w:cs="Times New Roman"/>
      <w:color w:val="auto"/>
    </w:rPr>
  </w:style>
  <w:style w:type="paragraph" w:customStyle="1" w:styleId="TabellenInhalt">
    <w:name w:val="Tabellen Inhalt"/>
    <w:basedOn w:val="Normal"/>
    <w:rsid w:val="004C7DC8"/>
    <w:pPr>
      <w:suppressLineNumbers/>
      <w:suppressAutoHyphens/>
      <w:spacing w:before="120" w:after="120" w:line="240" w:lineRule="auto"/>
      <w:jc w:val="both"/>
    </w:pPr>
    <w:rPr>
      <w:rFonts w:ascii="Times New Roman" w:eastAsia="Times New Roman" w:hAnsi="Times New Roman" w:cs="Times New Roman"/>
      <w:sz w:val="24"/>
      <w:szCs w:val="20"/>
      <w:lang w:val="en-GB" w:eastAsia="ar-SA"/>
    </w:rPr>
  </w:style>
  <w:style w:type="paragraph" w:customStyle="1" w:styleId="Tabellenberschrift">
    <w:name w:val="Tabellen Überschrift"/>
    <w:basedOn w:val="TabellenInhalt"/>
    <w:rsid w:val="004C7DC8"/>
    <w:pPr>
      <w:jc w:val="center"/>
    </w:pPr>
    <w:rPr>
      <w:b/>
      <w:bCs/>
    </w:rPr>
  </w:style>
  <w:style w:type="paragraph" w:customStyle="1" w:styleId="xmsolistparagraph">
    <w:name w:val="x_msolistparagraph"/>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4C7DC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rearticle0">
    <w:name w:val="titrearticle"/>
    <w:basedOn w:val="Normal"/>
    <w:rsid w:val="004C7DC8"/>
    <w:pPr>
      <w:spacing w:before="100" w:beforeAutospacing="1" w:after="100" w:afterAutospacing="1" w:line="240" w:lineRule="auto"/>
    </w:pPr>
    <w:rPr>
      <w:rFonts w:ascii="Times New Roman" w:hAnsi="Times New Roman" w:cs="Times New Roman"/>
      <w:sz w:val="24"/>
      <w:szCs w:val="24"/>
      <w:lang w:val="en-US"/>
    </w:rPr>
  </w:style>
  <w:style w:type="character" w:customStyle="1" w:styleId="Teksttreci3">
    <w:name w:val="Tekst treści (3)_"/>
    <w:basedOn w:val="DefaultParagraphFont"/>
    <w:link w:val="Teksttreci30"/>
    <w:uiPriority w:val="99"/>
    <w:locked/>
    <w:rsid w:val="004C7DC8"/>
    <w:rPr>
      <w:rFonts w:ascii="Times New Roman" w:hAnsi="Times New Roman" w:cs="Times New Roman"/>
      <w:b/>
      <w:bCs/>
      <w:sz w:val="36"/>
      <w:szCs w:val="36"/>
      <w:shd w:val="clear" w:color="auto" w:fill="FFFFFF"/>
    </w:rPr>
  </w:style>
  <w:style w:type="paragraph" w:customStyle="1" w:styleId="Teksttreci30">
    <w:name w:val="Tekst treści (3)"/>
    <w:basedOn w:val="Normal"/>
    <w:link w:val="Teksttreci3"/>
    <w:uiPriority w:val="99"/>
    <w:rsid w:val="004C7DC8"/>
    <w:pPr>
      <w:widowControl w:val="0"/>
      <w:shd w:val="clear" w:color="auto" w:fill="FFFFFF"/>
      <w:spacing w:after="0" w:line="240" w:lineRule="auto"/>
    </w:pPr>
    <w:rPr>
      <w:rFonts w:ascii="Times New Roman" w:hAnsi="Times New Roman" w:cs="Times New Roman"/>
      <w:b/>
      <w:bCs/>
      <w:sz w:val="36"/>
      <w:szCs w:val="36"/>
    </w:rPr>
  </w:style>
  <w:style w:type="character" w:customStyle="1" w:styleId="Inne">
    <w:name w:val="Inne_"/>
    <w:basedOn w:val="DefaultParagraphFont"/>
    <w:link w:val="Inne0"/>
    <w:uiPriority w:val="99"/>
    <w:locked/>
    <w:rsid w:val="004C7DC8"/>
    <w:rPr>
      <w:rFonts w:ascii="Times New Roman" w:hAnsi="Times New Roman" w:cs="Times New Roman"/>
      <w:shd w:val="clear" w:color="auto" w:fill="FFFFFF"/>
    </w:rPr>
  </w:style>
  <w:style w:type="paragraph" w:customStyle="1" w:styleId="Inne0">
    <w:name w:val="Inne"/>
    <w:basedOn w:val="Normal"/>
    <w:link w:val="Inne"/>
    <w:uiPriority w:val="99"/>
    <w:rsid w:val="004C7DC8"/>
    <w:pPr>
      <w:widowControl w:val="0"/>
      <w:shd w:val="clear" w:color="auto" w:fill="FFFFFF"/>
      <w:spacing w:after="100" w:line="36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4C7DC8"/>
    <w:rPr>
      <w:sz w:val="16"/>
      <w:szCs w:val="16"/>
    </w:rPr>
  </w:style>
  <w:style w:type="character" w:customStyle="1" w:styleId="DontTranslate">
    <w:name w:val="DontTranslate"/>
    <w:rsid w:val="004C7DC8"/>
    <w:rPr>
      <w:color w:val="auto"/>
    </w:rPr>
  </w:style>
  <w:style w:type="character" w:customStyle="1" w:styleId="ManualNumPar1Char">
    <w:name w:val="Manual NumPar 1 Char"/>
    <w:rsid w:val="004C7DC8"/>
    <w:rPr>
      <w:rFonts w:ascii="Times New Roman" w:hAnsi="Times New Roman" w:cs="Times New Roman" w:hint="default"/>
      <w:sz w:val="24"/>
      <w:szCs w:val="22"/>
      <w:lang w:eastAsia="en-US"/>
    </w:rPr>
  </w:style>
  <w:style w:type="character" w:customStyle="1" w:styleId="CharacterStyle2">
    <w:name w:val="Character Style 2"/>
    <w:uiPriority w:val="99"/>
    <w:rsid w:val="004C7DC8"/>
    <w:rPr>
      <w:sz w:val="20"/>
      <w:szCs w:val="20"/>
    </w:rPr>
  </w:style>
  <w:style w:type="character" w:customStyle="1" w:styleId="Marker2">
    <w:name w:val="Marker2"/>
    <w:rsid w:val="004C7DC8"/>
    <w:rPr>
      <w:color w:val="FF0000"/>
    </w:rPr>
  </w:style>
  <w:style w:type="character" w:customStyle="1" w:styleId="Added">
    <w:name w:val="Added"/>
    <w:rsid w:val="004C7DC8"/>
    <w:rPr>
      <w:b/>
      <w:bCs w:val="0"/>
      <w:u w:val="single"/>
    </w:rPr>
  </w:style>
  <w:style w:type="character" w:customStyle="1" w:styleId="Deleted">
    <w:name w:val="Deleted"/>
    <w:rsid w:val="004C7DC8"/>
    <w:rPr>
      <w:strike/>
    </w:rPr>
  </w:style>
  <w:style w:type="character" w:customStyle="1" w:styleId="leaf">
    <w:name w:val="leaf"/>
    <w:uiPriority w:val="99"/>
    <w:rsid w:val="004C7DC8"/>
    <w:rPr>
      <w:rFonts w:ascii="Times New Roman" w:hAnsi="Times New Roman" w:cs="Times New Roman" w:hint="default"/>
    </w:rPr>
  </w:style>
  <w:style w:type="character" w:customStyle="1" w:styleId="style221">
    <w:name w:val="style221"/>
    <w:uiPriority w:val="99"/>
    <w:rsid w:val="004C7DC8"/>
    <w:rPr>
      <w:rFonts w:ascii="Times New Roman" w:hAnsi="Times New Roman" w:cs="Times New Roman" w:hint="default"/>
      <w:b/>
      <w:bCs/>
      <w:color w:val="990000"/>
    </w:rPr>
  </w:style>
  <w:style w:type="character" w:customStyle="1" w:styleId="A1">
    <w:name w:val="A1"/>
    <w:uiPriority w:val="99"/>
    <w:rsid w:val="004C7DC8"/>
    <w:rPr>
      <w:b/>
      <w:bCs w:val="0"/>
      <w:color w:val="000000"/>
      <w:sz w:val="80"/>
    </w:rPr>
  </w:style>
  <w:style w:type="character" w:customStyle="1" w:styleId="A2">
    <w:name w:val="A2"/>
    <w:uiPriority w:val="99"/>
    <w:rsid w:val="004C7DC8"/>
    <w:rPr>
      <w:b/>
      <w:bCs w:val="0"/>
      <w:color w:val="000000"/>
      <w:sz w:val="48"/>
    </w:rPr>
  </w:style>
  <w:style w:type="character" w:customStyle="1" w:styleId="A3">
    <w:name w:val="A3"/>
    <w:uiPriority w:val="99"/>
    <w:rsid w:val="004C7DC8"/>
    <w:rPr>
      <w:b/>
      <w:bCs w:val="0"/>
      <w:color w:val="000000"/>
      <w:sz w:val="32"/>
    </w:rPr>
  </w:style>
  <w:style w:type="character" w:customStyle="1" w:styleId="Funotenzeichen">
    <w:name w:val="Fußnotenzeichen"/>
    <w:rsid w:val="004C7DC8"/>
    <w:rPr>
      <w:rFonts w:ascii="Times New Roman" w:hAnsi="Times New Roman" w:cs="Times New Roman" w:hint="default"/>
      <w:vertAlign w:val="superscript"/>
    </w:rPr>
  </w:style>
  <w:style w:type="character" w:customStyle="1" w:styleId="tlid-translation">
    <w:name w:val="tlid-translation"/>
    <w:rsid w:val="004C7DC8"/>
  </w:style>
  <w:style w:type="character" w:customStyle="1" w:styleId="TeksttreciMaelitery">
    <w:name w:val="Tekst treści + Małe litery"/>
    <w:rsid w:val="004C7DC8"/>
    <w:rPr>
      <w:rFonts w:ascii="AngsanaUPC" w:eastAsia="AngsanaUPC" w:hAnsi="AngsanaUPC" w:cs="AngsanaUPC" w:hint="default"/>
      <w:b w:val="0"/>
      <w:bCs w:val="0"/>
      <w:i w:val="0"/>
      <w:iCs w:val="0"/>
      <w:smallCaps/>
      <w:color w:val="000000"/>
      <w:spacing w:val="0"/>
      <w:w w:val="100"/>
      <w:position w:val="0"/>
      <w:sz w:val="34"/>
      <w:szCs w:val="34"/>
      <w:u w:val="single"/>
      <w:lang w:val="pl-PL"/>
    </w:rPr>
  </w:style>
  <w:style w:type="character" w:customStyle="1" w:styleId="apple-tab-span">
    <w:name w:val="apple-tab-span"/>
    <w:basedOn w:val="DefaultParagraphFont"/>
    <w:rsid w:val="004C7DC8"/>
  </w:style>
  <w:style w:type="table" w:customStyle="1" w:styleId="TableGrid2">
    <w:name w:val="Table Grid2"/>
    <w:basedOn w:val="TableNormal"/>
    <w:next w:val="TableGrid"/>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C7DC8"/>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C7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5">
    <w:name w:val="Table Grid5"/>
    <w:basedOn w:val="TableNormal"/>
    <w:uiPriority w:val="59"/>
    <w:rsid w:val="004C7DC8"/>
    <w:pPr>
      <w:spacing w:before="12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C7D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4C7DC8"/>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Text4"/>
    <w:semiHidden/>
    <w:unhideWhenUsed/>
    <w:rsid w:val="004C7DC8"/>
    <w:pPr>
      <w:numPr>
        <w:numId w:val="48"/>
      </w:numPr>
      <w:spacing w:before="0" w:after="240" w:line="240" w:lineRule="auto"/>
      <w:jc w:val="both"/>
    </w:pPr>
    <w:rPr>
      <w:rFonts w:eastAsia="Times New Roman"/>
      <w:lang w:eastAsia="en-GB"/>
    </w:rPr>
  </w:style>
  <w:style w:type="paragraph" w:styleId="ListNumber2">
    <w:name w:val="List Number 2"/>
    <w:basedOn w:val="Text2"/>
    <w:semiHidden/>
    <w:unhideWhenUsed/>
    <w:rsid w:val="004C7DC8"/>
    <w:pPr>
      <w:numPr>
        <w:numId w:val="46"/>
      </w:numPr>
      <w:spacing w:before="0" w:after="240" w:line="240" w:lineRule="auto"/>
      <w:jc w:val="both"/>
    </w:pPr>
    <w:rPr>
      <w:rFonts w:eastAsia="Times New Roman"/>
      <w:lang w:eastAsia="en-GB"/>
    </w:rPr>
  </w:style>
  <w:style w:type="paragraph" w:styleId="ListNumber3">
    <w:name w:val="List Number 3"/>
    <w:basedOn w:val="Text3"/>
    <w:semiHidden/>
    <w:unhideWhenUsed/>
    <w:rsid w:val="004C7DC8"/>
    <w:pPr>
      <w:numPr>
        <w:numId w:val="47"/>
      </w:numPr>
      <w:spacing w:before="0" w:after="240" w:line="240" w:lineRule="auto"/>
      <w:jc w:val="both"/>
    </w:pPr>
    <w:rPr>
      <w:rFonts w:eastAsia="Times New Roman"/>
      <w:lang w:eastAsia="en-GB"/>
    </w:rPr>
  </w:style>
  <w:style w:type="paragraph" w:styleId="Revision">
    <w:name w:val="Revision"/>
    <w:hidden/>
    <w:uiPriority w:val="99"/>
    <w:semiHidden/>
    <w:rsid w:val="00E81886"/>
    <w:pPr>
      <w:spacing w:after="0" w:line="240" w:lineRule="auto"/>
    </w:pPr>
  </w:style>
  <w:style w:type="paragraph" w:styleId="NormalWeb">
    <w:name w:val="Normal (Web)"/>
    <w:basedOn w:val="Normal"/>
    <w:uiPriority w:val="99"/>
    <w:semiHidden/>
    <w:unhideWhenUsed/>
    <w:rsid w:val="006A70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D51CD"/>
    <w:rPr>
      <w:color w:val="800080" w:themeColor="followedHyperlink"/>
      <w:u w:val="single"/>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AE0470"/>
    <w:pPr>
      <w:spacing w:before="110" w:after="160" w:line="240" w:lineRule="exact"/>
      <w:jc w:val="both"/>
    </w:pPr>
    <w:rPr>
      <w:b/>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2805">
      <w:bodyDiv w:val="1"/>
      <w:marLeft w:val="0"/>
      <w:marRight w:val="0"/>
      <w:marTop w:val="0"/>
      <w:marBottom w:val="0"/>
      <w:divBdr>
        <w:top w:val="none" w:sz="0" w:space="0" w:color="auto"/>
        <w:left w:val="none" w:sz="0" w:space="0" w:color="auto"/>
        <w:bottom w:val="none" w:sz="0" w:space="0" w:color="auto"/>
        <w:right w:val="none" w:sz="0" w:space="0" w:color="auto"/>
      </w:divBdr>
    </w:div>
    <w:div w:id="65106776">
      <w:bodyDiv w:val="1"/>
      <w:marLeft w:val="0"/>
      <w:marRight w:val="0"/>
      <w:marTop w:val="0"/>
      <w:marBottom w:val="0"/>
      <w:divBdr>
        <w:top w:val="none" w:sz="0" w:space="0" w:color="auto"/>
        <w:left w:val="none" w:sz="0" w:space="0" w:color="auto"/>
        <w:bottom w:val="none" w:sz="0" w:space="0" w:color="auto"/>
        <w:right w:val="none" w:sz="0" w:space="0" w:color="auto"/>
      </w:divBdr>
    </w:div>
    <w:div w:id="171409407">
      <w:bodyDiv w:val="1"/>
      <w:marLeft w:val="0"/>
      <w:marRight w:val="0"/>
      <w:marTop w:val="0"/>
      <w:marBottom w:val="0"/>
      <w:divBdr>
        <w:top w:val="none" w:sz="0" w:space="0" w:color="auto"/>
        <w:left w:val="none" w:sz="0" w:space="0" w:color="auto"/>
        <w:bottom w:val="none" w:sz="0" w:space="0" w:color="auto"/>
        <w:right w:val="none" w:sz="0" w:space="0" w:color="auto"/>
      </w:divBdr>
    </w:div>
    <w:div w:id="642464333">
      <w:bodyDiv w:val="1"/>
      <w:marLeft w:val="0"/>
      <w:marRight w:val="0"/>
      <w:marTop w:val="0"/>
      <w:marBottom w:val="0"/>
      <w:divBdr>
        <w:top w:val="none" w:sz="0" w:space="0" w:color="auto"/>
        <w:left w:val="none" w:sz="0" w:space="0" w:color="auto"/>
        <w:bottom w:val="none" w:sz="0" w:space="0" w:color="auto"/>
        <w:right w:val="none" w:sz="0" w:space="0" w:color="auto"/>
      </w:divBdr>
    </w:div>
    <w:div w:id="719981625">
      <w:bodyDiv w:val="1"/>
      <w:marLeft w:val="0"/>
      <w:marRight w:val="0"/>
      <w:marTop w:val="0"/>
      <w:marBottom w:val="0"/>
      <w:divBdr>
        <w:top w:val="none" w:sz="0" w:space="0" w:color="auto"/>
        <w:left w:val="none" w:sz="0" w:space="0" w:color="auto"/>
        <w:bottom w:val="none" w:sz="0" w:space="0" w:color="auto"/>
        <w:right w:val="none" w:sz="0" w:space="0" w:color="auto"/>
      </w:divBdr>
    </w:div>
    <w:div w:id="1504709252">
      <w:bodyDiv w:val="1"/>
      <w:marLeft w:val="0"/>
      <w:marRight w:val="0"/>
      <w:marTop w:val="0"/>
      <w:marBottom w:val="0"/>
      <w:divBdr>
        <w:top w:val="none" w:sz="0" w:space="0" w:color="auto"/>
        <w:left w:val="none" w:sz="0" w:space="0" w:color="auto"/>
        <w:bottom w:val="none" w:sz="0" w:space="0" w:color="auto"/>
        <w:right w:val="none" w:sz="0" w:space="0" w:color="auto"/>
      </w:divBdr>
    </w:div>
    <w:div w:id="1628706542">
      <w:bodyDiv w:val="1"/>
      <w:marLeft w:val="0"/>
      <w:marRight w:val="0"/>
      <w:marTop w:val="0"/>
      <w:marBottom w:val="0"/>
      <w:divBdr>
        <w:top w:val="none" w:sz="0" w:space="0" w:color="auto"/>
        <w:left w:val="none" w:sz="0" w:space="0" w:color="auto"/>
        <w:bottom w:val="none" w:sz="0" w:space="0" w:color="auto"/>
        <w:right w:val="none" w:sz="0" w:space="0" w:color="auto"/>
      </w:divBdr>
    </w:div>
    <w:div w:id="183279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icap-prod.e-licitatie.ro"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mfe.gov.ro/wp-content/uploads/2020/07/6588501da9e75a7d8003d010af3b03fd.pdf"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anap.gov.ro/web/analize-si-rapoarte-statistice/?future=false"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jutordestat.ro/?pag=20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podd@mfe.gov.ro"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mfe.gov.ro/minister/perioade-de-programare/perioada-2021-2027/"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nap.gov.ro/web/analize-si-rapoarte-statistice/?future=fals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fe.gov.ro/minister/perioade-de-programare/perioada-2021-202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nsse.ro/cms/ro/content/distribu%c5%a3ia-apei-%c3%aen-anul-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8FDF-B619-4985-9FE0-B52E56CD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28573</Words>
  <Characters>162868</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Tapalaga</dc:creator>
  <cp:lastModifiedBy>Madalina Iliuta</cp:lastModifiedBy>
  <cp:revision>3</cp:revision>
  <cp:lastPrinted>2020-09-29T06:26:00Z</cp:lastPrinted>
  <dcterms:created xsi:type="dcterms:W3CDTF">2020-09-30T12:40:00Z</dcterms:created>
  <dcterms:modified xsi:type="dcterms:W3CDTF">2020-09-30T12:41:00Z</dcterms:modified>
</cp:coreProperties>
</file>