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F494FD" w14:textId="7BD0EFAF" w:rsidR="001F75BC" w:rsidRPr="001F75BC" w:rsidRDefault="001F75BC" w:rsidP="001F75BC">
      <w:pPr>
        <w:widowControl w:val="0"/>
        <w:autoSpaceDE w:val="0"/>
        <w:autoSpaceDN w:val="0"/>
        <w:adjustRightInd w:val="0"/>
        <w:spacing w:after="240" w:line="240" w:lineRule="auto"/>
        <w:jc w:val="right"/>
        <w:rPr>
          <w:rFonts w:ascii="Calibri" w:hAnsi="Calibri" w:cs="Times"/>
          <w:b/>
          <w:szCs w:val="28"/>
          <w:lang w:val="en-US"/>
        </w:rPr>
      </w:pPr>
      <w:r w:rsidRPr="001F75BC">
        <w:rPr>
          <w:rFonts w:ascii="Calibri" w:hAnsi="Calibri" w:cs="Times"/>
          <w:b/>
          <w:szCs w:val="28"/>
          <w:lang w:val="en-US"/>
        </w:rPr>
        <w:t>ANEXA 25</w:t>
      </w:r>
    </w:p>
    <w:p w14:paraId="72A07167" w14:textId="77777777" w:rsidR="001F75BC" w:rsidRDefault="001F75BC" w:rsidP="008A791D">
      <w:pPr>
        <w:widowControl w:val="0"/>
        <w:autoSpaceDE w:val="0"/>
        <w:autoSpaceDN w:val="0"/>
        <w:adjustRightInd w:val="0"/>
        <w:spacing w:after="240" w:line="240" w:lineRule="auto"/>
        <w:jc w:val="center"/>
        <w:rPr>
          <w:rFonts w:ascii="Calibri" w:hAnsi="Calibri" w:cs="Times"/>
          <w:b/>
          <w:sz w:val="28"/>
          <w:szCs w:val="28"/>
          <w:lang w:val="en-US"/>
        </w:rPr>
      </w:pPr>
    </w:p>
    <w:p w14:paraId="2C4222C6" w14:textId="1244C0AD" w:rsidR="008A791D" w:rsidRPr="008A791D" w:rsidRDefault="008A791D" w:rsidP="008A791D">
      <w:pPr>
        <w:widowControl w:val="0"/>
        <w:autoSpaceDE w:val="0"/>
        <w:autoSpaceDN w:val="0"/>
        <w:adjustRightInd w:val="0"/>
        <w:spacing w:after="240" w:line="240" w:lineRule="auto"/>
        <w:jc w:val="center"/>
        <w:rPr>
          <w:rFonts w:ascii="Calibri" w:hAnsi="Calibri" w:cs="Times"/>
          <w:b/>
          <w:sz w:val="28"/>
          <w:szCs w:val="28"/>
          <w:lang w:val="en-US"/>
        </w:rPr>
      </w:pPr>
      <w:bookmarkStart w:id="0" w:name="_GoBack"/>
      <w:bookmarkEnd w:id="0"/>
      <w:r w:rsidRPr="008A791D">
        <w:rPr>
          <w:rFonts w:ascii="Calibri" w:hAnsi="Calibri" w:cs="Times"/>
          <w:b/>
          <w:sz w:val="28"/>
          <w:szCs w:val="28"/>
          <w:lang w:val="en-US"/>
        </w:rPr>
        <w:t>Metodologie pentru reglementarea modului de diminuare a finanțării nerambursabile în cazul neîndeplinirii țintelor indicatorilor de program în cadrul proiectelor finanțate prin POCU</w:t>
      </w:r>
    </w:p>
    <w:p w14:paraId="12D02CEA" w14:textId="66B91D7B" w:rsidR="00742705" w:rsidRPr="008610E8" w:rsidRDefault="00742705" w:rsidP="000C20D2">
      <w:pPr>
        <w:pStyle w:val="Heading1"/>
        <w:numPr>
          <w:ilvl w:val="0"/>
          <w:numId w:val="17"/>
        </w:numPr>
        <w:spacing w:after="120" w:line="240" w:lineRule="auto"/>
        <w:ind w:left="357" w:hanging="357"/>
        <w:rPr>
          <w:b/>
          <w:sz w:val="28"/>
          <w:lang w:val="ro-RO"/>
        </w:rPr>
      </w:pPr>
      <w:r w:rsidRPr="008610E8">
        <w:rPr>
          <w:b/>
          <w:sz w:val="28"/>
          <w:lang w:val="ro-RO"/>
        </w:rPr>
        <w:t>Introducere</w:t>
      </w:r>
    </w:p>
    <w:p w14:paraId="2EF644E2" w14:textId="123D1BDB" w:rsidR="004044D1" w:rsidRDefault="000C20D2" w:rsidP="000C20D2">
      <w:pPr>
        <w:spacing w:after="120" w:line="240" w:lineRule="auto"/>
        <w:jc w:val="both"/>
        <w:rPr>
          <w:rFonts w:cstheme="minorHAnsi"/>
          <w:lang w:val="ro-RO"/>
        </w:rPr>
      </w:pPr>
      <w:r w:rsidRPr="000C20D2">
        <w:rPr>
          <w:rFonts w:cstheme="minorHAnsi"/>
          <w:lang w:val="ro-RO"/>
        </w:rPr>
        <w:t xml:space="preserve">Documentul de față prezintă </w:t>
      </w:r>
      <w:r w:rsidR="004044D1">
        <w:rPr>
          <w:rFonts w:cstheme="minorHAnsi"/>
          <w:lang w:val="ro-RO"/>
        </w:rPr>
        <w:t>metodologia de</w:t>
      </w:r>
      <w:r w:rsidRPr="000C20D2">
        <w:rPr>
          <w:rFonts w:cstheme="minorHAnsi"/>
          <w:lang w:val="ro-RO"/>
        </w:rPr>
        <w:t xml:space="preserve"> </w:t>
      </w:r>
      <w:r w:rsidRPr="000C20D2">
        <w:rPr>
          <w:rFonts w:cstheme="minorHAnsi"/>
          <w:b/>
          <w:lang w:val="ro-RO"/>
        </w:rPr>
        <w:t>calcul</w:t>
      </w:r>
      <w:r w:rsidR="004044D1">
        <w:rPr>
          <w:rFonts w:cstheme="minorHAnsi"/>
          <w:b/>
          <w:lang w:val="ro-RO"/>
        </w:rPr>
        <w:t xml:space="preserve"> al</w:t>
      </w:r>
      <w:r w:rsidRPr="000C20D2">
        <w:rPr>
          <w:rFonts w:cstheme="minorHAnsi"/>
          <w:b/>
          <w:lang w:val="ro-RO"/>
        </w:rPr>
        <w:t xml:space="preserve"> corecțiilor financiare aplicabile beneficiarilor de proiecte, în cazul neîndeplinirii țintelor aferente indicatorilor de program POCU</w:t>
      </w:r>
      <w:r w:rsidRPr="000C20D2">
        <w:rPr>
          <w:rFonts w:cstheme="minorHAnsi"/>
          <w:lang w:val="ro-RO"/>
        </w:rPr>
        <w:t>, asumate prin Cererea de Finanțare, anexată Contractului de Finanțare</w:t>
      </w:r>
      <w:r w:rsidR="00D86EE1">
        <w:rPr>
          <w:rFonts w:cstheme="minorHAnsi"/>
          <w:lang w:val="ro-RO"/>
        </w:rPr>
        <w:t xml:space="preserve"> și având în vedere prevederile ghidurilor condiții specifice</w:t>
      </w:r>
      <w:r w:rsidRPr="000C20D2">
        <w:rPr>
          <w:rFonts w:cstheme="minorHAnsi"/>
          <w:lang w:val="ro-RO"/>
        </w:rPr>
        <w:t xml:space="preserve">. </w:t>
      </w:r>
    </w:p>
    <w:p w14:paraId="2EE13D59" w14:textId="0B70B6A2" w:rsidR="000C20D2" w:rsidRPr="000C20D2" w:rsidRDefault="000C20D2" w:rsidP="000C20D2">
      <w:pPr>
        <w:spacing w:after="120" w:line="240" w:lineRule="auto"/>
        <w:jc w:val="both"/>
        <w:rPr>
          <w:rFonts w:cstheme="minorHAnsi"/>
          <w:lang w:val="ro-RO"/>
        </w:rPr>
      </w:pPr>
      <w:r w:rsidRPr="000C20D2">
        <w:rPr>
          <w:rFonts w:cstheme="minorHAnsi"/>
          <w:lang w:val="ro-RO"/>
        </w:rPr>
        <w:t xml:space="preserve">Metodologia de calcul </w:t>
      </w:r>
      <w:r w:rsidRPr="000C20D2">
        <w:rPr>
          <w:rFonts w:cstheme="minorHAnsi"/>
          <w:b/>
          <w:lang w:val="ro-RO"/>
        </w:rPr>
        <w:t xml:space="preserve">nu se aplică în cazul neîndeplinirii </w:t>
      </w:r>
      <w:r w:rsidRPr="000C20D2">
        <w:rPr>
          <w:rFonts w:cstheme="minorHAnsi"/>
          <w:lang w:val="ro-RO"/>
        </w:rPr>
        <w:t>rezultatelor asumate la nivelul proiectului</w:t>
      </w:r>
      <w:r w:rsidR="008A791D">
        <w:rPr>
          <w:rStyle w:val="FootnoteReference"/>
          <w:rFonts w:cstheme="minorHAnsi"/>
          <w:lang w:val="ro-RO"/>
        </w:rPr>
        <w:t xml:space="preserve"> </w:t>
      </w:r>
      <w:r w:rsidRPr="000C20D2">
        <w:rPr>
          <w:rFonts w:cstheme="minorHAnsi"/>
          <w:lang w:val="ro-RO"/>
        </w:rPr>
        <w:t xml:space="preserve">și, de asemenea, </w:t>
      </w:r>
      <w:r w:rsidRPr="000C20D2">
        <w:rPr>
          <w:rFonts w:cstheme="minorHAnsi"/>
          <w:b/>
          <w:lang w:val="ro-RO"/>
        </w:rPr>
        <w:t>nu se referă</w:t>
      </w:r>
      <w:r w:rsidRPr="000C20D2">
        <w:rPr>
          <w:rFonts w:cstheme="minorHAnsi"/>
          <w:lang w:val="ro-RO"/>
        </w:rPr>
        <w:t xml:space="preserve"> la indicatorii financiari. </w:t>
      </w:r>
    </w:p>
    <w:p w14:paraId="0470B1A7" w14:textId="6823C686" w:rsidR="000C20D2" w:rsidRDefault="000C20D2" w:rsidP="000C20D2">
      <w:pPr>
        <w:spacing w:after="120" w:line="240" w:lineRule="auto"/>
        <w:jc w:val="both"/>
        <w:rPr>
          <w:rFonts w:cstheme="minorHAnsi"/>
          <w:lang w:val="ro-RO"/>
        </w:rPr>
      </w:pPr>
      <w:r w:rsidRPr="00E36277">
        <w:rPr>
          <w:rFonts w:cstheme="minorHAnsi"/>
          <w:b/>
          <w:lang w:val="ro-RO"/>
        </w:rPr>
        <w:t>Se recomandă ca aplicarea corecțiilor financiare să fie considerată o măsură de ultimă instanță</w:t>
      </w:r>
      <w:r w:rsidR="00E36277">
        <w:rPr>
          <w:rFonts w:cstheme="minorHAnsi"/>
          <w:lang w:val="ro-RO"/>
        </w:rPr>
        <w:t xml:space="preserve">. Monitorizarea indicatorilor, atât de către beneficiari, cât și la nivelul AM/OI, trebuie să aibă în vedere semnalarea cât mai timpurie a eventualelor derapaje și riscuri în ceea ce privește țintele stabilite și să </w:t>
      </w:r>
      <w:r w:rsidR="004166BA">
        <w:rPr>
          <w:rFonts w:cstheme="minorHAnsi"/>
          <w:lang w:val="ro-RO"/>
        </w:rPr>
        <w:t xml:space="preserve">asigure luarea măsurilor corective necesare. </w:t>
      </w:r>
      <w:r w:rsidR="007153B2">
        <w:rPr>
          <w:rFonts w:cstheme="minorHAnsi"/>
          <w:lang w:val="ro-RO"/>
        </w:rPr>
        <w:t>Inițierea procedurilor de d</w:t>
      </w:r>
      <w:r w:rsidR="0037402C">
        <w:rPr>
          <w:rFonts w:cstheme="minorHAnsi"/>
          <w:lang w:val="ro-RO"/>
        </w:rPr>
        <w:t>iminuare</w:t>
      </w:r>
      <w:r w:rsidR="007153B2">
        <w:rPr>
          <w:rFonts w:cstheme="minorHAnsi"/>
          <w:lang w:val="ro-RO"/>
        </w:rPr>
        <w:t xml:space="preserve"> </w:t>
      </w:r>
      <w:r w:rsidR="0037402C">
        <w:rPr>
          <w:rFonts w:cstheme="minorHAnsi"/>
          <w:lang w:val="ro-RO"/>
        </w:rPr>
        <w:t>a finanțării</w:t>
      </w:r>
      <w:r w:rsidR="00127A09">
        <w:rPr>
          <w:rFonts w:cstheme="minorHAnsi"/>
          <w:lang w:val="ro-RO"/>
        </w:rPr>
        <w:t xml:space="preserve">, </w:t>
      </w:r>
      <w:r w:rsidR="007153B2">
        <w:rPr>
          <w:rFonts w:cstheme="minorHAnsi"/>
          <w:lang w:val="ro-RO"/>
        </w:rPr>
        <w:t>respectiv reziliere a contractului, ar trebui să aibă loc atunci când toate celelalte măsuri au fost adoptate</w:t>
      </w:r>
      <w:r w:rsidR="00180E2B">
        <w:rPr>
          <w:rFonts w:cstheme="minorHAnsi"/>
          <w:lang w:val="ro-RO"/>
        </w:rPr>
        <w:t xml:space="preserve"> și implementate</w:t>
      </w:r>
      <w:r w:rsidR="007153B2">
        <w:rPr>
          <w:rFonts w:cstheme="minorHAnsi"/>
          <w:lang w:val="ro-RO"/>
        </w:rPr>
        <w:t>, fără succes.</w:t>
      </w:r>
      <w:r w:rsidR="0037402C">
        <w:rPr>
          <w:rFonts w:cstheme="minorHAnsi"/>
          <w:lang w:val="ro-RO"/>
        </w:rPr>
        <w:t xml:space="preserve"> </w:t>
      </w:r>
      <w:r w:rsidR="004166BA">
        <w:rPr>
          <w:rFonts w:cstheme="minorHAnsi"/>
          <w:lang w:val="ro-RO"/>
        </w:rPr>
        <w:t xml:space="preserve"> </w:t>
      </w:r>
      <w:r w:rsidRPr="00E36277">
        <w:rPr>
          <w:rFonts w:cstheme="minorHAnsi"/>
          <w:lang w:val="ro-RO"/>
        </w:rPr>
        <w:t xml:space="preserve"> </w:t>
      </w:r>
    </w:p>
    <w:p w14:paraId="76D32F5E" w14:textId="10669EB5" w:rsidR="002556A5" w:rsidRDefault="002556A5" w:rsidP="002556A5">
      <w:pPr>
        <w:spacing w:after="120" w:line="240" w:lineRule="auto"/>
        <w:jc w:val="both"/>
        <w:rPr>
          <w:rFonts w:cstheme="minorHAnsi"/>
          <w:lang w:val="ro-RO"/>
        </w:rPr>
      </w:pPr>
      <w:r>
        <w:rPr>
          <w:rFonts w:cstheme="minorHAnsi"/>
          <w:lang w:val="ro-RO"/>
        </w:rPr>
        <w:t xml:space="preserve">Metodologia propusă în cele ce urmează nu se aplică </w:t>
      </w:r>
      <w:r w:rsidRPr="000C20D2">
        <w:rPr>
          <w:rFonts w:cstheme="minorHAnsi"/>
          <w:lang w:val="ro-RO"/>
        </w:rPr>
        <w:t>proiecte</w:t>
      </w:r>
      <w:r>
        <w:rPr>
          <w:rFonts w:cstheme="minorHAnsi"/>
          <w:lang w:val="ro-RO"/>
        </w:rPr>
        <w:t xml:space="preserve">lor </w:t>
      </w:r>
      <w:r w:rsidRPr="000C20D2">
        <w:rPr>
          <w:rFonts w:cstheme="minorHAnsi"/>
          <w:lang w:val="ro-RO"/>
        </w:rPr>
        <w:t>finalizate</w:t>
      </w:r>
      <w:r w:rsidR="00FF643D">
        <w:rPr>
          <w:rFonts w:cstheme="minorHAnsi"/>
          <w:lang w:val="ro-RO"/>
        </w:rPr>
        <w:t xml:space="preserve"> la moment</w:t>
      </w:r>
      <w:r w:rsidR="00CB508E">
        <w:rPr>
          <w:rFonts w:cstheme="minorHAnsi"/>
          <w:lang w:val="ro-RO"/>
        </w:rPr>
        <w:t xml:space="preserve">ul </w:t>
      </w:r>
      <w:r w:rsidR="000E0B65">
        <w:rPr>
          <w:rFonts w:cstheme="minorHAnsi"/>
          <w:lang w:val="ro-RO"/>
        </w:rPr>
        <w:t>intrării în vigoare a</w:t>
      </w:r>
      <w:r w:rsidR="00CB508E">
        <w:rPr>
          <w:rFonts w:cstheme="minorHAnsi"/>
          <w:lang w:val="ro-RO"/>
        </w:rPr>
        <w:t xml:space="preserve"> acesteia</w:t>
      </w:r>
      <w:r w:rsidRPr="000C20D2">
        <w:rPr>
          <w:rFonts w:cstheme="minorHAnsi"/>
          <w:lang w:val="ro-RO"/>
        </w:rPr>
        <w:t>.</w:t>
      </w:r>
    </w:p>
    <w:p w14:paraId="7BEA235F" w14:textId="77777777" w:rsidR="00010D9B" w:rsidRPr="000C20D2" w:rsidRDefault="00010D9B" w:rsidP="002556A5">
      <w:pPr>
        <w:spacing w:after="120" w:line="240" w:lineRule="auto"/>
        <w:jc w:val="both"/>
        <w:rPr>
          <w:rFonts w:cstheme="minorHAnsi"/>
          <w:lang w:val="ro-RO"/>
        </w:rPr>
      </w:pPr>
    </w:p>
    <w:p w14:paraId="1B54F3F1" w14:textId="651920FA" w:rsidR="000E38A9" w:rsidRPr="008610E8" w:rsidRDefault="005407BD" w:rsidP="003B672A">
      <w:pPr>
        <w:pStyle w:val="Heading1"/>
        <w:numPr>
          <w:ilvl w:val="0"/>
          <w:numId w:val="17"/>
        </w:numPr>
        <w:spacing w:before="0" w:after="120" w:line="240" w:lineRule="auto"/>
        <w:ind w:left="357" w:hanging="357"/>
        <w:rPr>
          <w:b/>
          <w:sz w:val="28"/>
          <w:lang w:val="ro-RO"/>
        </w:rPr>
      </w:pPr>
      <w:r w:rsidRPr="008610E8">
        <w:rPr>
          <w:b/>
          <w:sz w:val="28"/>
          <w:lang w:val="ro-RO"/>
        </w:rPr>
        <w:t>Context</w:t>
      </w:r>
    </w:p>
    <w:p w14:paraId="4475D766" w14:textId="3F83E8A8" w:rsidR="001743DF" w:rsidRPr="008610E8" w:rsidRDefault="001743DF" w:rsidP="000E1864">
      <w:pPr>
        <w:spacing w:after="120" w:line="240" w:lineRule="auto"/>
        <w:jc w:val="both"/>
        <w:rPr>
          <w:lang w:val="ro-RO"/>
        </w:rPr>
      </w:pPr>
      <w:r w:rsidRPr="008610E8">
        <w:rPr>
          <w:lang w:val="ro-RO"/>
        </w:rPr>
        <w:t xml:space="preserve">Indicatorii de program POCU reflectă schimbarea dorită la nivelul programului, ca urmare a implementării </w:t>
      </w:r>
      <w:r w:rsidR="000E1864" w:rsidRPr="008610E8">
        <w:rPr>
          <w:lang w:val="ro-RO"/>
        </w:rPr>
        <w:t>intervențiilor</w:t>
      </w:r>
      <w:r w:rsidRPr="008610E8">
        <w:rPr>
          <w:lang w:val="ro-RO"/>
        </w:rPr>
        <w:t xml:space="preserve"> definite, pentru a răspunde de o manieră adecvată nevoilor identificate. Neatingerea țintelor asumate înseamnă așadar că acțiunile implementate nu produc schimbarea intenționată, nevoile la nivelul populației și comunităților implicate rămânând nesatisfăcute.</w:t>
      </w:r>
    </w:p>
    <w:p w14:paraId="415B829B" w14:textId="00BEC2CF" w:rsidR="000E38A9" w:rsidRPr="008610E8" w:rsidRDefault="001743DF" w:rsidP="000E1864">
      <w:pPr>
        <w:spacing w:after="120" w:line="240" w:lineRule="auto"/>
        <w:jc w:val="both"/>
        <w:rPr>
          <w:lang w:val="ro-RO"/>
        </w:rPr>
      </w:pPr>
      <w:r w:rsidRPr="008610E8">
        <w:rPr>
          <w:lang w:val="ro-RO"/>
        </w:rPr>
        <w:t>În acest context, m</w:t>
      </w:r>
      <w:r w:rsidR="005A72F1" w:rsidRPr="008610E8">
        <w:rPr>
          <w:lang w:val="ro-RO"/>
        </w:rPr>
        <w:t>onitorizarea atingerii țintelor indicatorilor la nivel de program reprezintă un asp</w:t>
      </w:r>
      <w:r w:rsidR="001A53D1">
        <w:rPr>
          <w:lang w:val="ro-RO"/>
        </w:rPr>
        <w:t>ect cheie al implementării FSE/</w:t>
      </w:r>
      <w:r w:rsidR="005A72F1" w:rsidRPr="008610E8">
        <w:rPr>
          <w:lang w:val="ro-RO"/>
        </w:rPr>
        <w:t xml:space="preserve">POCU în perioada 2014-2020, regulamentele europene incluzând numeroase prevederi referitoare </w:t>
      </w:r>
      <w:r w:rsidR="00D67FA1" w:rsidRPr="008610E8">
        <w:rPr>
          <w:lang w:val="ro-RO"/>
        </w:rPr>
        <w:t xml:space="preserve">atât </w:t>
      </w:r>
      <w:r w:rsidR="005A72F1" w:rsidRPr="008610E8">
        <w:rPr>
          <w:lang w:val="ro-RO"/>
        </w:rPr>
        <w:t>la obligațiile st</w:t>
      </w:r>
      <w:r w:rsidR="00D67FA1" w:rsidRPr="008610E8">
        <w:rPr>
          <w:lang w:val="ro-RO"/>
        </w:rPr>
        <w:t xml:space="preserve">atelor membre de a asigura îndeplinirea rezultatelor, cât și la consecințele care decurg din nerespectarea lor. </w:t>
      </w:r>
      <w:r w:rsidR="00E21DF3" w:rsidRPr="008610E8">
        <w:rPr>
          <w:lang w:val="ro-RO"/>
        </w:rPr>
        <w:t xml:space="preserve">Atât Comisia Europeană, cât și Autoritatea de Audit și </w:t>
      </w:r>
      <w:r w:rsidR="001A53D1">
        <w:rPr>
          <w:lang w:val="ro-RO"/>
        </w:rPr>
        <w:t>AM</w:t>
      </w:r>
      <w:r w:rsidR="00E21DF3" w:rsidRPr="008610E8">
        <w:rPr>
          <w:lang w:val="ro-RO"/>
        </w:rPr>
        <w:t xml:space="preserve"> POCU monitorizează progresul în atingerea țintelor indicatorilor, pe toată durata implementării </w:t>
      </w:r>
      <w:r w:rsidR="002B4DA2">
        <w:rPr>
          <w:lang w:val="ro-RO"/>
        </w:rPr>
        <w:t>programului</w:t>
      </w:r>
      <w:r w:rsidR="00E21DF3" w:rsidRPr="008610E8">
        <w:rPr>
          <w:lang w:val="ro-RO"/>
        </w:rPr>
        <w:t>. Neatingerea țintelor asumate</w:t>
      </w:r>
      <w:r w:rsidR="00D67FA1" w:rsidRPr="008610E8">
        <w:rPr>
          <w:lang w:val="ro-RO"/>
        </w:rPr>
        <w:t xml:space="preserve"> po</w:t>
      </w:r>
      <w:r w:rsidR="00E21DF3" w:rsidRPr="008610E8">
        <w:rPr>
          <w:lang w:val="ro-RO"/>
        </w:rPr>
        <w:t>a</w:t>
      </w:r>
      <w:r w:rsidR="00D67FA1" w:rsidRPr="008610E8">
        <w:rPr>
          <w:lang w:val="ro-RO"/>
        </w:rPr>
        <w:t>t</w:t>
      </w:r>
      <w:r w:rsidR="00E21DF3" w:rsidRPr="008610E8">
        <w:rPr>
          <w:lang w:val="ro-RO"/>
        </w:rPr>
        <w:t>e</w:t>
      </w:r>
      <w:r w:rsidR="00D67FA1" w:rsidRPr="008610E8">
        <w:rPr>
          <w:lang w:val="ro-RO"/>
        </w:rPr>
        <w:t xml:space="preserve"> </w:t>
      </w:r>
      <w:r w:rsidRPr="008610E8">
        <w:rPr>
          <w:lang w:val="ro-RO"/>
        </w:rPr>
        <w:t>conduce la</w:t>
      </w:r>
      <w:r w:rsidR="00D67FA1" w:rsidRPr="008610E8">
        <w:rPr>
          <w:lang w:val="ro-RO"/>
        </w:rPr>
        <w:t xml:space="preserve"> </w:t>
      </w:r>
      <w:r w:rsidR="009A3E86" w:rsidRPr="008610E8">
        <w:rPr>
          <w:lang w:val="ro-RO"/>
        </w:rPr>
        <w:t xml:space="preserve">neacordarea rezervei de performanță, întreruperea sau suspendarea finanțării sau chiar dezangajarea fondurilor alocate. </w:t>
      </w:r>
    </w:p>
    <w:p w14:paraId="086A7E69" w14:textId="49514E6A" w:rsidR="00AF21E4" w:rsidRPr="008610E8" w:rsidRDefault="00AF21E4" w:rsidP="000E1864">
      <w:pPr>
        <w:spacing w:after="120" w:line="240" w:lineRule="auto"/>
        <w:jc w:val="both"/>
        <w:rPr>
          <w:lang w:val="ro-RO"/>
        </w:rPr>
      </w:pPr>
      <w:r w:rsidRPr="008610E8">
        <w:rPr>
          <w:lang w:val="ro-RO"/>
        </w:rPr>
        <w:t xml:space="preserve">Pentru a asigura o performanță adecvată la nivel de program, atingerea țintelor stabilite la nivelul proiectelor este esențială. </w:t>
      </w:r>
    </w:p>
    <w:p w14:paraId="3151C9F5" w14:textId="77777777" w:rsidR="000E38A9" w:rsidRPr="008610E8" w:rsidRDefault="000E38A9" w:rsidP="000E38A9">
      <w:pPr>
        <w:spacing w:after="0" w:line="240" w:lineRule="auto"/>
        <w:jc w:val="both"/>
        <w:rPr>
          <w:lang w:val="ro-RO"/>
        </w:rPr>
      </w:pPr>
    </w:p>
    <w:p w14:paraId="2BE1157D" w14:textId="34218A2F" w:rsidR="00BE1179" w:rsidRPr="008610E8" w:rsidRDefault="00BE1179" w:rsidP="00BA7476">
      <w:pPr>
        <w:pStyle w:val="Heading1"/>
        <w:numPr>
          <w:ilvl w:val="0"/>
          <w:numId w:val="17"/>
        </w:numPr>
        <w:spacing w:before="0" w:after="120" w:line="240" w:lineRule="auto"/>
        <w:ind w:left="357" w:hanging="357"/>
        <w:rPr>
          <w:b/>
          <w:sz w:val="28"/>
          <w:lang w:val="ro-RO"/>
        </w:rPr>
      </w:pPr>
      <w:r w:rsidRPr="008610E8">
        <w:rPr>
          <w:b/>
          <w:sz w:val="28"/>
          <w:lang w:val="ro-RO"/>
        </w:rPr>
        <w:t>Aspecte generale</w:t>
      </w:r>
    </w:p>
    <w:p w14:paraId="0413165D" w14:textId="3090DDF3" w:rsidR="00643991" w:rsidRPr="008610E8" w:rsidRDefault="004C2D3D" w:rsidP="00BA7476">
      <w:pPr>
        <w:spacing w:after="120" w:line="240" w:lineRule="auto"/>
        <w:jc w:val="both"/>
        <w:rPr>
          <w:rFonts w:cstheme="minorHAnsi"/>
          <w:lang w:val="ro-RO"/>
        </w:rPr>
      </w:pPr>
      <w:r w:rsidRPr="008610E8">
        <w:rPr>
          <w:rFonts w:cstheme="minorHAnsi"/>
          <w:lang w:val="ro-RO"/>
        </w:rPr>
        <w:t xml:space="preserve">În conformitate cu prevederile </w:t>
      </w:r>
      <w:r w:rsidRPr="008610E8">
        <w:rPr>
          <w:lang w:val="ro-RO"/>
        </w:rPr>
        <w:t>Contractului</w:t>
      </w:r>
      <w:r w:rsidRPr="008610E8">
        <w:rPr>
          <w:rFonts w:cstheme="minorHAnsi"/>
          <w:lang w:val="ro-RO"/>
        </w:rPr>
        <w:t xml:space="preserve"> de Finanțare, Beneficiarul este responsabil pentru atingerea țintelor </w:t>
      </w:r>
      <w:r w:rsidR="00FF4C02" w:rsidRPr="008610E8">
        <w:rPr>
          <w:rFonts w:cstheme="minorHAnsi"/>
          <w:lang w:val="ro-RO"/>
        </w:rPr>
        <w:t xml:space="preserve">indicatorilor </w:t>
      </w:r>
      <w:r w:rsidRPr="008610E8">
        <w:rPr>
          <w:rFonts w:cstheme="minorHAnsi"/>
          <w:lang w:val="ro-RO"/>
        </w:rPr>
        <w:t>asuma</w:t>
      </w:r>
      <w:r w:rsidR="0088258B" w:rsidRPr="008610E8">
        <w:rPr>
          <w:rFonts w:cstheme="minorHAnsi"/>
          <w:lang w:val="ro-RO"/>
        </w:rPr>
        <w:t xml:space="preserve">te </w:t>
      </w:r>
      <w:r w:rsidR="00593EEC" w:rsidRPr="008610E8">
        <w:rPr>
          <w:rFonts w:cstheme="minorHAnsi"/>
          <w:lang w:val="ro-RO"/>
        </w:rPr>
        <w:t xml:space="preserve">prin </w:t>
      </w:r>
      <w:r w:rsidR="00607951" w:rsidRPr="008610E8">
        <w:rPr>
          <w:rFonts w:cstheme="minorHAnsi"/>
          <w:lang w:val="ro-RO"/>
        </w:rPr>
        <w:t>C</w:t>
      </w:r>
      <w:r w:rsidR="00593EEC" w:rsidRPr="008610E8">
        <w:rPr>
          <w:rFonts w:cstheme="minorHAnsi"/>
          <w:lang w:val="ro-RO"/>
        </w:rPr>
        <w:t>ererea de finanțare, anex</w:t>
      </w:r>
      <w:r w:rsidR="00776D76">
        <w:rPr>
          <w:rFonts w:cstheme="minorHAnsi"/>
          <w:lang w:val="ro-RO"/>
        </w:rPr>
        <w:t xml:space="preserve">ată </w:t>
      </w:r>
      <w:r w:rsidR="00607951" w:rsidRPr="008610E8">
        <w:rPr>
          <w:rFonts w:cstheme="minorHAnsi"/>
          <w:lang w:val="ro-RO"/>
        </w:rPr>
        <w:t>C</w:t>
      </w:r>
      <w:r w:rsidRPr="008610E8">
        <w:rPr>
          <w:rFonts w:cstheme="minorHAnsi"/>
          <w:lang w:val="ro-RO"/>
        </w:rPr>
        <w:t>ontractul</w:t>
      </w:r>
      <w:r w:rsidR="00776D76">
        <w:rPr>
          <w:rFonts w:cstheme="minorHAnsi"/>
          <w:lang w:val="ro-RO"/>
        </w:rPr>
        <w:t xml:space="preserve">ui </w:t>
      </w:r>
      <w:r w:rsidR="00593EEC" w:rsidRPr="008610E8">
        <w:rPr>
          <w:rFonts w:cstheme="minorHAnsi"/>
          <w:lang w:val="ro-RO"/>
        </w:rPr>
        <w:t>de finanțare</w:t>
      </w:r>
      <w:r w:rsidR="00AD4632" w:rsidRPr="008610E8">
        <w:rPr>
          <w:rFonts w:cstheme="minorHAnsi"/>
          <w:lang w:val="ro-RO"/>
        </w:rPr>
        <w:t xml:space="preserve">. </w:t>
      </w:r>
      <w:r w:rsidR="00861EDF" w:rsidRPr="008610E8">
        <w:rPr>
          <w:rFonts w:cstheme="minorHAnsi"/>
          <w:lang w:val="ro-RO"/>
        </w:rPr>
        <w:t xml:space="preserve">În acest sens, Beneficiarul va depune toate diligențele pentru îndeplinirea activităților proiectului, pentru monitorizarea stadiului de îndeplinire a indicatorilor și pentru </w:t>
      </w:r>
      <w:r w:rsidR="00874C57" w:rsidRPr="008610E8">
        <w:rPr>
          <w:rFonts w:cstheme="minorHAnsi"/>
          <w:lang w:val="ro-RO"/>
        </w:rPr>
        <w:t>adoptarea unor</w:t>
      </w:r>
      <w:r w:rsidR="00593EEC" w:rsidRPr="008610E8">
        <w:rPr>
          <w:rFonts w:cstheme="minorHAnsi"/>
          <w:lang w:val="ro-RO"/>
        </w:rPr>
        <w:t xml:space="preserve"> </w:t>
      </w:r>
      <w:r w:rsidR="00861EDF" w:rsidRPr="008610E8">
        <w:rPr>
          <w:rFonts w:cstheme="minorHAnsi"/>
          <w:lang w:val="ro-RO"/>
        </w:rPr>
        <w:t>măsuri</w:t>
      </w:r>
      <w:r w:rsidR="00593EEC" w:rsidRPr="008610E8">
        <w:rPr>
          <w:rFonts w:cstheme="minorHAnsi"/>
          <w:lang w:val="ro-RO"/>
        </w:rPr>
        <w:t xml:space="preserve"> corective </w:t>
      </w:r>
      <w:r w:rsidR="00593EEC" w:rsidRPr="008610E8">
        <w:rPr>
          <w:rFonts w:cstheme="minorHAnsi"/>
          <w:lang w:val="ro-RO"/>
        </w:rPr>
        <w:lastRenderedPageBreak/>
        <w:t>în mod</w:t>
      </w:r>
      <w:r w:rsidR="00861EDF" w:rsidRPr="008610E8">
        <w:rPr>
          <w:rFonts w:cstheme="minorHAnsi"/>
          <w:lang w:val="ro-RO"/>
        </w:rPr>
        <w:t xml:space="preserve"> proacti</w:t>
      </w:r>
      <w:r w:rsidR="00593EEC" w:rsidRPr="008610E8">
        <w:rPr>
          <w:rFonts w:cstheme="minorHAnsi"/>
          <w:lang w:val="ro-RO"/>
        </w:rPr>
        <w:t>v</w:t>
      </w:r>
      <w:r w:rsidR="00861EDF" w:rsidRPr="008610E8">
        <w:rPr>
          <w:rFonts w:cstheme="minorHAnsi"/>
          <w:lang w:val="ro-RO"/>
        </w:rPr>
        <w:t xml:space="preserve">. </w:t>
      </w:r>
      <w:r w:rsidR="00CB27A1" w:rsidRPr="008610E8">
        <w:rPr>
          <w:rFonts w:cstheme="minorHAnsi"/>
          <w:lang w:val="ro-RO"/>
        </w:rPr>
        <w:t xml:space="preserve">Totodată, </w:t>
      </w:r>
      <w:r w:rsidR="00F93837" w:rsidRPr="008610E8">
        <w:rPr>
          <w:rFonts w:cstheme="minorHAnsi"/>
          <w:lang w:val="ro-RO"/>
        </w:rPr>
        <w:t xml:space="preserve">Beneficiarul </w:t>
      </w:r>
      <w:r w:rsidR="00BD2934">
        <w:rPr>
          <w:rFonts w:cstheme="minorHAnsi"/>
          <w:lang w:val="ro-RO"/>
        </w:rPr>
        <w:t>va</w:t>
      </w:r>
      <w:r w:rsidR="00F93837" w:rsidRPr="008610E8">
        <w:rPr>
          <w:rFonts w:cstheme="minorHAnsi"/>
          <w:lang w:val="ro-RO"/>
        </w:rPr>
        <w:t xml:space="preserve"> </w:t>
      </w:r>
      <w:r w:rsidR="00BD2934" w:rsidRPr="008610E8">
        <w:rPr>
          <w:rFonts w:cstheme="minorHAnsi"/>
          <w:lang w:val="ro-RO"/>
        </w:rPr>
        <w:t>colec</w:t>
      </w:r>
      <w:r w:rsidR="001A53D1">
        <w:rPr>
          <w:rFonts w:cstheme="minorHAnsi"/>
          <w:lang w:val="ro-RO"/>
        </w:rPr>
        <w:t>ta și va pune la dispoziția OI/</w:t>
      </w:r>
      <w:r w:rsidR="00BD2934" w:rsidRPr="008610E8">
        <w:rPr>
          <w:rFonts w:cstheme="minorHAnsi"/>
          <w:lang w:val="ro-RO"/>
        </w:rPr>
        <w:t>AM toate documentele justificative necesare pentru demonstrarea atingerii țintelor</w:t>
      </w:r>
      <w:r w:rsidR="00BD2934">
        <w:rPr>
          <w:rFonts w:cstheme="minorHAnsi"/>
          <w:lang w:val="ro-RO"/>
        </w:rPr>
        <w:t xml:space="preserve"> asumate și</w:t>
      </w:r>
      <w:r w:rsidR="001A53D1">
        <w:rPr>
          <w:rFonts w:cstheme="minorHAnsi"/>
          <w:lang w:val="ro-RO"/>
        </w:rPr>
        <w:t xml:space="preserve"> va</w:t>
      </w:r>
      <w:r w:rsidR="00BD2934" w:rsidRPr="00BA2F13">
        <w:rPr>
          <w:rFonts w:cstheme="minorHAnsi"/>
          <w:lang w:val="ro-RO"/>
        </w:rPr>
        <w:t xml:space="preserve"> </w:t>
      </w:r>
      <w:r w:rsidR="00F93837" w:rsidRPr="008610E8">
        <w:rPr>
          <w:rFonts w:cstheme="minorHAnsi"/>
          <w:lang w:val="ro-RO"/>
        </w:rPr>
        <w:t xml:space="preserve">semnala ofițerului de </w:t>
      </w:r>
      <w:r w:rsidR="00C43144">
        <w:rPr>
          <w:rFonts w:cstheme="minorHAnsi"/>
          <w:lang w:val="ro-RO"/>
        </w:rPr>
        <w:t>proiect</w:t>
      </w:r>
      <w:r w:rsidR="00C43144" w:rsidRPr="008610E8">
        <w:rPr>
          <w:rFonts w:cstheme="minorHAnsi"/>
          <w:lang w:val="ro-RO"/>
        </w:rPr>
        <w:t xml:space="preserve"> </w:t>
      </w:r>
      <w:r w:rsidR="00F93837" w:rsidRPr="008610E8">
        <w:rPr>
          <w:rFonts w:cstheme="minorHAnsi"/>
          <w:lang w:val="ro-RO"/>
        </w:rPr>
        <w:t xml:space="preserve">orice situație problematică sau orice obstacol în atingerea </w:t>
      </w:r>
      <w:r w:rsidR="00BD2934">
        <w:rPr>
          <w:rFonts w:cstheme="minorHAnsi"/>
          <w:lang w:val="ro-RO"/>
        </w:rPr>
        <w:t>acestora.</w:t>
      </w:r>
      <w:r w:rsidR="00F93837" w:rsidRPr="008610E8">
        <w:rPr>
          <w:rFonts w:cstheme="minorHAnsi"/>
          <w:lang w:val="ro-RO"/>
        </w:rPr>
        <w:t xml:space="preserve"> </w:t>
      </w:r>
    </w:p>
    <w:p w14:paraId="1087501A" w14:textId="6EEDF165" w:rsidR="00C21C15" w:rsidRDefault="001A53D1" w:rsidP="00FC2259">
      <w:pPr>
        <w:spacing w:after="120" w:line="240" w:lineRule="auto"/>
        <w:jc w:val="both"/>
        <w:rPr>
          <w:rFonts w:cstheme="minorHAnsi"/>
          <w:lang w:val="ro-RO"/>
        </w:rPr>
      </w:pPr>
      <w:r>
        <w:rPr>
          <w:rFonts w:cstheme="minorHAnsi"/>
          <w:lang w:val="ro-RO"/>
        </w:rPr>
        <w:t>OI/</w:t>
      </w:r>
      <w:r w:rsidR="00E502E3" w:rsidRPr="008610E8">
        <w:rPr>
          <w:rFonts w:cstheme="minorHAnsi"/>
          <w:lang w:val="ro-RO"/>
        </w:rPr>
        <w:t xml:space="preserve">AM, </w:t>
      </w:r>
      <w:r w:rsidR="00E502E3" w:rsidRPr="00C43144">
        <w:rPr>
          <w:rFonts w:cstheme="minorHAnsi"/>
          <w:lang w:val="ro-RO"/>
        </w:rPr>
        <w:t xml:space="preserve">prin ofițerul de </w:t>
      </w:r>
      <w:r w:rsidR="00C43144" w:rsidRPr="00C43144">
        <w:rPr>
          <w:rFonts w:cstheme="minorHAnsi"/>
          <w:lang w:val="ro-RO"/>
        </w:rPr>
        <w:t xml:space="preserve">proiect </w:t>
      </w:r>
      <w:r w:rsidR="00E502E3" w:rsidRPr="00C43144">
        <w:rPr>
          <w:rFonts w:cstheme="minorHAnsi"/>
          <w:lang w:val="ro-RO"/>
        </w:rPr>
        <w:t>desemnat</w:t>
      </w:r>
      <w:r w:rsidR="00E502E3" w:rsidRPr="008610E8">
        <w:rPr>
          <w:rFonts w:cstheme="minorHAnsi"/>
          <w:lang w:val="ro-RO"/>
        </w:rPr>
        <w:t xml:space="preserve">, </w:t>
      </w:r>
      <w:r w:rsidR="00247E3E">
        <w:rPr>
          <w:rFonts w:cstheme="minorHAnsi"/>
          <w:lang w:val="ro-RO"/>
        </w:rPr>
        <w:t xml:space="preserve">pe baza informațiilor furnizate de către Beneficiar și în urma activităților specifice de monitorizare, </w:t>
      </w:r>
      <w:r w:rsidR="00E502E3" w:rsidRPr="008610E8">
        <w:rPr>
          <w:rFonts w:cstheme="minorHAnsi"/>
          <w:lang w:val="ro-RO"/>
        </w:rPr>
        <w:t xml:space="preserve">va </w:t>
      </w:r>
      <w:r w:rsidR="00247E3E">
        <w:rPr>
          <w:rFonts w:cstheme="minorHAnsi"/>
          <w:lang w:val="ro-RO"/>
        </w:rPr>
        <w:t>urmări</w:t>
      </w:r>
      <w:r w:rsidR="00247E3E" w:rsidRPr="008610E8">
        <w:rPr>
          <w:rFonts w:cstheme="minorHAnsi"/>
          <w:lang w:val="ro-RO"/>
        </w:rPr>
        <w:t xml:space="preserve"> </w:t>
      </w:r>
      <w:r w:rsidR="00E502E3" w:rsidRPr="008610E8">
        <w:rPr>
          <w:rFonts w:cstheme="minorHAnsi"/>
          <w:lang w:val="ro-RO"/>
        </w:rPr>
        <w:t>și va evalua stadiul îndeplinirii indicatorilor</w:t>
      </w:r>
      <w:r w:rsidR="00593EEC" w:rsidRPr="008610E8">
        <w:rPr>
          <w:rFonts w:cstheme="minorHAnsi"/>
          <w:lang w:val="ro-RO"/>
        </w:rPr>
        <w:t xml:space="preserve"> pentru fiecare proiect</w:t>
      </w:r>
      <w:r w:rsidR="00E502E3" w:rsidRPr="008610E8">
        <w:rPr>
          <w:rFonts w:cstheme="minorHAnsi"/>
          <w:lang w:val="ro-RO"/>
        </w:rPr>
        <w:t>, prin comparație cu țintele asumate</w:t>
      </w:r>
      <w:r w:rsidR="00D3267A" w:rsidRPr="008610E8">
        <w:rPr>
          <w:rFonts w:cstheme="minorHAnsi"/>
          <w:lang w:val="ro-RO"/>
        </w:rPr>
        <w:t xml:space="preserve"> prin Cererea de Finanțare</w:t>
      </w:r>
      <w:r w:rsidR="00214F63" w:rsidRPr="008610E8">
        <w:rPr>
          <w:rFonts w:cstheme="minorHAnsi"/>
          <w:lang w:val="ro-RO"/>
        </w:rPr>
        <w:t>.</w:t>
      </w:r>
      <w:r w:rsidR="00593EEC" w:rsidRPr="008610E8">
        <w:rPr>
          <w:rFonts w:cstheme="minorHAnsi"/>
          <w:lang w:val="ro-RO"/>
        </w:rPr>
        <w:t xml:space="preserve"> </w:t>
      </w:r>
    </w:p>
    <w:p w14:paraId="3E0B1420" w14:textId="2F5C6B12" w:rsidR="008E4A26" w:rsidRDefault="00C21C15" w:rsidP="00C45FCD">
      <w:pPr>
        <w:spacing w:after="120" w:line="240" w:lineRule="auto"/>
        <w:jc w:val="both"/>
        <w:rPr>
          <w:rFonts w:cstheme="minorHAnsi"/>
          <w:lang w:val="ro-RO"/>
        </w:rPr>
      </w:pPr>
      <w:r>
        <w:rPr>
          <w:rFonts w:cstheme="minorHAnsi"/>
          <w:lang w:val="ro-RO"/>
        </w:rPr>
        <w:t xml:space="preserve">Beneficiarul și ofițerul de </w:t>
      </w:r>
      <w:r w:rsidR="00C43144">
        <w:rPr>
          <w:rFonts w:cstheme="minorHAnsi"/>
          <w:lang w:val="ro-RO"/>
        </w:rPr>
        <w:t xml:space="preserve">proiect </w:t>
      </w:r>
      <w:r>
        <w:rPr>
          <w:rFonts w:cstheme="minorHAnsi"/>
          <w:lang w:val="ro-RO"/>
        </w:rPr>
        <w:t xml:space="preserve">vor </w:t>
      </w:r>
      <w:r w:rsidR="00635F60">
        <w:rPr>
          <w:rFonts w:cstheme="minorHAnsi"/>
          <w:lang w:val="ro-RO"/>
        </w:rPr>
        <w:t xml:space="preserve">colabora pentru a </w:t>
      </w:r>
      <w:r w:rsidR="003B672A">
        <w:rPr>
          <w:rFonts w:cstheme="minorHAnsi"/>
          <w:lang w:val="ro-RO"/>
        </w:rPr>
        <w:t>identifica</w:t>
      </w:r>
      <w:r w:rsidR="00C54623">
        <w:rPr>
          <w:rFonts w:cstheme="minorHAnsi"/>
          <w:lang w:val="ro-RO"/>
        </w:rPr>
        <w:t xml:space="preserve">, </w:t>
      </w:r>
      <w:r w:rsidR="00C54623" w:rsidRPr="008610E8">
        <w:rPr>
          <w:rFonts w:cstheme="minorHAnsi"/>
          <w:lang w:val="ro-RO"/>
        </w:rPr>
        <w:t>încă din stadiu incipient</w:t>
      </w:r>
      <w:r w:rsidR="00C54623">
        <w:rPr>
          <w:rFonts w:cstheme="minorHAnsi"/>
          <w:lang w:val="ro-RO"/>
        </w:rPr>
        <w:t>,</w:t>
      </w:r>
      <w:r w:rsidR="003B672A">
        <w:rPr>
          <w:rFonts w:cstheme="minorHAnsi"/>
          <w:lang w:val="ro-RO"/>
        </w:rPr>
        <w:t xml:space="preserve"> </w:t>
      </w:r>
      <w:r w:rsidR="00593EEC" w:rsidRPr="008610E8">
        <w:rPr>
          <w:rFonts w:cstheme="minorHAnsi"/>
          <w:lang w:val="ro-RO"/>
        </w:rPr>
        <w:t>orice</w:t>
      </w:r>
      <w:r w:rsidR="00874C57" w:rsidRPr="008610E8">
        <w:rPr>
          <w:rFonts w:cstheme="minorHAnsi"/>
          <w:lang w:val="ro-RO"/>
        </w:rPr>
        <w:t xml:space="preserve"> </w:t>
      </w:r>
      <w:r w:rsidR="00214F63" w:rsidRPr="008610E8">
        <w:rPr>
          <w:rFonts w:cstheme="minorHAnsi"/>
          <w:lang w:val="ro-RO"/>
        </w:rPr>
        <w:t>diferențe semnificative</w:t>
      </w:r>
      <w:r w:rsidR="00593EEC" w:rsidRPr="008610E8">
        <w:rPr>
          <w:rFonts w:cstheme="minorHAnsi"/>
          <w:lang w:val="ro-RO"/>
        </w:rPr>
        <w:t xml:space="preserve"> între țintele asumate și cele efectiv realizate, precum și</w:t>
      </w:r>
      <w:r w:rsidR="0088258B" w:rsidRPr="008610E8">
        <w:rPr>
          <w:rFonts w:cstheme="minorHAnsi"/>
          <w:lang w:val="ro-RO"/>
        </w:rPr>
        <w:t xml:space="preserve"> </w:t>
      </w:r>
      <w:r w:rsidR="00706060">
        <w:rPr>
          <w:rFonts w:cstheme="minorHAnsi"/>
          <w:lang w:val="ro-RO"/>
        </w:rPr>
        <w:t>eventualele riscuri</w:t>
      </w:r>
      <w:r w:rsidR="00214F63" w:rsidRPr="008610E8">
        <w:rPr>
          <w:rFonts w:cstheme="minorHAnsi"/>
          <w:lang w:val="ro-RO"/>
        </w:rPr>
        <w:t xml:space="preserve"> de natură să pună în pericol atingerea țintelor</w:t>
      </w:r>
      <w:r w:rsidR="00C54623">
        <w:rPr>
          <w:rFonts w:cstheme="minorHAnsi"/>
          <w:lang w:val="ro-RO"/>
        </w:rPr>
        <w:t>.</w:t>
      </w:r>
      <w:r w:rsidR="00FC2259">
        <w:rPr>
          <w:rFonts w:cstheme="minorHAnsi"/>
          <w:lang w:val="ro-RO"/>
        </w:rPr>
        <w:t xml:space="preserve"> </w:t>
      </w:r>
      <w:r w:rsidR="008E4A26" w:rsidRPr="00C43144">
        <w:rPr>
          <w:rFonts w:cstheme="minorHAnsi"/>
          <w:lang w:val="ro-RO"/>
        </w:rPr>
        <w:t>Toate aspectele vor fi discutate și se vor agrea măsuri de redresare, mergând până la modificarea Contractului de Finanțare, prin act adițional.</w:t>
      </w:r>
    </w:p>
    <w:p w14:paraId="5DBBE013" w14:textId="77777777" w:rsidR="008E4A26" w:rsidRDefault="008E4A26" w:rsidP="00C45FCD">
      <w:pPr>
        <w:spacing w:after="120" w:line="240" w:lineRule="auto"/>
        <w:jc w:val="both"/>
        <w:rPr>
          <w:rFonts w:cstheme="minorHAnsi"/>
          <w:lang w:val="ro-RO"/>
        </w:rPr>
      </w:pPr>
      <w:r w:rsidRPr="008E4A26">
        <w:rPr>
          <w:rFonts w:cstheme="minorHAnsi"/>
          <w:b/>
          <w:lang w:val="ro-RO"/>
        </w:rPr>
        <w:t>Notă:</w:t>
      </w:r>
      <w:r>
        <w:rPr>
          <w:rFonts w:cstheme="minorHAnsi"/>
          <w:lang w:val="ro-RO"/>
        </w:rPr>
        <w:t xml:space="preserve"> Pe parcursul implementării, prin act adițional, se vor putea diminua țintele pentru indicatori și, proporțional, bugetul proiectului. Țintele indicatorilor nu se vor diminua sub pragul minim stabilit prin Ghidul solicitantului condiții specifice, dacă acestea există. </w:t>
      </w:r>
    </w:p>
    <w:p w14:paraId="40BC1786" w14:textId="07844CA9" w:rsidR="00D07774" w:rsidRPr="008B28A9" w:rsidRDefault="00FA0986" w:rsidP="00BA7476">
      <w:pPr>
        <w:spacing w:after="120" w:line="240" w:lineRule="auto"/>
        <w:jc w:val="both"/>
        <w:rPr>
          <w:rFonts w:cstheme="minorHAnsi"/>
          <w:lang w:val="ro-RO"/>
        </w:rPr>
      </w:pPr>
      <w:r w:rsidRPr="008610E8">
        <w:rPr>
          <w:rFonts w:cstheme="minorHAnsi"/>
          <w:lang w:val="ro-RO"/>
        </w:rPr>
        <w:t xml:space="preserve">Dacă la data încheierii proiectului se constată </w:t>
      </w:r>
      <w:r w:rsidR="007C75D5" w:rsidRPr="008610E8">
        <w:rPr>
          <w:rFonts w:cstheme="minorHAnsi"/>
          <w:lang w:val="ro-RO"/>
        </w:rPr>
        <w:t xml:space="preserve">diferențe între țintele atinse și cele asumate inițial pentru indicatori, </w:t>
      </w:r>
      <w:r w:rsidR="008C39D7" w:rsidRPr="008610E8">
        <w:rPr>
          <w:rFonts w:cstheme="minorHAnsi"/>
          <w:lang w:val="ro-RO"/>
        </w:rPr>
        <w:t xml:space="preserve">se vor </w:t>
      </w:r>
      <w:r w:rsidR="008C39D7" w:rsidRPr="008B28A9">
        <w:rPr>
          <w:rFonts w:cstheme="minorHAnsi"/>
          <w:lang w:val="ro-RO"/>
        </w:rPr>
        <w:t>aplica măsuri</w:t>
      </w:r>
      <w:r w:rsidR="00103EBF" w:rsidRPr="008B28A9">
        <w:rPr>
          <w:rFonts w:cstheme="minorHAnsi"/>
          <w:lang w:val="ro-RO"/>
        </w:rPr>
        <w:t xml:space="preserve">le prevăzute </w:t>
      </w:r>
      <w:r w:rsidR="00B30C78" w:rsidRPr="008B28A9">
        <w:rPr>
          <w:rFonts w:cstheme="minorHAnsi"/>
          <w:lang w:val="ro-RO"/>
        </w:rPr>
        <w:t>prin</w:t>
      </w:r>
      <w:r w:rsidR="001965F6" w:rsidRPr="008B28A9">
        <w:rPr>
          <w:rFonts w:cstheme="minorHAnsi"/>
          <w:lang w:val="ro-RO"/>
        </w:rPr>
        <w:t xml:space="preserve"> prezenta</w:t>
      </w:r>
      <w:r w:rsidR="00D96F7C" w:rsidRPr="008B28A9">
        <w:rPr>
          <w:rFonts w:cstheme="minorHAnsi"/>
          <w:lang w:val="ro-RO"/>
        </w:rPr>
        <w:t xml:space="preserve"> </w:t>
      </w:r>
      <w:r w:rsidR="001965F6" w:rsidRPr="008B28A9">
        <w:rPr>
          <w:rFonts w:cstheme="minorHAnsi"/>
          <w:lang w:val="ro-RO"/>
        </w:rPr>
        <w:t>metodologie</w:t>
      </w:r>
      <w:r w:rsidR="00BF35F4" w:rsidRPr="008B28A9">
        <w:rPr>
          <w:rFonts w:cstheme="minorHAnsi"/>
          <w:lang w:val="ro-RO"/>
        </w:rPr>
        <w:t>.</w:t>
      </w:r>
      <w:r w:rsidR="00C10528" w:rsidRPr="008B28A9">
        <w:rPr>
          <w:rFonts w:cstheme="minorHAnsi"/>
          <w:lang w:val="ro-RO"/>
        </w:rPr>
        <w:t xml:space="preserve"> </w:t>
      </w:r>
    </w:p>
    <w:p w14:paraId="77D6ABF0" w14:textId="1B5FBA67" w:rsidR="00C10528" w:rsidRPr="00C10528" w:rsidRDefault="00C10528" w:rsidP="00BA7476">
      <w:pPr>
        <w:spacing w:after="120" w:line="240" w:lineRule="auto"/>
        <w:jc w:val="both"/>
        <w:rPr>
          <w:rFonts w:cstheme="minorHAnsi"/>
          <w:lang w:val="ro-RO"/>
        </w:rPr>
      </w:pPr>
      <w:r w:rsidRPr="008B28A9">
        <w:rPr>
          <w:rFonts w:cstheme="minorHAnsi"/>
          <w:b/>
          <w:lang w:val="ro-RO"/>
        </w:rPr>
        <w:t>Notă</w:t>
      </w:r>
      <w:r w:rsidRPr="008B28A9">
        <w:rPr>
          <w:rFonts w:cstheme="minorHAnsi"/>
          <w:lang w:val="ro-RO"/>
        </w:rPr>
        <w:t xml:space="preserve">: </w:t>
      </w:r>
      <w:r w:rsidRPr="008B28A9">
        <w:rPr>
          <w:lang w:val="ro-RO"/>
        </w:rPr>
        <w:t>Conform art.</w:t>
      </w:r>
      <w:r w:rsidR="001A53D1">
        <w:rPr>
          <w:lang w:val="ro-RO"/>
        </w:rPr>
        <w:t xml:space="preserve"> </w:t>
      </w:r>
      <w:r w:rsidRPr="008B28A9">
        <w:rPr>
          <w:lang w:val="ro-RO"/>
        </w:rPr>
        <w:t xml:space="preserve">4 pct. b) alin. (5) din Condițiile specifice ale Contractului de Finanțare, </w:t>
      </w:r>
      <w:r w:rsidRPr="008B28A9">
        <w:rPr>
          <w:i/>
          <w:lang w:val="ro-RO"/>
        </w:rPr>
        <w:t>“În cazul ultimei cereri de rambursare a proiectului, termenul prevăzut la alin. (2) poate fi prelungit cu durata necesară efectuării tuturor verificărilor procedurale specifice autorizării plății</w:t>
      </w:r>
      <w:r w:rsidRPr="00C10528">
        <w:rPr>
          <w:i/>
          <w:lang w:val="ro-RO"/>
        </w:rPr>
        <w:t xml:space="preserve"> finale, fără a depăși însă 90 de zile</w:t>
      </w:r>
      <w:r w:rsidRPr="00C10528">
        <w:rPr>
          <w:lang w:val="ro-RO"/>
        </w:rPr>
        <w:t>.”</w:t>
      </w:r>
      <w:r>
        <w:rPr>
          <w:lang w:val="ro-RO"/>
        </w:rPr>
        <w:t xml:space="preserve"> În </w:t>
      </w:r>
      <w:r w:rsidR="00F16082">
        <w:rPr>
          <w:lang w:val="ro-RO"/>
        </w:rPr>
        <w:t>cazul în care indicatori</w:t>
      </w:r>
      <w:r w:rsidR="004B3403">
        <w:rPr>
          <w:lang w:val="ro-RO"/>
        </w:rPr>
        <w:t>i</w:t>
      </w:r>
      <w:r w:rsidR="00F16082">
        <w:rPr>
          <w:lang w:val="ro-RO"/>
        </w:rPr>
        <w:t xml:space="preserve"> </w:t>
      </w:r>
      <w:r w:rsidR="004B3403">
        <w:rPr>
          <w:lang w:val="ro-RO"/>
        </w:rPr>
        <w:t xml:space="preserve">de rezultat imediat se colectează în termen de patru săptămâni de la încheierea operațiunii, </w:t>
      </w:r>
      <w:r w:rsidR="00F9054F">
        <w:rPr>
          <w:lang w:val="ro-RO"/>
        </w:rPr>
        <w:t xml:space="preserve">se va proceda la prelungirea termenului de autorizare a cheltuielilor eligibile, pentru a permite colectarea indicatorilor. </w:t>
      </w:r>
    </w:p>
    <w:p w14:paraId="1B401344" w14:textId="2DA1AE2E" w:rsidR="008A791D" w:rsidRPr="0009571C" w:rsidRDefault="00B25A12" w:rsidP="008A791D">
      <w:pPr>
        <w:spacing w:after="120" w:line="240" w:lineRule="auto"/>
        <w:jc w:val="both"/>
        <w:rPr>
          <w:rFonts w:cstheme="minorHAnsi"/>
          <w:lang w:val="ro-RO"/>
        </w:rPr>
      </w:pPr>
      <w:r>
        <w:rPr>
          <w:rFonts w:cstheme="minorHAnsi"/>
          <w:lang w:val="ro-RO"/>
        </w:rPr>
        <w:t>Ț</w:t>
      </w:r>
      <w:r w:rsidRPr="000C20D2">
        <w:rPr>
          <w:rFonts w:cstheme="minorHAnsi"/>
          <w:lang w:val="ro-RO"/>
        </w:rPr>
        <w:t>inând seama de faptul că</w:t>
      </w:r>
      <w:r w:rsidR="00C3752A">
        <w:rPr>
          <w:rFonts w:cstheme="minorHAnsi"/>
          <w:lang w:val="ro-RO"/>
        </w:rPr>
        <w:t xml:space="preserve"> </w:t>
      </w:r>
      <w:r w:rsidRPr="000C20D2">
        <w:rPr>
          <w:rFonts w:cstheme="minorHAnsi"/>
          <w:lang w:val="ro-RO"/>
        </w:rPr>
        <w:t xml:space="preserve">indicatorii de rezultat pe termen mai lung se colectează la o anumită perioadă după finalizarea sprijinului (de regulă șase luni) iar </w:t>
      </w:r>
      <w:r w:rsidR="0071580A">
        <w:rPr>
          <w:rFonts w:cstheme="minorHAnsi"/>
          <w:lang w:val="ro-RO"/>
        </w:rPr>
        <w:t xml:space="preserve">în unele cazuri acest termen depășește durata efectivă de </w:t>
      </w:r>
      <w:r w:rsidR="0071580A" w:rsidRPr="0009571C">
        <w:rPr>
          <w:rFonts w:cstheme="minorHAnsi"/>
          <w:lang w:val="ro-RO"/>
        </w:rPr>
        <w:t xml:space="preserve">implementare a proiectelor, </w:t>
      </w:r>
      <w:r w:rsidRPr="0009571C">
        <w:rPr>
          <w:rFonts w:cstheme="minorHAnsi"/>
          <w:lang w:val="ro-RO"/>
        </w:rPr>
        <w:t>mecanismele de recuperare a fondurilor</w:t>
      </w:r>
      <w:r w:rsidR="0071580A" w:rsidRPr="0009571C">
        <w:rPr>
          <w:rFonts w:cstheme="minorHAnsi"/>
          <w:lang w:val="ro-RO"/>
        </w:rPr>
        <w:t xml:space="preserve"> pot fi</w:t>
      </w:r>
      <w:r w:rsidRPr="0009571C">
        <w:rPr>
          <w:rFonts w:cstheme="minorHAnsi"/>
          <w:lang w:val="ro-RO"/>
        </w:rPr>
        <w:t xml:space="preserve"> diferite. În cazul în care, după finalizarea proiectului, se constată neîndeplinirea țintelor aferente </w:t>
      </w:r>
      <w:r w:rsidR="00266AD8" w:rsidRPr="0009571C">
        <w:rPr>
          <w:rFonts w:cstheme="minorHAnsi"/>
          <w:lang w:val="ro-RO"/>
        </w:rPr>
        <w:t>indicatorilor pe termen mai lung</w:t>
      </w:r>
      <w:r w:rsidRPr="0009571C">
        <w:rPr>
          <w:rFonts w:cstheme="minorHAnsi"/>
          <w:lang w:val="ro-RO"/>
        </w:rPr>
        <w:t>, se vor lua măsuri în conformitate cu procedurile referitoare la asigurarea sustenabilității intervențiilor POCU.</w:t>
      </w:r>
    </w:p>
    <w:tbl>
      <w:tblPr>
        <w:tblStyle w:val="TableGrid"/>
        <w:tblW w:w="0" w:type="auto"/>
        <w:tblLook w:val="04A0" w:firstRow="1" w:lastRow="0" w:firstColumn="1" w:lastColumn="0" w:noHBand="0" w:noVBand="1"/>
      </w:tblPr>
      <w:tblGrid>
        <w:gridCol w:w="8966"/>
      </w:tblGrid>
      <w:tr w:rsidR="008A791D" w14:paraId="0A4D6BA3" w14:textId="77777777" w:rsidTr="008A791D">
        <w:tc>
          <w:tcPr>
            <w:tcW w:w="9549" w:type="dxa"/>
            <w:tcBorders>
              <w:top w:val="single" w:sz="24" w:space="0" w:color="1F3864" w:themeColor="accent5" w:themeShade="80"/>
              <w:left w:val="single" w:sz="24" w:space="0" w:color="1F3864" w:themeColor="accent5" w:themeShade="80"/>
              <w:bottom w:val="single" w:sz="24" w:space="0" w:color="1F3864" w:themeColor="accent5" w:themeShade="80"/>
              <w:right w:val="single" w:sz="24" w:space="0" w:color="1F3864" w:themeColor="accent5" w:themeShade="80"/>
            </w:tcBorders>
          </w:tcPr>
          <w:p w14:paraId="4D9A6C56" w14:textId="77777777" w:rsidR="008A791D" w:rsidRPr="008A791D" w:rsidRDefault="008A791D" w:rsidP="008A791D">
            <w:pPr>
              <w:widowControl w:val="0"/>
              <w:autoSpaceDE w:val="0"/>
              <w:autoSpaceDN w:val="0"/>
              <w:adjustRightInd w:val="0"/>
              <w:spacing w:after="120"/>
              <w:jc w:val="both"/>
              <w:rPr>
                <w:rFonts w:ascii="Calibri" w:hAnsi="Calibri" w:cs="Times"/>
                <w:b/>
                <w:lang w:val="en-US"/>
              </w:rPr>
            </w:pPr>
            <w:r w:rsidRPr="008A791D">
              <w:rPr>
                <w:rFonts w:ascii="Calibri" w:hAnsi="Calibri" w:cs="Times"/>
                <w:b/>
                <w:lang w:val="en-US"/>
              </w:rPr>
              <w:t>Pentru proiectele care nu au indicatori de rezultat pe termen mai lung, gradul de îndeplinire a indicatorilor se analizează la finalul proiectului.</w:t>
            </w:r>
          </w:p>
          <w:p w14:paraId="3D553E8D" w14:textId="3A355BC6" w:rsidR="008A791D" w:rsidRPr="008A791D" w:rsidRDefault="008A791D" w:rsidP="00A7056C">
            <w:pPr>
              <w:widowControl w:val="0"/>
              <w:autoSpaceDE w:val="0"/>
              <w:autoSpaceDN w:val="0"/>
              <w:adjustRightInd w:val="0"/>
              <w:spacing w:after="120"/>
              <w:jc w:val="both"/>
              <w:rPr>
                <w:rFonts w:ascii="Times" w:hAnsi="Times" w:cs="Times"/>
                <w:sz w:val="24"/>
                <w:szCs w:val="24"/>
                <w:lang w:val="en-US"/>
              </w:rPr>
            </w:pPr>
            <w:r w:rsidRPr="008A791D">
              <w:rPr>
                <w:rFonts w:ascii="Calibri" w:hAnsi="Calibri" w:cs="Times"/>
                <w:b/>
                <w:lang w:val="en-US"/>
              </w:rPr>
              <w:t>Pentru proiectele care includ indicatori de rezultat pe termen mai lung, a căror colectare depășește durata contractului de finanțare, gradul de îndeplinire a indicatorilor se analizează la momentul colectării indicatorilor de rezultat pe termen mai lung</w:t>
            </w:r>
            <w:r w:rsidR="00C21C2D">
              <w:rPr>
                <w:rFonts w:ascii="Calibri" w:hAnsi="Calibri" w:cs="Times"/>
                <w:b/>
                <w:lang w:val="en-US"/>
              </w:rPr>
              <w:t xml:space="preserve">, </w:t>
            </w:r>
            <w:r w:rsidR="00D64D93">
              <w:rPr>
                <w:rFonts w:ascii="Calibri" w:hAnsi="Calibri" w:cs="Times"/>
                <w:b/>
                <w:lang w:val="en-US"/>
              </w:rPr>
              <w:t>indiferent dacă aceasta se întâmplă pe parcursul perioadei de implementare a proiectului, sau în perioada de sustenabilitate.</w:t>
            </w:r>
            <w:r w:rsidR="00C21C2D">
              <w:rPr>
                <w:rFonts w:ascii="Calibri" w:hAnsi="Calibri" w:cs="Times"/>
                <w:b/>
                <w:lang w:val="en-US"/>
              </w:rPr>
              <w:t xml:space="preserve"> Momentul colectării indicatorilor de rezultat pe termen mai lung este stabilit conform </w:t>
            </w:r>
            <w:r w:rsidR="00A7056C">
              <w:rPr>
                <w:rFonts w:ascii="Calibri" w:hAnsi="Calibri" w:cs="Times"/>
                <w:b/>
                <w:lang w:val="en-US"/>
              </w:rPr>
              <w:t>prevederilor</w:t>
            </w:r>
            <w:r w:rsidR="00C21C2D">
              <w:rPr>
                <w:rFonts w:ascii="Calibri" w:hAnsi="Calibri" w:cs="Times"/>
                <w:b/>
                <w:lang w:val="en-US"/>
              </w:rPr>
              <w:t xml:space="preserve"> ghidul</w:t>
            </w:r>
            <w:r w:rsidR="00A7056C">
              <w:rPr>
                <w:rFonts w:ascii="Calibri" w:hAnsi="Calibri" w:cs="Times"/>
                <w:b/>
                <w:lang w:val="en-US"/>
              </w:rPr>
              <w:t>ui</w:t>
            </w:r>
            <w:r w:rsidR="00C21C2D">
              <w:rPr>
                <w:rFonts w:ascii="Calibri" w:hAnsi="Calibri" w:cs="Times"/>
                <w:b/>
                <w:lang w:val="en-US"/>
              </w:rPr>
              <w:t xml:space="preserve">-condiții specifice </w:t>
            </w:r>
            <w:r w:rsidR="00A7056C">
              <w:rPr>
                <w:rFonts w:ascii="Calibri" w:hAnsi="Calibri" w:cs="Times"/>
                <w:b/>
                <w:lang w:val="en-US"/>
              </w:rPr>
              <w:t>af</w:t>
            </w:r>
            <w:r w:rsidR="00C21C2D">
              <w:rPr>
                <w:rFonts w:ascii="Calibri" w:hAnsi="Calibri" w:cs="Times"/>
                <w:b/>
                <w:lang w:val="en-US"/>
              </w:rPr>
              <w:t>erent apelului în care este finanțat proiectul.</w:t>
            </w:r>
          </w:p>
        </w:tc>
      </w:tr>
    </w:tbl>
    <w:p w14:paraId="26F0ED09" w14:textId="0773A6ED" w:rsidR="000B248A" w:rsidRPr="008610E8" w:rsidRDefault="000B248A" w:rsidP="00107257">
      <w:pPr>
        <w:spacing w:after="120" w:line="240" w:lineRule="auto"/>
        <w:jc w:val="both"/>
        <w:rPr>
          <w:rFonts w:cstheme="minorHAnsi"/>
          <w:lang w:val="ro-RO"/>
        </w:rPr>
      </w:pPr>
    </w:p>
    <w:p w14:paraId="3501C634" w14:textId="40EF6B57" w:rsidR="00C1223D" w:rsidRPr="008610E8" w:rsidRDefault="00330ED7" w:rsidP="002C1A87">
      <w:pPr>
        <w:pStyle w:val="Heading1"/>
        <w:numPr>
          <w:ilvl w:val="0"/>
          <w:numId w:val="17"/>
        </w:numPr>
        <w:spacing w:before="0" w:line="240" w:lineRule="auto"/>
        <w:rPr>
          <w:b/>
          <w:sz w:val="28"/>
          <w:lang w:val="ro-RO"/>
        </w:rPr>
      </w:pPr>
      <w:r w:rsidRPr="008610E8">
        <w:rPr>
          <w:b/>
          <w:sz w:val="28"/>
          <w:lang w:val="ro-RO"/>
        </w:rPr>
        <w:t>Calculul gradului de îndeplinire a țintelor indicatorilor</w:t>
      </w:r>
    </w:p>
    <w:p w14:paraId="47A312CF" w14:textId="55318277" w:rsidR="000E38A9" w:rsidRDefault="000B248A" w:rsidP="003829CC">
      <w:pPr>
        <w:spacing w:before="120" w:after="0" w:line="240" w:lineRule="auto"/>
        <w:jc w:val="both"/>
        <w:rPr>
          <w:lang w:val="ro-RO"/>
        </w:rPr>
      </w:pPr>
      <w:r w:rsidRPr="008610E8">
        <w:rPr>
          <w:lang w:val="ro-RO"/>
        </w:rPr>
        <w:t xml:space="preserve">Gradul de îndeplinire a indicatorilor (GI) se calculează </w:t>
      </w:r>
      <w:r w:rsidR="009D7C30" w:rsidRPr="008610E8">
        <w:rPr>
          <w:lang w:val="ro-RO"/>
        </w:rPr>
        <w:t xml:space="preserve">prin </w:t>
      </w:r>
      <w:r w:rsidR="00623CD9" w:rsidRPr="008610E8">
        <w:rPr>
          <w:lang w:val="ro-RO"/>
        </w:rPr>
        <w:t>raportarea</w:t>
      </w:r>
      <w:r w:rsidR="009D7C30" w:rsidRPr="008610E8">
        <w:rPr>
          <w:lang w:val="ro-RO"/>
        </w:rPr>
        <w:t xml:space="preserve"> valorilor obținute în </w:t>
      </w:r>
      <w:r w:rsidR="001743DF" w:rsidRPr="008610E8">
        <w:rPr>
          <w:lang w:val="ro-RO"/>
        </w:rPr>
        <w:t>urma</w:t>
      </w:r>
      <w:r w:rsidR="009D7C30" w:rsidRPr="008610E8">
        <w:rPr>
          <w:lang w:val="ro-RO"/>
        </w:rPr>
        <w:t xml:space="preserve"> implementării </w:t>
      </w:r>
      <w:r w:rsidR="001743DF" w:rsidRPr="008610E8">
        <w:rPr>
          <w:lang w:val="ro-RO"/>
        </w:rPr>
        <w:t xml:space="preserve">proiectului </w:t>
      </w:r>
      <w:r w:rsidR="00623CD9" w:rsidRPr="008610E8">
        <w:rPr>
          <w:lang w:val="ro-RO"/>
        </w:rPr>
        <w:t>la</w:t>
      </w:r>
      <w:r w:rsidR="009D7C30" w:rsidRPr="008610E8">
        <w:rPr>
          <w:lang w:val="ro-RO"/>
        </w:rPr>
        <w:t xml:space="preserve"> cele asumate prin Cererea de Finanțare, an</w:t>
      </w:r>
      <w:r w:rsidR="00CF31BA" w:rsidRPr="008610E8">
        <w:rPr>
          <w:lang w:val="ro-RO"/>
        </w:rPr>
        <w:t xml:space="preserve">exată </w:t>
      </w:r>
      <w:r w:rsidR="00FA447F" w:rsidRPr="008610E8">
        <w:rPr>
          <w:lang w:val="ro-RO"/>
        </w:rPr>
        <w:t>Contractului de Fin</w:t>
      </w:r>
      <w:r w:rsidR="00244C49" w:rsidRPr="008610E8">
        <w:rPr>
          <w:lang w:val="ro-RO"/>
        </w:rPr>
        <w:t>anțare</w:t>
      </w:r>
      <w:r w:rsidR="00CF31BA" w:rsidRPr="008610E8">
        <w:rPr>
          <w:lang w:val="ro-RO"/>
        </w:rPr>
        <w:t>.</w:t>
      </w:r>
      <w:r w:rsidR="00107257">
        <w:rPr>
          <w:lang w:val="ro-RO"/>
        </w:rPr>
        <w:t xml:space="preserve"> </w:t>
      </w:r>
    </w:p>
    <w:p w14:paraId="6766DFED" w14:textId="77777777" w:rsidR="008A791D" w:rsidRPr="008610E8" w:rsidRDefault="008A791D" w:rsidP="003829CC">
      <w:pPr>
        <w:spacing w:before="120" w:after="0" w:line="240" w:lineRule="auto"/>
        <w:jc w:val="both"/>
        <w:rPr>
          <w:lang w:val="ro-RO"/>
        </w:rPr>
      </w:pPr>
    </w:p>
    <w:p w14:paraId="29A17621" w14:textId="1EC825D8" w:rsidR="00FC4820" w:rsidRPr="008610E8" w:rsidRDefault="002C1A87" w:rsidP="000E38A9">
      <w:pPr>
        <w:pStyle w:val="Heading2"/>
        <w:spacing w:before="0" w:line="240" w:lineRule="auto"/>
        <w:rPr>
          <w:lang w:val="ro-RO"/>
        </w:rPr>
      </w:pPr>
      <w:r w:rsidRPr="008610E8">
        <w:rPr>
          <w:lang w:val="ro-RO"/>
        </w:rPr>
        <w:t>4</w:t>
      </w:r>
      <w:r w:rsidR="00BE1179" w:rsidRPr="008610E8">
        <w:rPr>
          <w:lang w:val="ro-RO"/>
        </w:rPr>
        <w:t>.1. Gradul de îndeplinire l</w:t>
      </w:r>
      <w:r w:rsidR="00FC4820" w:rsidRPr="008610E8">
        <w:rPr>
          <w:lang w:val="ro-RO"/>
        </w:rPr>
        <w:t>a nivel de proiect (global)</w:t>
      </w:r>
    </w:p>
    <w:p w14:paraId="6D125414" w14:textId="77777777" w:rsidR="003504B2" w:rsidRDefault="003504B2" w:rsidP="003504B2">
      <w:pPr>
        <w:spacing w:after="0" w:line="240" w:lineRule="auto"/>
        <w:jc w:val="both"/>
        <w:rPr>
          <w:rFonts w:cstheme="minorHAnsi"/>
          <w:lang w:val="ro-RO"/>
        </w:rPr>
      </w:pPr>
    </w:p>
    <w:p w14:paraId="2C7DB194" w14:textId="6D3FDD52" w:rsidR="003504B2" w:rsidRPr="008610E8" w:rsidRDefault="003504B2" w:rsidP="003504B2">
      <w:pPr>
        <w:spacing w:after="0" w:line="240" w:lineRule="auto"/>
        <w:jc w:val="both"/>
        <w:rPr>
          <w:rFonts w:cstheme="minorHAnsi"/>
          <w:lang w:val="ro-RO"/>
        </w:rPr>
      </w:pPr>
      <w:r w:rsidRPr="00666D66">
        <w:rPr>
          <w:rFonts w:cstheme="minorHAnsi"/>
          <w:lang w:val="ro-RO"/>
        </w:rPr>
        <w:t xml:space="preserve">Performanța implementării POCU este monitorizată, în primul rând, prin prisma rezultatelor obținute, măsurate prin indicatori. În cazul neîndeplinirii țintelor, se aplică măsuri corective la nivelul </w:t>
      </w:r>
      <w:r w:rsidRPr="00666D66">
        <w:rPr>
          <w:rFonts w:cstheme="minorHAnsi"/>
          <w:lang w:val="ro-RO"/>
        </w:rPr>
        <w:lastRenderedPageBreak/>
        <w:t>programului</w:t>
      </w:r>
      <w:r>
        <w:rPr>
          <w:rFonts w:cstheme="minorHAnsi"/>
          <w:lang w:val="ro-RO"/>
        </w:rPr>
        <w:t xml:space="preserve">. </w:t>
      </w:r>
      <w:r w:rsidRPr="00666D66">
        <w:rPr>
          <w:rFonts w:cstheme="minorHAnsi"/>
          <w:lang w:val="ro-RO"/>
        </w:rPr>
        <w:t>Proiectele sunt elementele de bază prin care se realizează implementarea PO, așadar obținerea rezultatelor asumate la nivelul acestora este esențială pentru succesul programului.</w:t>
      </w:r>
      <w:r>
        <w:rPr>
          <w:rFonts w:cstheme="minorHAnsi"/>
          <w:lang w:val="ro-RO"/>
        </w:rPr>
        <w:t xml:space="preserve"> </w:t>
      </w:r>
      <w:r w:rsidRPr="008610E8">
        <w:rPr>
          <w:rFonts w:cstheme="minorHAnsi"/>
          <w:lang w:val="ro-RO"/>
        </w:rPr>
        <w:t>Dincolo de implementarea adecvată a proiect</w:t>
      </w:r>
      <w:r w:rsidR="00EE2F19">
        <w:rPr>
          <w:rFonts w:cstheme="minorHAnsi"/>
          <w:lang w:val="ro-RO"/>
        </w:rPr>
        <w:t>elor</w:t>
      </w:r>
      <w:r w:rsidRPr="008610E8">
        <w:rPr>
          <w:rFonts w:cstheme="minorHAnsi"/>
          <w:lang w:val="ro-RO"/>
        </w:rPr>
        <w:t xml:space="preserve"> (reflectată de evoluția indicatorilor de realizare), accentul la nivel european este pus pe producerea schimbării, fiind încurajată orientarea către rezultate a implementării operațiunilor finanțate prin fonduri UE (inclusiv din POCU).</w:t>
      </w:r>
    </w:p>
    <w:p w14:paraId="323DA914" w14:textId="797DAEEE" w:rsidR="00AE78C6" w:rsidRPr="008610E8" w:rsidRDefault="00E76AF6" w:rsidP="000E38A9">
      <w:pPr>
        <w:spacing w:before="120" w:after="0" w:line="240" w:lineRule="auto"/>
        <w:jc w:val="both"/>
        <w:rPr>
          <w:rFonts w:cstheme="minorHAnsi"/>
          <w:lang w:val="ro-RO"/>
        </w:rPr>
      </w:pPr>
      <w:r w:rsidRPr="008610E8">
        <w:rPr>
          <w:rFonts w:cstheme="minorHAnsi"/>
          <w:lang w:val="ro-RO"/>
        </w:rPr>
        <w:t xml:space="preserve">Gradul de îndeplinire a indicatorilor la nivelul proiectului </w:t>
      </w:r>
      <w:r w:rsidR="005D52D9" w:rsidRPr="008610E8">
        <w:rPr>
          <w:rFonts w:cstheme="minorHAnsi"/>
          <w:color w:val="2E74B5" w:themeColor="accent1" w:themeShade="BF"/>
          <w:lang w:val="ro-RO"/>
        </w:rPr>
        <w:t xml:space="preserve">(GI </w:t>
      </w:r>
      <w:r w:rsidR="00712E30">
        <w:rPr>
          <w:rFonts w:cstheme="minorHAnsi"/>
          <w:color w:val="2E74B5" w:themeColor="accent1" w:themeShade="BF"/>
          <w:lang w:val="ro-RO"/>
        </w:rPr>
        <w:t xml:space="preserve"> global</w:t>
      </w:r>
      <w:r w:rsidR="005D52D9" w:rsidRPr="008610E8">
        <w:rPr>
          <w:rFonts w:cstheme="minorHAnsi"/>
          <w:color w:val="2E74B5" w:themeColor="accent1" w:themeShade="BF"/>
          <w:lang w:val="ro-RO"/>
        </w:rPr>
        <w:t xml:space="preserve">) </w:t>
      </w:r>
      <w:r w:rsidRPr="008610E8">
        <w:rPr>
          <w:rFonts w:cstheme="minorHAnsi"/>
          <w:lang w:val="ro-RO"/>
        </w:rPr>
        <w:t xml:space="preserve">se calculează luând în calcul gradul de îndeplinire a tuturor indicatorilor, </w:t>
      </w:r>
      <w:r w:rsidR="005D52D9" w:rsidRPr="008610E8">
        <w:rPr>
          <w:rFonts w:cstheme="minorHAnsi"/>
          <w:lang w:val="ro-RO"/>
        </w:rPr>
        <w:t xml:space="preserve">împărțiți în </w:t>
      </w:r>
      <w:r w:rsidR="00B56B6B" w:rsidRPr="008610E8">
        <w:rPr>
          <w:rFonts w:cstheme="minorHAnsi"/>
          <w:lang w:val="ro-RO"/>
        </w:rPr>
        <w:t xml:space="preserve">două </w:t>
      </w:r>
      <w:r w:rsidR="005D52D9" w:rsidRPr="008610E8">
        <w:rPr>
          <w:rFonts w:cstheme="minorHAnsi"/>
          <w:lang w:val="ro-RO"/>
        </w:rPr>
        <w:t>categorii</w:t>
      </w:r>
      <w:r w:rsidR="001743DF" w:rsidRPr="008610E8">
        <w:rPr>
          <w:rFonts w:cstheme="minorHAnsi"/>
          <w:lang w:val="ro-RO"/>
        </w:rPr>
        <w:t xml:space="preserve"> principale</w:t>
      </w:r>
      <w:r w:rsidR="005D52D9" w:rsidRPr="008610E8">
        <w:rPr>
          <w:rFonts w:cstheme="minorHAnsi"/>
          <w:lang w:val="ro-RO"/>
        </w:rPr>
        <w:t xml:space="preserve">: </w:t>
      </w:r>
    </w:p>
    <w:p w14:paraId="028C3CFC" w14:textId="461A8D4C" w:rsidR="00AE78C6" w:rsidRPr="008610E8" w:rsidRDefault="00B56B6B" w:rsidP="000E38A9">
      <w:pPr>
        <w:pStyle w:val="ListParagraph"/>
        <w:numPr>
          <w:ilvl w:val="0"/>
          <w:numId w:val="13"/>
        </w:numPr>
        <w:spacing w:before="60" w:after="0" w:line="240" w:lineRule="auto"/>
        <w:ind w:left="714" w:hanging="357"/>
        <w:contextualSpacing w:val="0"/>
        <w:jc w:val="both"/>
        <w:rPr>
          <w:rFonts w:cstheme="minorHAnsi"/>
          <w:lang w:val="ro-RO"/>
        </w:rPr>
      </w:pPr>
      <w:r w:rsidRPr="00A34B8C">
        <w:rPr>
          <w:rFonts w:cstheme="minorHAnsi"/>
          <w:b/>
          <w:lang w:val="ro-RO"/>
        </w:rPr>
        <w:t>I</w:t>
      </w:r>
      <w:r w:rsidR="005D52D9" w:rsidRPr="00A34B8C">
        <w:rPr>
          <w:rFonts w:cstheme="minorHAnsi"/>
          <w:b/>
          <w:lang w:val="ro-RO"/>
        </w:rPr>
        <w:t>ndicatori de realizare</w:t>
      </w:r>
      <w:r w:rsidR="001743DF" w:rsidRPr="00A34B8C">
        <w:rPr>
          <w:rFonts w:cstheme="minorHAnsi"/>
          <w:b/>
          <w:lang w:val="ro-RO"/>
        </w:rPr>
        <w:t xml:space="preserve">, care reflectă progresul în </w:t>
      </w:r>
      <w:r w:rsidR="00A34B8C">
        <w:rPr>
          <w:rFonts w:cstheme="minorHAnsi"/>
          <w:b/>
          <w:lang w:val="ro-RO"/>
        </w:rPr>
        <w:t>derularea activităților</w:t>
      </w:r>
      <w:r w:rsidR="00A34B8C" w:rsidRPr="00A34B8C">
        <w:rPr>
          <w:rFonts w:cstheme="minorHAnsi"/>
          <w:b/>
          <w:lang w:val="ro-RO"/>
        </w:rPr>
        <w:t xml:space="preserve"> </w:t>
      </w:r>
      <w:r w:rsidR="001743DF" w:rsidRPr="00A34B8C">
        <w:rPr>
          <w:rFonts w:cstheme="minorHAnsi"/>
          <w:b/>
          <w:lang w:val="ro-RO"/>
        </w:rPr>
        <w:t>proiectului</w:t>
      </w:r>
      <w:r w:rsidR="001743DF" w:rsidRPr="008610E8">
        <w:rPr>
          <w:rFonts w:cstheme="minorHAnsi"/>
          <w:lang w:val="ro-RO"/>
        </w:rPr>
        <w:t xml:space="preserve"> (ex. nr. participanți, nr. servicii sprijinite etc.)</w:t>
      </w:r>
    </w:p>
    <w:p w14:paraId="4464E3D5" w14:textId="0C2217D7" w:rsidR="00595EAE" w:rsidRDefault="00B56B6B" w:rsidP="003504B2">
      <w:pPr>
        <w:pStyle w:val="ListParagraph"/>
        <w:numPr>
          <w:ilvl w:val="0"/>
          <w:numId w:val="13"/>
        </w:numPr>
        <w:spacing w:after="120" w:line="240" w:lineRule="auto"/>
        <w:ind w:left="714" w:hanging="357"/>
        <w:contextualSpacing w:val="0"/>
        <w:jc w:val="both"/>
        <w:rPr>
          <w:rFonts w:cstheme="minorHAnsi"/>
          <w:lang w:val="ro-RO"/>
        </w:rPr>
      </w:pPr>
      <w:r w:rsidRPr="00121829">
        <w:rPr>
          <w:rFonts w:cstheme="minorHAnsi"/>
          <w:b/>
          <w:lang w:val="ro-RO"/>
        </w:rPr>
        <w:t>I</w:t>
      </w:r>
      <w:r w:rsidR="005D52D9" w:rsidRPr="00121829">
        <w:rPr>
          <w:rFonts w:cstheme="minorHAnsi"/>
          <w:b/>
          <w:lang w:val="ro-RO"/>
        </w:rPr>
        <w:t>ndicatori de rezultat</w:t>
      </w:r>
      <w:r w:rsidR="001743DF" w:rsidRPr="00121829">
        <w:rPr>
          <w:rFonts w:cstheme="minorHAnsi"/>
          <w:b/>
          <w:lang w:val="ro-RO"/>
        </w:rPr>
        <w:t>, care reflectă schimbarea intenționată</w:t>
      </w:r>
      <w:r w:rsidR="001743DF" w:rsidRPr="008610E8">
        <w:rPr>
          <w:rFonts w:cstheme="minorHAnsi"/>
          <w:lang w:val="ro-RO"/>
        </w:rPr>
        <w:t xml:space="preserve"> </w:t>
      </w:r>
      <w:r w:rsidR="00121829" w:rsidRPr="00121829">
        <w:rPr>
          <w:rFonts w:cstheme="minorHAnsi"/>
          <w:b/>
          <w:lang w:val="ro-RO"/>
        </w:rPr>
        <w:t>prin implementarea proiectului</w:t>
      </w:r>
      <w:r w:rsidR="00121829">
        <w:rPr>
          <w:rFonts w:cstheme="minorHAnsi"/>
          <w:lang w:val="ro-RO"/>
        </w:rPr>
        <w:t xml:space="preserve"> </w:t>
      </w:r>
      <w:r w:rsidR="001743DF" w:rsidRPr="008610E8">
        <w:rPr>
          <w:rFonts w:cstheme="minorHAnsi"/>
          <w:lang w:val="ro-RO"/>
        </w:rPr>
        <w:t>(ex. nr. participanți care au dobândit o calificare în urma participării la operațiune)</w:t>
      </w:r>
    </w:p>
    <w:p w14:paraId="54E8BD00" w14:textId="03AB8164" w:rsidR="004A79E7" w:rsidRDefault="00595EAE" w:rsidP="001A53D1">
      <w:pPr>
        <w:spacing w:after="240" w:line="240" w:lineRule="auto"/>
        <w:jc w:val="both"/>
        <w:rPr>
          <w:rFonts w:cstheme="minorHAnsi"/>
          <w:b/>
          <w:i/>
          <w:color w:val="FF0000"/>
          <w:lang w:val="ro-RO"/>
        </w:rPr>
      </w:pPr>
      <w:r w:rsidRPr="00595EAE">
        <w:rPr>
          <w:rFonts w:cstheme="minorHAnsi"/>
          <w:lang w:val="ro-RO"/>
        </w:rPr>
        <w:t xml:space="preserve">Indicatorii de rezultat, sunt, la rândul lor, de două tipuri: </w:t>
      </w:r>
      <w:r w:rsidRPr="00121829">
        <w:rPr>
          <w:rFonts w:cstheme="minorHAnsi"/>
          <w:b/>
          <w:lang w:val="ro-RO"/>
        </w:rPr>
        <w:t>indicatori de rezultat imediat</w:t>
      </w:r>
      <w:r w:rsidRPr="00595EAE">
        <w:rPr>
          <w:rFonts w:cstheme="minorHAnsi"/>
          <w:lang w:val="ro-RO"/>
        </w:rPr>
        <w:t xml:space="preserve"> (colectați la încetarea sprijinului) și </w:t>
      </w:r>
      <w:r w:rsidRPr="00121829">
        <w:rPr>
          <w:rFonts w:cstheme="minorHAnsi"/>
          <w:b/>
          <w:lang w:val="ro-RO"/>
        </w:rPr>
        <w:t>indicatori de rezultat pe termen mai lung</w:t>
      </w:r>
      <w:r w:rsidRPr="00595EAE">
        <w:rPr>
          <w:rFonts w:cstheme="minorHAnsi"/>
          <w:lang w:val="ro-RO"/>
        </w:rPr>
        <w:t xml:space="preserve"> (colectați la o anumită perioadă de la încetarea sprijinului, de regulă 6 luni). </w:t>
      </w:r>
    </w:p>
    <w:tbl>
      <w:tblPr>
        <w:tblStyle w:val="TableGrid"/>
        <w:tblW w:w="0" w:type="auto"/>
        <w:tblBorders>
          <w:top w:val="single" w:sz="24" w:space="0" w:color="1F4E79" w:themeColor="accent1" w:themeShade="80"/>
          <w:left w:val="single" w:sz="24" w:space="0" w:color="1F4E79" w:themeColor="accent1" w:themeShade="80"/>
          <w:bottom w:val="single" w:sz="24" w:space="0" w:color="1F4E79" w:themeColor="accent1" w:themeShade="80"/>
          <w:right w:val="single" w:sz="24" w:space="0" w:color="1F4E79" w:themeColor="accent1" w:themeShade="80"/>
          <w:insideH w:val="none" w:sz="0" w:space="0" w:color="auto"/>
          <w:insideV w:val="none" w:sz="0" w:space="0" w:color="auto"/>
        </w:tblBorders>
        <w:tblLook w:val="04A0" w:firstRow="1" w:lastRow="0" w:firstColumn="1" w:lastColumn="0" w:noHBand="0" w:noVBand="1"/>
      </w:tblPr>
      <w:tblGrid>
        <w:gridCol w:w="8966"/>
      </w:tblGrid>
      <w:tr w:rsidR="00B03F9B" w14:paraId="1C9CB05C" w14:textId="77777777" w:rsidTr="00B03F9B">
        <w:tc>
          <w:tcPr>
            <w:tcW w:w="9323" w:type="dxa"/>
          </w:tcPr>
          <w:p w14:paraId="734C4C15" w14:textId="093CB00C" w:rsidR="00B03F9B" w:rsidRPr="00F00E84" w:rsidRDefault="00B03F9B" w:rsidP="00B03F9B">
            <w:pPr>
              <w:spacing w:after="120"/>
              <w:jc w:val="both"/>
              <w:rPr>
                <w:rFonts w:cstheme="minorHAnsi"/>
                <w:b/>
                <w:lang w:val="ro-RO"/>
              </w:rPr>
            </w:pPr>
            <w:r w:rsidRPr="00B03F9B">
              <w:rPr>
                <w:rFonts w:cstheme="minorHAnsi"/>
                <w:b/>
                <w:lang w:val="ro-RO"/>
              </w:rPr>
              <w:t>Di</w:t>
            </w:r>
            <w:r w:rsidRPr="0032784D">
              <w:rPr>
                <w:rFonts w:cstheme="minorHAnsi"/>
                <w:b/>
                <w:lang w:val="ro-RO"/>
              </w:rPr>
              <w:t>feritele categorii de indicatori corespunzătoare unui proiect POCU au ponderi diferite în calculul gradului de îndeplinire global la nivelul proiectului.</w:t>
            </w:r>
            <w:r w:rsidRPr="008610E8">
              <w:rPr>
                <w:rFonts w:cstheme="minorHAnsi"/>
                <w:lang w:val="ro-RO"/>
              </w:rPr>
              <w:t xml:space="preserve"> </w:t>
            </w:r>
            <w:r w:rsidRPr="00F00E84">
              <w:rPr>
                <w:rFonts w:cstheme="minorHAnsi"/>
                <w:b/>
                <w:lang w:val="ro-RO"/>
              </w:rPr>
              <w:t>Astfel:</w:t>
            </w:r>
          </w:p>
          <w:p w14:paraId="510FB1F2" w14:textId="20BDA04B" w:rsidR="00B03F9B" w:rsidRDefault="00B03F9B" w:rsidP="00B03F9B">
            <w:pPr>
              <w:pStyle w:val="ListParagraph"/>
              <w:numPr>
                <w:ilvl w:val="0"/>
                <w:numId w:val="18"/>
              </w:numPr>
              <w:jc w:val="both"/>
              <w:rPr>
                <w:rFonts w:cstheme="minorHAnsi"/>
                <w:b/>
                <w:lang w:val="ro-RO"/>
              </w:rPr>
            </w:pPr>
            <w:r w:rsidRPr="00B03F9B">
              <w:rPr>
                <w:rFonts w:cstheme="minorHAnsi"/>
                <w:b/>
                <w:lang w:val="ro-RO"/>
              </w:rPr>
              <w:t xml:space="preserve">indicatorii de rezultat (imediat și pe termen mai lung) </w:t>
            </w:r>
            <w:r w:rsidR="007A3E6F">
              <w:rPr>
                <w:rFonts w:cstheme="minorHAnsi"/>
                <w:b/>
                <w:lang w:val="ro-RO"/>
              </w:rPr>
              <w:t>au</w:t>
            </w:r>
            <w:r w:rsidRPr="00B03F9B">
              <w:rPr>
                <w:rFonts w:cstheme="minorHAnsi"/>
                <w:b/>
                <w:lang w:val="ro-RO"/>
              </w:rPr>
              <w:t xml:space="preserve"> o pondere</w:t>
            </w:r>
            <w:r w:rsidR="007A3E6F">
              <w:rPr>
                <w:rFonts w:cstheme="minorHAnsi"/>
                <w:b/>
                <w:lang w:val="ro-RO"/>
              </w:rPr>
              <w:t xml:space="preserve"> cumulată</w:t>
            </w:r>
            <w:r w:rsidRPr="00B03F9B">
              <w:rPr>
                <w:rFonts w:cstheme="minorHAnsi"/>
                <w:b/>
                <w:lang w:val="ro-RO"/>
              </w:rPr>
              <w:t xml:space="preserve"> de 60%</w:t>
            </w:r>
            <w:r w:rsidR="00A83092">
              <w:rPr>
                <w:rFonts w:cstheme="minorHAnsi"/>
                <w:b/>
                <w:lang w:val="ro-RO"/>
              </w:rPr>
              <w:t xml:space="preserve"> la nivelul proiectului</w:t>
            </w:r>
            <w:r w:rsidR="007A3E6F">
              <w:rPr>
                <w:rFonts w:cstheme="minorHAnsi"/>
                <w:b/>
                <w:lang w:val="ro-RO"/>
              </w:rPr>
              <w:t>;</w:t>
            </w:r>
          </w:p>
          <w:p w14:paraId="445EF07C" w14:textId="4386407E" w:rsidR="007A3E6F" w:rsidRDefault="007A3E6F" w:rsidP="00EE2F19">
            <w:pPr>
              <w:pStyle w:val="ListParagraph"/>
              <w:numPr>
                <w:ilvl w:val="1"/>
                <w:numId w:val="18"/>
              </w:numPr>
              <w:jc w:val="both"/>
              <w:rPr>
                <w:rFonts w:cstheme="minorHAnsi"/>
                <w:b/>
                <w:lang w:val="ro-RO"/>
              </w:rPr>
            </w:pPr>
            <w:r>
              <w:rPr>
                <w:rFonts w:cstheme="minorHAnsi"/>
                <w:b/>
                <w:lang w:val="ro-RO"/>
              </w:rPr>
              <w:t>indicatorii de rezultat imediat au o pondere de 36%</w:t>
            </w:r>
            <w:r w:rsidR="00EE2F19">
              <w:rPr>
                <w:rFonts w:cstheme="minorHAnsi"/>
                <w:b/>
                <w:lang w:val="ro-RO"/>
              </w:rPr>
              <w:t xml:space="preserve"> (respectiv 60% din ponderea totală a indicatorilor de rezultat)</w:t>
            </w:r>
            <w:r>
              <w:rPr>
                <w:rFonts w:cstheme="minorHAnsi"/>
                <w:b/>
                <w:lang w:val="ro-RO"/>
              </w:rPr>
              <w:t>;</w:t>
            </w:r>
          </w:p>
          <w:p w14:paraId="325E5EC3" w14:textId="0EC7942F" w:rsidR="007A3E6F" w:rsidRPr="00B03F9B" w:rsidRDefault="007A3E6F" w:rsidP="00EE2F19">
            <w:pPr>
              <w:pStyle w:val="ListParagraph"/>
              <w:numPr>
                <w:ilvl w:val="1"/>
                <w:numId w:val="18"/>
              </w:numPr>
              <w:jc w:val="both"/>
              <w:rPr>
                <w:rFonts w:cstheme="minorHAnsi"/>
                <w:b/>
                <w:lang w:val="ro-RO"/>
              </w:rPr>
            </w:pPr>
            <w:r>
              <w:rPr>
                <w:rFonts w:cstheme="minorHAnsi"/>
                <w:b/>
                <w:lang w:val="ro-RO"/>
              </w:rPr>
              <w:t>indicatorii de rezultat pe termen mai lung au o pondere de 24%</w:t>
            </w:r>
            <w:r w:rsidR="00EE2F19">
              <w:rPr>
                <w:rFonts w:cstheme="minorHAnsi"/>
                <w:b/>
                <w:lang w:val="ro-RO"/>
              </w:rPr>
              <w:t xml:space="preserve"> (respectiv 40% din ponderea totală a indicatorilor de rezultat</w:t>
            </w:r>
            <w:r w:rsidR="00D01151">
              <w:rPr>
                <w:rFonts w:cstheme="minorHAnsi"/>
                <w:b/>
                <w:lang w:val="ro-RO"/>
              </w:rPr>
              <w:t>;</w:t>
            </w:r>
            <w:r>
              <w:rPr>
                <w:rFonts w:cstheme="minorHAnsi"/>
                <w:b/>
                <w:lang w:val="ro-RO"/>
              </w:rPr>
              <w:t xml:space="preserve">  </w:t>
            </w:r>
          </w:p>
          <w:p w14:paraId="6E53B6E7" w14:textId="25BB1140" w:rsidR="00B03F9B" w:rsidRDefault="00B03F9B" w:rsidP="00B30C78">
            <w:pPr>
              <w:pStyle w:val="ListParagraph"/>
              <w:numPr>
                <w:ilvl w:val="0"/>
                <w:numId w:val="18"/>
              </w:numPr>
              <w:spacing w:after="120"/>
              <w:ind w:left="714" w:hanging="357"/>
              <w:jc w:val="both"/>
              <w:rPr>
                <w:rFonts w:cstheme="minorHAnsi"/>
                <w:b/>
                <w:lang w:val="ro-RO"/>
              </w:rPr>
            </w:pPr>
            <w:r w:rsidRPr="00B03F9B">
              <w:rPr>
                <w:rFonts w:cstheme="minorHAnsi"/>
                <w:b/>
                <w:lang w:val="ro-RO"/>
              </w:rPr>
              <w:t xml:space="preserve">indicatorii de realizare </w:t>
            </w:r>
            <w:r w:rsidR="00D01151">
              <w:rPr>
                <w:rFonts w:cstheme="minorHAnsi"/>
                <w:b/>
                <w:lang w:val="ro-RO"/>
              </w:rPr>
              <w:t>au</w:t>
            </w:r>
            <w:r w:rsidRPr="00B03F9B">
              <w:rPr>
                <w:rFonts w:cstheme="minorHAnsi"/>
                <w:b/>
                <w:lang w:val="ro-RO"/>
              </w:rPr>
              <w:t xml:space="preserve"> o pondere </w:t>
            </w:r>
            <w:r w:rsidR="00EE2F19">
              <w:rPr>
                <w:rFonts w:cstheme="minorHAnsi"/>
                <w:b/>
                <w:lang w:val="ro-RO"/>
              </w:rPr>
              <w:t xml:space="preserve">cumulată </w:t>
            </w:r>
            <w:r w:rsidRPr="00B03F9B">
              <w:rPr>
                <w:rFonts w:cstheme="minorHAnsi"/>
                <w:b/>
                <w:lang w:val="ro-RO"/>
              </w:rPr>
              <w:t>de 40%</w:t>
            </w:r>
            <w:r w:rsidR="00A83092">
              <w:rPr>
                <w:rFonts w:cstheme="minorHAnsi"/>
                <w:b/>
                <w:lang w:val="ro-RO"/>
              </w:rPr>
              <w:t xml:space="preserve"> la nivelul proiectului</w:t>
            </w:r>
          </w:p>
        </w:tc>
      </w:tr>
    </w:tbl>
    <w:p w14:paraId="031B140C" w14:textId="1D6C3028" w:rsidR="00035017" w:rsidRPr="0032784D" w:rsidRDefault="007A47D0" w:rsidP="001A53D1">
      <w:pPr>
        <w:spacing w:before="240" w:after="120" w:line="240" w:lineRule="auto"/>
        <w:jc w:val="both"/>
        <w:rPr>
          <w:rFonts w:cstheme="minorHAnsi"/>
          <w:lang w:val="ro-RO"/>
        </w:rPr>
      </w:pPr>
      <w:r>
        <w:rPr>
          <w:rFonts w:cstheme="minorHAnsi"/>
          <w:lang w:val="ro-RO"/>
        </w:rPr>
        <w:t>Alocarea ponderilor se bazează pe următoarele premise</w:t>
      </w:r>
      <w:r w:rsidR="00035017" w:rsidRPr="0032784D">
        <w:rPr>
          <w:rFonts w:cstheme="minorHAnsi"/>
          <w:lang w:val="ro-RO"/>
        </w:rPr>
        <w:t>:</w:t>
      </w:r>
    </w:p>
    <w:p w14:paraId="3270AF72" w14:textId="159D43AD" w:rsidR="00CA2693" w:rsidRDefault="00CA2693" w:rsidP="006D63DD">
      <w:pPr>
        <w:pStyle w:val="ListParagraph"/>
        <w:numPr>
          <w:ilvl w:val="0"/>
          <w:numId w:val="18"/>
        </w:numPr>
        <w:spacing w:after="120" w:line="240" w:lineRule="auto"/>
        <w:contextualSpacing w:val="0"/>
        <w:jc w:val="both"/>
        <w:rPr>
          <w:rFonts w:cstheme="minorHAnsi"/>
          <w:lang w:val="ro-RO"/>
        </w:rPr>
      </w:pPr>
      <w:r w:rsidRPr="008610E8">
        <w:rPr>
          <w:rFonts w:cstheme="minorHAnsi"/>
          <w:lang w:val="ro-RO"/>
        </w:rPr>
        <w:t>Indicatorii de rezultat reflectă, în primul rând, schimbarea obținută în ceea c</w:t>
      </w:r>
      <w:r w:rsidR="005037FD">
        <w:rPr>
          <w:rFonts w:cstheme="minorHAnsi"/>
          <w:lang w:val="ro-RO"/>
        </w:rPr>
        <w:t>e privește situația persoanelor</w:t>
      </w:r>
      <w:r w:rsidRPr="008610E8">
        <w:rPr>
          <w:rFonts w:cstheme="minorHAnsi"/>
          <w:lang w:val="ro-RO"/>
        </w:rPr>
        <w:t>/ entităților sprijinite</w:t>
      </w:r>
      <w:r w:rsidR="00000AB9">
        <w:rPr>
          <w:rFonts w:cstheme="minorHAnsi"/>
          <w:lang w:val="ro-RO"/>
        </w:rPr>
        <w:t xml:space="preserve"> în urma intervenției</w:t>
      </w:r>
      <w:r w:rsidR="000049A7">
        <w:rPr>
          <w:rFonts w:cstheme="minorHAnsi"/>
          <w:lang w:val="ro-RO"/>
        </w:rPr>
        <w:t>, așadar ponderea lor în calculul gradului global al îndeplinirii indicatorilor la nivel de proiect trebuie să fie una mai ridicată</w:t>
      </w:r>
      <w:r w:rsidR="00494AA2" w:rsidRPr="008610E8">
        <w:rPr>
          <w:rFonts w:cstheme="minorHAnsi"/>
          <w:lang w:val="ro-RO"/>
        </w:rPr>
        <w:t>;</w:t>
      </w:r>
    </w:p>
    <w:p w14:paraId="344F6B6B" w14:textId="03CA5431" w:rsidR="003945F6" w:rsidRPr="001A53D1" w:rsidRDefault="003945F6" w:rsidP="001A53D1">
      <w:pPr>
        <w:spacing w:after="120" w:line="240" w:lineRule="auto"/>
        <w:jc w:val="both"/>
        <w:rPr>
          <w:rFonts w:cstheme="minorHAnsi"/>
          <w:lang w:val="ro-RO"/>
        </w:rPr>
      </w:pPr>
      <w:r w:rsidRPr="001A53D1">
        <w:rPr>
          <w:rFonts w:cstheme="minorHAnsi"/>
          <w:lang w:val="ro-RO"/>
        </w:rPr>
        <w:t>În acest sens, raportul de 60/40 permite o diferențiere rezonabilă între cele două categorii de indicatori, fiind utilizat ca reper în numeroase alte domenii</w:t>
      </w:r>
      <w:r>
        <w:rPr>
          <w:rStyle w:val="FootnoteReference"/>
          <w:rFonts w:cstheme="minorHAnsi"/>
          <w:lang w:val="ro-RO"/>
        </w:rPr>
        <w:footnoteReference w:id="1"/>
      </w:r>
      <w:r w:rsidRPr="001A53D1">
        <w:rPr>
          <w:rFonts w:cstheme="minorHAnsi"/>
          <w:lang w:val="ro-RO"/>
        </w:rPr>
        <w:t xml:space="preserve"> datorită robusteții dovedite de-a lungul timpului.</w:t>
      </w:r>
    </w:p>
    <w:p w14:paraId="4D0A4DF0" w14:textId="4087D864" w:rsidR="003945F6" w:rsidRDefault="003945F6" w:rsidP="006D63DD">
      <w:pPr>
        <w:pStyle w:val="ListParagraph"/>
        <w:numPr>
          <w:ilvl w:val="0"/>
          <w:numId w:val="18"/>
        </w:numPr>
        <w:spacing w:after="120" w:line="240" w:lineRule="auto"/>
        <w:ind w:left="714" w:hanging="357"/>
        <w:contextualSpacing w:val="0"/>
        <w:jc w:val="both"/>
        <w:rPr>
          <w:rFonts w:cstheme="minorHAnsi"/>
          <w:lang w:val="ro-RO"/>
        </w:rPr>
      </w:pPr>
      <w:r>
        <w:rPr>
          <w:rFonts w:cstheme="minorHAnsi"/>
          <w:lang w:val="ro-RO"/>
        </w:rPr>
        <w:t>Se impune o diferențiere a ponderii acordate celor două tipuri de indicatori de rezultat, având în vedere elementele care contribuie la realizarea acestora și măsura în care atingerea lor depinde în întregime de acțiunile beneficiarilor, sau este influențată și de alți factori</w:t>
      </w:r>
      <w:r>
        <w:rPr>
          <w:rFonts w:cstheme="minorHAnsi"/>
          <w:lang w:val="en-US"/>
        </w:rPr>
        <w:t>;</w:t>
      </w:r>
    </w:p>
    <w:p w14:paraId="1DC6B49D" w14:textId="1B817C02" w:rsidR="00B1384C" w:rsidRPr="003945F6" w:rsidRDefault="003945F6" w:rsidP="001A53D1">
      <w:pPr>
        <w:spacing w:after="120" w:line="240" w:lineRule="auto"/>
        <w:jc w:val="both"/>
        <w:rPr>
          <w:rFonts w:cstheme="minorHAnsi"/>
          <w:lang w:val="ro-RO"/>
        </w:rPr>
      </w:pPr>
      <w:r w:rsidRPr="003945F6">
        <w:rPr>
          <w:rFonts w:cstheme="minorHAnsi"/>
          <w:lang w:val="ro-RO"/>
        </w:rPr>
        <w:t>Astfel, o p</w:t>
      </w:r>
      <w:r w:rsidR="00B1384C" w:rsidRPr="003945F6">
        <w:rPr>
          <w:rFonts w:cstheme="minorHAnsi"/>
          <w:lang w:val="ro-RO"/>
        </w:rPr>
        <w:t xml:space="preserve">ondere mai redusă a indicatorilor de rezultat pe termen mai lung reduce riscurile pentru beneficiari, ținând seama de faptul că îndeplinirea țintelor aferente acestora poate fi influențată în mod semnificativ de factori externi proiectului și care nu pot fi controlați </w:t>
      </w:r>
      <w:r w:rsidR="00B21839" w:rsidRPr="003945F6">
        <w:rPr>
          <w:rFonts w:cstheme="minorHAnsi"/>
          <w:lang w:val="ro-RO"/>
        </w:rPr>
        <w:t>după finalizarea implementării</w:t>
      </w:r>
      <w:r w:rsidR="00B1384C" w:rsidRPr="003945F6">
        <w:rPr>
          <w:rFonts w:cstheme="minorHAnsi"/>
          <w:lang w:val="ro-RO"/>
        </w:rPr>
        <w:t>.</w:t>
      </w:r>
    </w:p>
    <w:p w14:paraId="14CB7409" w14:textId="30891570" w:rsidR="00835D4B" w:rsidRPr="008610E8" w:rsidRDefault="000E38A9" w:rsidP="000E38A9">
      <w:pPr>
        <w:keepNext/>
        <w:spacing w:after="0" w:line="240" w:lineRule="auto"/>
        <w:jc w:val="both"/>
        <w:rPr>
          <w:rFonts w:cstheme="minorHAnsi"/>
          <w:lang w:val="ro-RO"/>
        </w:rPr>
      </w:pPr>
      <w:r w:rsidRPr="008610E8">
        <w:rPr>
          <w:rFonts w:cstheme="minorHAnsi"/>
          <w:lang w:val="ro-RO"/>
        </w:rPr>
        <w:t>Abordarea este congruentă cu cea utilizată în alte state la nivelul UE, care acordă o importanță mai ridicată îndeplinirii indicatorilor de rezultat, față de cei de realizare (de ex. Cehia</w:t>
      </w:r>
      <w:r w:rsidR="00234083">
        <w:rPr>
          <w:rFonts w:cstheme="minorHAnsi"/>
          <w:lang w:val="ro-RO"/>
        </w:rPr>
        <w:t>, Marea Britanie</w:t>
      </w:r>
      <w:r w:rsidRPr="008610E8">
        <w:rPr>
          <w:rFonts w:cstheme="minorHAnsi"/>
          <w:lang w:val="ro-RO"/>
        </w:rPr>
        <w:t>)</w:t>
      </w:r>
      <w:r w:rsidR="009014D6">
        <w:rPr>
          <w:rFonts w:cstheme="minorHAnsi"/>
          <w:lang w:val="ro-RO"/>
        </w:rPr>
        <w:t>;</w:t>
      </w:r>
      <w:r w:rsidR="001A53D1">
        <w:rPr>
          <w:rFonts w:cstheme="minorHAnsi"/>
          <w:lang w:val="ro-RO"/>
        </w:rPr>
        <w:t xml:space="preserve"> </w:t>
      </w:r>
      <w:r w:rsidR="00835D4B" w:rsidRPr="008610E8">
        <w:rPr>
          <w:rFonts w:cstheme="minorHAnsi"/>
          <w:lang w:val="ro-RO"/>
        </w:rPr>
        <w:t xml:space="preserve">Pe baza celor de mai sus, gradul de îndeplinire al indicatorilor la nivel de proiect (global) se va calcula după următoarea formulă: </w:t>
      </w:r>
    </w:p>
    <w:p w14:paraId="5C2F4859" w14:textId="77777777" w:rsidR="00835D4B" w:rsidRPr="008610E8" w:rsidRDefault="00835D4B" w:rsidP="000E38A9">
      <w:pPr>
        <w:keepNext/>
        <w:spacing w:after="0" w:line="240" w:lineRule="auto"/>
        <w:jc w:val="both"/>
        <w:rPr>
          <w:rFonts w:cstheme="minorHAnsi"/>
          <w:color w:val="FF0000"/>
          <w:lang w:val="ro-RO"/>
        </w:rPr>
      </w:pPr>
    </w:p>
    <w:p w14:paraId="488C86F4" w14:textId="22C6B4C0" w:rsidR="003945F6" w:rsidRDefault="003E203F" w:rsidP="003E203F">
      <w:pPr>
        <w:spacing w:after="0" w:line="240" w:lineRule="auto"/>
        <w:ind w:firstLine="720"/>
        <w:jc w:val="both"/>
        <w:rPr>
          <w:rFonts w:cstheme="minorHAnsi"/>
          <w:i/>
          <w:sz w:val="24"/>
          <w:szCs w:val="24"/>
          <w:lang w:val="ro-RO"/>
        </w:rPr>
      </w:pPr>
      <w:r w:rsidRPr="00DF67E2">
        <w:rPr>
          <w:rFonts w:cstheme="minorHAnsi"/>
          <w:b/>
          <w:i/>
          <w:color w:val="2E74B5" w:themeColor="accent1" w:themeShade="BF"/>
          <w:sz w:val="24"/>
          <w:szCs w:val="24"/>
          <w:lang w:val="ro-RO"/>
        </w:rPr>
        <w:t xml:space="preserve">GI global = 40%*GI Categorie R + </w:t>
      </w:r>
      <w:r w:rsidR="003945F6">
        <w:rPr>
          <w:rFonts w:cstheme="minorHAnsi"/>
          <w:b/>
          <w:i/>
          <w:color w:val="2E74B5" w:themeColor="accent1" w:themeShade="BF"/>
          <w:sz w:val="24"/>
          <w:szCs w:val="24"/>
          <w:lang w:val="ro-RO"/>
        </w:rPr>
        <w:t>36</w:t>
      </w:r>
      <w:r w:rsidRPr="00DF67E2">
        <w:rPr>
          <w:rFonts w:cstheme="minorHAnsi"/>
          <w:b/>
          <w:i/>
          <w:color w:val="2E74B5" w:themeColor="accent1" w:themeShade="BF"/>
          <w:sz w:val="24"/>
          <w:szCs w:val="24"/>
          <w:lang w:val="ro-RO"/>
        </w:rPr>
        <w:t>%</w:t>
      </w:r>
      <w:r w:rsidR="003945F6">
        <w:rPr>
          <w:rFonts w:cstheme="minorHAnsi"/>
          <w:b/>
          <w:i/>
          <w:color w:val="2E74B5" w:themeColor="accent1" w:themeShade="BF"/>
          <w:sz w:val="24"/>
          <w:szCs w:val="24"/>
          <w:lang w:val="ro-RO"/>
        </w:rPr>
        <w:t>*</w:t>
      </w:r>
      <w:r w:rsidRPr="00DF67E2">
        <w:rPr>
          <w:rFonts w:cstheme="minorHAnsi"/>
          <w:b/>
          <w:i/>
          <w:color w:val="2E74B5" w:themeColor="accent1" w:themeShade="BF"/>
          <w:sz w:val="24"/>
          <w:szCs w:val="24"/>
          <w:lang w:val="ro-RO"/>
        </w:rPr>
        <w:t xml:space="preserve">GI Categorie Ri + </w:t>
      </w:r>
      <w:r w:rsidR="003945F6">
        <w:rPr>
          <w:rFonts w:cstheme="minorHAnsi"/>
          <w:b/>
          <w:i/>
          <w:color w:val="2E74B5" w:themeColor="accent1" w:themeShade="BF"/>
          <w:sz w:val="24"/>
          <w:szCs w:val="24"/>
          <w:lang w:val="ro-RO"/>
        </w:rPr>
        <w:t>24%*</w:t>
      </w:r>
      <w:r w:rsidRPr="00DF67E2">
        <w:rPr>
          <w:rFonts w:cstheme="minorHAnsi"/>
          <w:b/>
          <w:i/>
          <w:color w:val="2E74B5" w:themeColor="accent1" w:themeShade="BF"/>
          <w:sz w:val="24"/>
          <w:szCs w:val="24"/>
          <w:lang w:val="ro-RO"/>
        </w:rPr>
        <w:t>GI Categorie Rtl</w:t>
      </w:r>
      <w:r w:rsidR="003945F6">
        <w:rPr>
          <w:rFonts w:cstheme="minorHAnsi"/>
          <w:sz w:val="24"/>
          <w:szCs w:val="24"/>
          <w:lang w:val="ro-RO"/>
        </w:rPr>
        <w:t>, unde:</w:t>
      </w:r>
    </w:p>
    <w:p w14:paraId="087BB068" w14:textId="3C10FBB9" w:rsidR="003E203F" w:rsidRPr="00D64D93" w:rsidRDefault="003E203F" w:rsidP="003E203F">
      <w:pPr>
        <w:spacing w:after="0" w:line="240" w:lineRule="auto"/>
        <w:ind w:firstLine="720"/>
        <w:jc w:val="both"/>
        <w:rPr>
          <w:rFonts w:cstheme="minorHAnsi"/>
          <w:b/>
          <w:i/>
          <w:color w:val="2E74B5" w:themeColor="accent1" w:themeShade="BF"/>
          <w:sz w:val="12"/>
          <w:szCs w:val="12"/>
          <w:lang w:val="ro-RO"/>
        </w:rPr>
      </w:pPr>
    </w:p>
    <w:p w14:paraId="0C2B3D9B" w14:textId="7C786041" w:rsidR="003E203F" w:rsidRPr="00D64D93" w:rsidRDefault="003E203F" w:rsidP="0011160E">
      <w:pPr>
        <w:spacing w:after="0" w:line="240" w:lineRule="auto"/>
        <w:ind w:left="1440"/>
        <w:jc w:val="both"/>
        <w:rPr>
          <w:rFonts w:cstheme="minorHAnsi"/>
          <w:i/>
          <w:lang w:val="ro-RO"/>
        </w:rPr>
      </w:pPr>
      <w:r w:rsidRPr="00D64D93">
        <w:rPr>
          <w:rFonts w:cstheme="minorHAnsi"/>
          <w:i/>
          <w:lang w:val="ro-RO"/>
        </w:rPr>
        <w:t xml:space="preserve">GI Categorie R = </w:t>
      </w:r>
      <w:r w:rsidR="003945F6" w:rsidRPr="00D64D93">
        <w:rPr>
          <w:rFonts w:cstheme="minorHAnsi"/>
          <w:i/>
          <w:lang w:val="ro-RO"/>
        </w:rPr>
        <w:t>grad de îndeplinire a indicatorilor de realizare (output)</w:t>
      </w:r>
    </w:p>
    <w:p w14:paraId="6F9DACAF" w14:textId="46178B47" w:rsidR="003945F6" w:rsidRPr="00D64D93" w:rsidRDefault="003945F6" w:rsidP="0011160E">
      <w:pPr>
        <w:spacing w:after="0" w:line="240" w:lineRule="auto"/>
        <w:ind w:left="1440"/>
        <w:jc w:val="both"/>
        <w:rPr>
          <w:rFonts w:cstheme="minorHAnsi"/>
          <w:i/>
          <w:lang w:val="ro-RO"/>
        </w:rPr>
      </w:pPr>
      <w:r w:rsidRPr="00D64D93">
        <w:rPr>
          <w:rFonts w:cstheme="minorHAnsi"/>
          <w:i/>
          <w:lang w:val="ro-RO"/>
        </w:rPr>
        <w:t>GI Categorie Ri = grad de realizare a indicatorilor de rezultat imediat</w:t>
      </w:r>
    </w:p>
    <w:p w14:paraId="47FB9E70" w14:textId="2E2C0544" w:rsidR="001D51B8" w:rsidRPr="00D64D93" w:rsidRDefault="003E203F" w:rsidP="003945F6">
      <w:pPr>
        <w:spacing w:after="0" w:line="240" w:lineRule="auto"/>
        <w:ind w:left="3261" w:hanging="1843"/>
        <w:jc w:val="both"/>
        <w:rPr>
          <w:rFonts w:cstheme="minorHAnsi"/>
          <w:i/>
          <w:lang w:val="ro-RO"/>
        </w:rPr>
      </w:pPr>
      <w:r w:rsidRPr="00D64D93">
        <w:rPr>
          <w:rFonts w:cstheme="minorHAnsi"/>
          <w:i/>
          <w:lang w:val="ro-RO"/>
        </w:rPr>
        <w:t xml:space="preserve">GI Categorie Rtl = </w:t>
      </w:r>
      <w:r w:rsidR="003945F6" w:rsidRPr="00D64D93">
        <w:rPr>
          <w:rFonts w:cstheme="minorHAnsi"/>
          <w:i/>
          <w:lang w:val="ro-RO"/>
        </w:rPr>
        <w:t>grad de îndeplinire a indicatorilor de rezultat pe termen mai lung</w:t>
      </w:r>
    </w:p>
    <w:p w14:paraId="11F49C90" w14:textId="77777777" w:rsidR="00E52CE9" w:rsidRDefault="00E52CE9" w:rsidP="00560C34">
      <w:pPr>
        <w:spacing w:after="0"/>
        <w:jc w:val="both"/>
        <w:rPr>
          <w:rFonts w:cstheme="minorHAnsi"/>
          <w:b/>
          <w:i/>
          <w:lang w:val="ro-RO"/>
        </w:rPr>
      </w:pPr>
    </w:p>
    <w:p w14:paraId="67004F71" w14:textId="752AC728" w:rsidR="00E52CE9" w:rsidRPr="009E088A" w:rsidRDefault="00E52CE9" w:rsidP="009E088A">
      <w:pPr>
        <w:pStyle w:val="ListParagraph"/>
        <w:numPr>
          <w:ilvl w:val="0"/>
          <w:numId w:val="34"/>
        </w:numPr>
        <w:jc w:val="both"/>
        <w:rPr>
          <w:rFonts w:cstheme="minorHAnsi"/>
          <w:b/>
          <w:i/>
          <w:lang w:val="ro-RO"/>
        </w:rPr>
      </w:pPr>
      <w:r w:rsidRPr="009E088A">
        <w:rPr>
          <w:rFonts w:cstheme="minorHAnsi"/>
          <w:b/>
          <w:i/>
          <w:lang w:val="ro-RO"/>
        </w:rPr>
        <w:t>În cazul în care, în cadrul proiectului nu au fost asumate ținte</w:t>
      </w:r>
      <w:r w:rsidR="005B10E3" w:rsidRPr="009E088A">
        <w:rPr>
          <w:rFonts w:cstheme="minorHAnsi"/>
          <w:b/>
          <w:i/>
          <w:lang w:val="ro-RO"/>
        </w:rPr>
        <w:t xml:space="preserve"> decât</w:t>
      </w:r>
      <w:r w:rsidRPr="009E088A">
        <w:rPr>
          <w:rFonts w:cstheme="minorHAnsi"/>
          <w:b/>
          <w:i/>
          <w:lang w:val="ro-RO"/>
        </w:rPr>
        <w:t xml:space="preserve"> pentru</w:t>
      </w:r>
      <w:r w:rsidR="005B10E3" w:rsidRPr="009E088A">
        <w:rPr>
          <w:rFonts w:cstheme="minorHAnsi"/>
          <w:b/>
          <w:i/>
          <w:lang w:val="ro-RO"/>
        </w:rPr>
        <w:t xml:space="preserve"> o singură categorie de indicatori de </w:t>
      </w:r>
      <w:r w:rsidRPr="009E088A">
        <w:rPr>
          <w:rFonts w:cstheme="minorHAnsi"/>
          <w:b/>
          <w:i/>
          <w:lang w:val="ro-RO"/>
        </w:rPr>
        <w:t xml:space="preserve">rezultat, ponderea </w:t>
      </w:r>
      <w:r w:rsidR="005B10E3" w:rsidRPr="009E088A">
        <w:rPr>
          <w:rFonts w:cstheme="minorHAnsi"/>
          <w:b/>
          <w:i/>
          <w:lang w:val="ro-RO"/>
        </w:rPr>
        <w:t>acestora</w:t>
      </w:r>
      <w:r w:rsidRPr="009E088A">
        <w:rPr>
          <w:rFonts w:cstheme="minorHAnsi"/>
          <w:b/>
          <w:i/>
          <w:lang w:val="ro-RO"/>
        </w:rPr>
        <w:t xml:space="preserve"> este de 60%. </w:t>
      </w:r>
    </w:p>
    <w:p w14:paraId="57FE7FB6" w14:textId="052734FB" w:rsidR="00AE7A8E" w:rsidRDefault="00AE7A8E" w:rsidP="00AE7A8E">
      <w:pPr>
        <w:spacing w:after="0" w:line="240" w:lineRule="auto"/>
        <w:ind w:firstLine="720"/>
        <w:jc w:val="both"/>
        <w:rPr>
          <w:rFonts w:cstheme="minorHAnsi"/>
          <w:b/>
          <w:i/>
          <w:color w:val="2E74B5" w:themeColor="accent1" w:themeShade="BF"/>
          <w:sz w:val="24"/>
          <w:szCs w:val="24"/>
          <w:lang w:val="ro-RO"/>
        </w:rPr>
      </w:pPr>
      <w:r w:rsidRPr="00DF67E2">
        <w:rPr>
          <w:rFonts w:cstheme="minorHAnsi"/>
          <w:b/>
          <w:i/>
          <w:color w:val="2E74B5" w:themeColor="accent1" w:themeShade="BF"/>
          <w:sz w:val="24"/>
          <w:szCs w:val="24"/>
          <w:lang w:val="ro-RO"/>
        </w:rPr>
        <w:t>GI global = 40%*GI Categorie R + 60%</w:t>
      </w:r>
      <w:r w:rsidRPr="00AE7A8E">
        <w:rPr>
          <w:rFonts w:cstheme="minorHAnsi"/>
          <w:b/>
          <w:i/>
          <w:color w:val="2E74B5" w:themeColor="accent1" w:themeShade="BF"/>
          <w:sz w:val="24"/>
          <w:lang w:val="ro-RO"/>
        </w:rPr>
        <w:t xml:space="preserve"> </w:t>
      </w:r>
      <w:r w:rsidRPr="00D91E0A">
        <w:rPr>
          <w:rFonts w:cstheme="minorHAnsi"/>
          <w:b/>
          <w:i/>
          <w:color w:val="2E74B5" w:themeColor="accent1" w:themeShade="BF"/>
          <w:sz w:val="24"/>
          <w:lang w:val="ro-RO"/>
        </w:rPr>
        <w:t xml:space="preserve">GI </w:t>
      </w:r>
      <w:r>
        <w:rPr>
          <w:rFonts w:cstheme="minorHAnsi"/>
          <w:b/>
          <w:i/>
          <w:color w:val="2E74B5" w:themeColor="accent1" w:themeShade="BF"/>
          <w:sz w:val="24"/>
          <w:lang w:val="ro-RO"/>
        </w:rPr>
        <w:t>Categorie</w:t>
      </w:r>
      <w:r w:rsidRPr="00D91E0A">
        <w:rPr>
          <w:rFonts w:cstheme="minorHAnsi"/>
          <w:b/>
          <w:i/>
          <w:color w:val="2E74B5" w:themeColor="accent1" w:themeShade="BF"/>
          <w:sz w:val="24"/>
          <w:lang w:val="ro-RO"/>
        </w:rPr>
        <w:t xml:space="preserve"> R</w:t>
      </w:r>
      <w:r w:rsidR="005B10E3">
        <w:rPr>
          <w:rFonts w:cstheme="minorHAnsi"/>
          <w:b/>
          <w:i/>
          <w:color w:val="2E74B5" w:themeColor="accent1" w:themeShade="BF"/>
          <w:sz w:val="24"/>
          <w:lang w:val="ro-RO"/>
        </w:rPr>
        <w:t>ez</w:t>
      </w:r>
      <w:r w:rsidRPr="00DF67E2">
        <w:rPr>
          <w:rFonts w:cstheme="minorHAnsi"/>
          <w:b/>
          <w:i/>
          <w:color w:val="2E74B5" w:themeColor="accent1" w:themeShade="BF"/>
          <w:sz w:val="24"/>
          <w:szCs w:val="24"/>
          <w:lang w:val="ro-RO"/>
        </w:rPr>
        <w:t>,</w:t>
      </w:r>
      <w:r w:rsidRPr="00DF67E2">
        <w:rPr>
          <w:rFonts w:cstheme="minorHAnsi"/>
          <w:i/>
          <w:sz w:val="24"/>
          <w:szCs w:val="24"/>
          <w:lang w:val="ro-RO"/>
        </w:rPr>
        <w:t xml:space="preserve"> </w:t>
      </w:r>
    </w:p>
    <w:p w14:paraId="71E72325" w14:textId="1AF9FB57" w:rsidR="003E203F" w:rsidRPr="00DF67E2" w:rsidRDefault="003E203F" w:rsidP="00F9504B">
      <w:pPr>
        <w:spacing w:after="0" w:line="240" w:lineRule="auto"/>
        <w:ind w:left="1440"/>
        <w:jc w:val="both"/>
        <w:rPr>
          <w:rFonts w:cstheme="minorHAnsi"/>
          <w:i/>
          <w:sz w:val="24"/>
          <w:szCs w:val="24"/>
          <w:lang w:val="ro-RO"/>
        </w:rPr>
      </w:pPr>
      <w:r w:rsidRPr="00DF67E2">
        <w:rPr>
          <w:rFonts w:cstheme="minorHAnsi"/>
          <w:i/>
          <w:sz w:val="24"/>
          <w:szCs w:val="24"/>
          <w:lang w:val="ro-RO"/>
        </w:rPr>
        <w:t xml:space="preserve">unde: </w:t>
      </w:r>
    </w:p>
    <w:p w14:paraId="607115B9" w14:textId="77777777" w:rsidR="003E203F" w:rsidRPr="006039E1" w:rsidRDefault="003E203F" w:rsidP="003E203F">
      <w:pPr>
        <w:spacing w:after="0" w:line="240" w:lineRule="auto"/>
        <w:jc w:val="both"/>
        <w:rPr>
          <w:rFonts w:cstheme="minorHAnsi"/>
          <w:i/>
          <w:lang w:val="ro-RO"/>
        </w:rPr>
      </w:pPr>
      <w:r w:rsidRPr="006039E1">
        <w:rPr>
          <w:rFonts w:cstheme="minorHAnsi"/>
          <w:i/>
          <w:lang w:val="ro-RO"/>
        </w:rPr>
        <w:t xml:space="preserve"> </w:t>
      </w:r>
      <w:r w:rsidRPr="006039E1">
        <w:rPr>
          <w:rFonts w:cstheme="minorHAnsi"/>
          <w:i/>
          <w:lang w:val="ro-RO"/>
        </w:rPr>
        <w:tab/>
      </w:r>
      <w:r w:rsidRPr="006039E1">
        <w:rPr>
          <w:rFonts w:cstheme="minorHAnsi"/>
          <w:i/>
          <w:lang w:val="ro-RO"/>
        </w:rPr>
        <w:tab/>
      </w:r>
      <w:r>
        <w:rPr>
          <w:rFonts w:cstheme="minorHAnsi"/>
          <w:i/>
          <w:lang w:val="ro-RO"/>
        </w:rPr>
        <w:t xml:space="preserve">GI Categorie R </w:t>
      </w:r>
      <w:r w:rsidRPr="006039E1">
        <w:rPr>
          <w:rFonts w:cstheme="minorHAnsi"/>
          <w:i/>
          <w:lang w:val="ro-RO"/>
        </w:rPr>
        <w:t xml:space="preserve"> – Gradul de îndeplinire a indicatorilor de realizare (output)</w:t>
      </w:r>
    </w:p>
    <w:p w14:paraId="6D5B46DA" w14:textId="40366983" w:rsidR="003E203F" w:rsidRPr="006039E1" w:rsidRDefault="003E203F" w:rsidP="003E203F">
      <w:pPr>
        <w:spacing w:after="0" w:line="240" w:lineRule="auto"/>
        <w:ind w:firstLine="720"/>
        <w:jc w:val="both"/>
        <w:rPr>
          <w:rFonts w:cstheme="minorHAnsi"/>
          <w:i/>
          <w:lang w:val="ro-RO"/>
        </w:rPr>
      </w:pPr>
      <w:r w:rsidRPr="006039E1">
        <w:rPr>
          <w:rFonts w:cstheme="minorHAnsi"/>
          <w:i/>
          <w:lang w:val="ro-RO"/>
        </w:rPr>
        <w:t xml:space="preserve"> </w:t>
      </w:r>
      <w:r w:rsidRPr="006039E1">
        <w:rPr>
          <w:rFonts w:cstheme="minorHAnsi"/>
          <w:i/>
          <w:lang w:val="ro-RO"/>
        </w:rPr>
        <w:tab/>
      </w:r>
      <w:r>
        <w:rPr>
          <w:rFonts w:cstheme="minorHAnsi"/>
          <w:i/>
          <w:lang w:val="ro-RO"/>
        </w:rPr>
        <w:t>GI Categorie R</w:t>
      </w:r>
      <w:r w:rsidR="005B10E3">
        <w:rPr>
          <w:rFonts w:cstheme="minorHAnsi"/>
          <w:i/>
          <w:lang w:val="ro-RO"/>
        </w:rPr>
        <w:t>ez</w:t>
      </w:r>
      <w:r w:rsidRPr="006039E1">
        <w:rPr>
          <w:rFonts w:cstheme="minorHAnsi"/>
          <w:i/>
          <w:lang w:val="ro-RO"/>
        </w:rPr>
        <w:t xml:space="preserve"> – Gradul de îndeplinire a indicatorilor de rezultat </w:t>
      </w:r>
    </w:p>
    <w:p w14:paraId="2BCD4851" w14:textId="7CBE9158" w:rsidR="00A83092" w:rsidRPr="00A83092" w:rsidRDefault="003E203F" w:rsidP="00A83092">
      <w:pPr>
        <w:spacing w:after="0" w:line="240" w:lineRule="auto"/>
        <w:jc w:val="both"/>
        <w:rPr>
          <w:rFonts w:cstheme="minorHAnsi"/>
          <w:lang w:val="ro-RO"/>
        </w:rPr>
      </w:pPr>
      <w:r w:rsidRPr="006039E1">
        <w:rPr>
          <w:rFonts w:cstheme="minorHAnsi"/>
          <w:i/>
          <w:lang w:val="ro-RO"/>
        </w:rPr>
        <w:t xml:space="preserve"> </w:t>
      </w:r>
      <w:r w:rsidRPr="006039E1">
        <w:rPr>
          <w:rFonts w:cstheme="minorHAnsi"/>
          <w:i/>
          <w:lang w:val="ro-RO"/>
        </w:rPr>
        <w:tab/>
      </w:r>
    </w:p>
    <w:p w14:paraId="58042165" w14:textId="2C0E8436" w:rsidR="00835D4B" w:rsidRPr="00A83092" w:rsidRDefault="009E088A" w:rsidP="007133DF">
      <w:pPr>
        <w:pStyle w:val="ListParagraph"/>
        <w:numPr>
          <w:ilvl w:val="0"/>
          <w:numId w:val="34"/>
        </w:numPr>
        <w:jc w:val="both"/>
        <w:rPr>
          <w:rFonts w:cstheme="minorHAnsi"/>
          <w:b/>
          <w:i/>
          <w:lang w:val="ro-RO"/>
        </w:rPr>
      </w:pPr>
      <w:r w:rsidRPr="00A83092">
        <w:rPr>
          <w:rFonts w:cstheme="minorHAnsi"/>
          <w:b/>
          <w:i/>
          <w:lang w:val="ro-RO"/>
        </w:rPr>
        <w:t>În</w:t>
      </w:r>
      <w:r w:rsidR="005B10E3" w:rsidRPr="00A83092">
        <w:rPr>
          <w:rFonts w:cstheme="minorHAnsi"/>
          <w:b/>
          <w:i/>
          <w:lang w:val="ro-RO"/>
        </w:rPr>
        <w:t xml:space="preserve"> cazul</w:t>
      </w:r>
      <w:r w:rsidRPr="00A83092">
        <w:rPr>
          <w:rFonts w:cstheme="minorHAnsi"/>
          <w:b/>
          <w:i/>
          <w:lang w:val="ro-RO"/>
        </w:rPr>
        <w:t xml:space="preserve"> în care la nivelul proiectului, conform prevederilor ghidului-condiții specifice, Beneficiarul și-a asumat ținte pentru indicatorii pe termen mai lung</w:t>
      </w:r>
      <w:r w:rsidR="005B10E3" w:rsidRPr="00A83092">
        <w:rPr>
          <w:rFonts w:cstheme="minorHAnsi"/>
          <w:b/>
          <w:i/>
          <w:lang w:val="ro-RO"/>
        </w:rPr>
        <w:t xml:space="preserve">, </w:t>
      </w:r>
      <w:r w:rsidR="00E841AF" w:rsidRPr="00A83092">
        <w:rPr>
          <w:rFonts w:cstheme="minorHAnsi"/>
          <w:b/>
          <w:i/>
          <w:lang w:val="ro-RO"/>
        </w:rPr>
        <w:t xml:space="preserve">GI Global se va calcula </w:t>
      </w:r>
      <w:r w:rsidR="00A83092" w:rsidRPr="00A83092">
        <w:rPr>
          <w:rFonts w:cstheme="minorHAnsi"/>
          <w:b/>
          <w:i/>
          <w:lang w:val="ro-RO"/>
        </w:rPr>
        <w:t>la momentul colectării indicatorilor pe termen mai lung, conform formulelor prezentate mai sus.</w:t>
      </w:r>
    </w:p>
    <w:p w14:paraId="44455E66" w14:textId="43F2D7D2" w:rsidR="00613A15" w:rsidRPr="003164B0" w:rsidRDefault="00A83092" w:rsidP="00FB7EAE">
      <w:pPr>
        <w:spacing w:after="0" w:line="240" w:lineRule="auto"/>
        <w:jc w:val="both"/>
        <w:rPr>
          <w:rFonts w:cstheme="minorHAnsi"/>
          <w:lang w:val="ro-RO"/>
        </w:rPr>
      </w:pPr>
      <w:r>
        <w:rPr>
          <w:rFonts w:cstheme="minorHAnsi"/>
          <w:lang w:val="ro-RO"/>
        </w:rPr>
        <w:t>E</w:t>
      </w:r>
      <w:r w:rsidR="00887AAF" w:rsidRPr="003164B0">
        <w:rPr>
          <w:rFonts w:cstheme="minorHAnsi"/>
          <w:lang w:val="ro-RO"/>
        </w:rPr>
        <w:t>ventualele corecții vor fi calculate și aplicate corespunzător și proporțional cu</w:t>
      </w:r>
      <w:r>
        <w:rPr>
          <w:rFonts w:cstheme="minorHAnsi"/>
          <w:lang w:val="ro-RO"/>
        </w:rPr>
        <w:t xml:space="preserve"> gradul de îndeplinire </w:t>
      </w:r>
      <w:r w:rsidR="009D6A65">
        <w:rPr>
          <w:rFonts w:cstheme="minorHAnsi"/>
          <w:lang w:val="ro-RO"/>
        </w:rPr>
        <w:t>la nivelul</w:t>
      </w:r>
      <w:r>
        <w:rPr>
          <w:rFonts w:cstheme="minorHAnsi"/>
          <w:lang w:val="ro-RO"/>
        </w:rPr>
        <w:t xml:space="preserve"> fiecărei categorii de indicatori, conform metodologiei.</w:t>
      </w:r>
      <w:r w:rsidR="00887AAF" w:rsidRPr="003164B0">
        <w:rPr>
          <w:rFonts w:cstheme="minorHAnsi"/>
          <w:lang w:val="ro-RO"/>
        </w:rPr>
        <w:t xml:space="preserve"> </w:t>
      </w:r>
    </w:p>
    <w:p w14:paraId="5904FBA8" w14:textId="5F54CD94" w:rsidR="00E841AF" w:rsidRPr="00FB7EAE" w:rsidRDefault="00E841AF" w:rsidP="00D306A1">
      <w:pPr>
        <w:spacing w:before="120" w:after="0" w:line="240" w:lineRule="auto"/>
        <w:jc w:val="both"/>
        <w:rPr>
          <w:rFonts w:cstheme="minorHAnsi"/>
          <w:b/>
          <w:lang w:val="ro-RO"/>
        </w:rPr>
      </w:pPr>
    </w:p>
    <w:p w14:paraId="1D80D545" w14:textId="5EDC27AA" w:rsidR="00FC4820" w:rsidRPr="008610E8" w:rsidRDefault="002C1A87" w:rsidP="000E38A9">
      <w:pPr>
        <w:pStyle w:val="Heading2"/>
        <w:spacing w:before="0" w:line="240" w:lineRule="auto"/>
        <w:rPr>
          <w:lang w:val="ro-RO"/>
        </w:rPr>
      </w:pPr>
      <w:r w:rsidRPr="008610E8">
        <w:rPr>
          <w:lang w:val="ro-RO"/>
        </w:rPr>
        <w:t>4</w:t>
      </w:r>
      <w:r w:rsidR="00BE1179" w:rsidRPr="008610E8">
        <w:rPr>
          <w:lang w:val="ro-RO"/>
        </w:rPr>
        <w:t xml:space="preserve">.2. Gradul de îndeplinire </w:t>
      </w:r>
      <w:r w:rsidR="00266AD8">
        <w:rPr>
          <w:lang w:val="ro-RO"/>
        </w:rPr>
        <w:t>calculat</w:t>
      </w:r>
      <w:r w:rsidR="00266AD8" w:rsidRPr="008610E8">
        <w:rPr>
          <w:lang w:val="ro-RO"/>
        </w:rPr>
        <w:t xml:space="preserve"> </w:t>
      </w:r>
      <w:r w:rsidR="00540AF6" w:rsidRPr="008610E8">
        <w:rPr>
          <w:lang w:val="ro-RO"/>
        </w:rPr>
        <w:t>la</w:t>
      </w:r>
      <w:r w:rsidR="00FC4820" w:rsidRPr="008610E8">
        <w:rPr>
          <w:lang w:val="ro-RO"/>
        </w:rPr>
        <w:t xml:space="preserve"> </w:t>
      </w:r>
      <w:r w:rsidR="00266AD8">
        <w:rPr>
          <w:lang w:val="ro-RO"/>
        </w:rPr>
        <w:t xml:space="preserve">nivelul </w:t>
      </w:r>
      <w:r w:rsidR="00FC4820" w:rsidRPr="008610E8">
        <w:rPr>
          <w:lang w:val="ro-RO"/>
        </w:rPr>
        <w:t>categori</w:t>
      </w:r>
      <w:r w:rsidR="00266AD8">
        <w:rPr>
          <w:lang w:val="ro-RO"/>
        </w:rPr>
        <w:t>ilor</w:t>
      </w:r>
      <w:r w:rsidR="00FC4820" w:rsidRPr="008610E8">
        <w:rPr>
          <w:lang w:val="ro-RO"/>
        </w:rPr>
        <w:t xml:space="preserve"> de indicatori</w:t>
      </w:r>
    </w:p>
    <w:p w14:paraId="728279B3" w14:textId="77777777" w:rsidR="00C923C4" w:rsidRPr="008610E8" w:rsidRDefault="00C923C4" w:rsidP="00835D4B">
      <w:pPr>
        <w:spacing w:before="120" w:after="0" w:line="240" w:lineRule="auto"/>
        <w:jc w:val="both"/>
        <w:rPr>
          <w:rFonts w:cstheme="minorHAnsi"/>
          <w:lang w:val="ro-RO"/>
        </w:rPr>
      </w:pPr>
      <w:r w:rsidRPr="008610E8">
        <w:rPr>
          <w:rFonts w:cstheme="minorHAnsi"/>
          <w:lang w:val="ro-RO"/>
        </w:rPr>
        <w:t xml:space="preserve">Gradul de îndeplinire a indicatorilor din cadrul fiecărei categorii se calculează </w:t>
      </w:r>
      <w:r w:rsidR="00062841" w:rsidRPr="008610E8">
        <w:rPr>
          <w:rFonts w:cstheme="minorHAnsi"/>
          <w:lang w:val="ro-RO"/>
        </w:rPr>
        <w:t xml:space="preserve">prin însumarea gradului de îndeplinire a fiecărui indicator în parte din respectiva categorie, </w:t>
      </w:r>
      <w:r w:rsidR="00BE3848" w:rsidRPr="008610E8">
        <w:rPr>
          <w:rFonts w:cstheme="minorHAnsi"/>
          <w:lang w:val="ro-RO"/>
        </w:rPr>
        <w:t xml:space="preserve">ponderată în funcție de numărul indicatorilor incluși în respectiva categorie, după formula: </w:t>
      </w:r>
    </w:p>
    <w:p w14:paraId="4CA3E4DA" w14:textId="77777777" w:rsidR="00835D4B" w:rsidRPr="008610E8" w:rsidRDefault="00835D4B" w:rsidP="00835D4B">
      <w:pPr>
        <w:spacing w:after="0" w:line="240" w:lineRule="auto"/>
        <w:jc w:val="both"/>
        <w:rPr>
          <w:rFonts w:cstheme="minorHAnsi"/>
          <w:lang w:val="ro-RO"/>
        </w:rPr>
      </w:pPr>
    </w:p>
    <w:p w14:paraId="1283CCBA" w14:textId="467D54F6" w:rsidR="00A3012D" w:rsidRPr="008610E8" w:rsidRDefault="00BE3848" w:rsidP="000E38A9">
      <w:pPr>
        <w:spacing w:after="0" w:line="240" w:lineRule="auto"/>
        <w:ind w:firstLine="720"/>
        <w:jc w:val="both"/>
        <w:rPr>
          <w:rFonts w:cstheme="minorHAnsi"/>
          <w:i/>
          <w:lang w:val="ro-RO"/>
        </w:rPr>
      </w:pPr>
      <w:r w:rsidRPr="008610E8">
        <w:rPr>
          <w:rFonts w:cstheme="minorHAnsi"/>
          <w:b/>
          <w:i/>
          <w:color w:val="2E74B5" w:themeColor="accent1" w:themeShade="BF"/>
          <w:sz w:val="24"/>
          <w:lang w:val="ro-RO"/>
        </w:rPr>
        <w:t xml:space="preserve">GI </w:t>
      </w:r>
      <w:r w:rsidR="00403EE0" w:rsidRPr="008610E8">
        <w:rPr>
          <w:rFonts w:cstheme="minorHAnsi"/>
          <w:b/>
          <w:i/>
          <w:color w:val="2E74B5" w:themeColor="accent1" w:themeShade="BF"/>
          <w:sz w:val="24"/>
          <w:lang w:val="ro-RO"/>
        </w:rPr>
        <w:t>Categorie</w:t>
      </w:r>
      <w:r w:rsidR="001563FF" w:rsidRPr="008610E8">
        <w:rPr>
          <w:rFonts w:cstheme="minorHAnsi"/>
          <w:b/>
          <w:i/>
          <w:color w:val="2E74B5" w:themeColor="accent1" w:themeShade="BF"/>
          <w:sz w:val="24"/>
          <w:lang w:val="ro-RO"/>
        </w:rPr>
        <w:t xml:space="preserve"> </w:t>
      </w:r>
      <w:r w:rsidR="00403EE0" w:rsidRPr="008610E8">
        <w:rPr>
          <w:rFonts w:cstheme="minorHAnsi"/>
          <w:b/>
          <w:i/>
          <w:color w:val="2E74B5" w:themeColor="accent1" w:themeShade="BF"/>
          <w:sz w:val="24"/>
          <w:lang w:val="ro-RO"/>
        </w:rPr>
        <w:t>R</w:t>
      </w:r>
      <w:r w:rsidRPr="008610E8">
        <w:rPr>
          <w:rFonts w:cstheme="minorHAnsi"/>
          <w:b/>
          <w:i/>
          <w:color w:val="2E74B5" w:themeColor="accent1" w:themeShade="BF"/>
          <w:sz w:val="24"/>
          <w:lang w:val="ro-RO"/>
        </w:rPr>
        <w:t xml:space="preserve">= </w:t>
      </w:r>
      <w:r w:rsidR="001563FF" w:rsidRPr="008610E8">
        <w:rPr>
          <w:rFonts w:cstheme="minorHAnsi"/>
          <w:b/>
          <w:i/>
          <w:color w:val="2E74B5" w:themeColor="accent1" w:themeShade="BF"/>
          <w:sz w:val="24"/>
          <w:lang w:val="ro-RO"/>
        </w:rPr>
        <w:sym w:font="Symbol" w:char="F053"/>
      </w:r>
      <w:r w:rsidR="001563FF" w:rsidRPr="008610E8">
        <w:rPr>
          <w:rFonts w:cstheme="minorHAnsi"/>
          <w:b/>
          <w:i/>
          <w:color w:val="2E74B5" w:themeColor="accent1" w:themeShade="BF"/>
          <w:sz w:val="24"/>
          <w:lang w:val="ro-RO"/>
        </w:rPr>
        <w:t xml:space="preserve"> G</w:t>
      </w:r>
      <w:r w:rsidR="00403EE0" w:rsidRPr="008610E8">
        <w:rPr>
          <w:rFonts w:cstheme="minorHAnsi"/>
          <w:b/>
          <w:i/>
          <w:color w:val="2E74B5" w:themeColor="accent1" w:themeShade="BF"/>
          <w:sz w:val="24"/>
          <w:lang w:val="ro-RO"/>
        </w:rPr>
        <w:t xml:space="preserve">I Indicator R </w:t>
      </w:r>
      <w:r w:rsidR="001563FF" w:rsidRPr="008610E8">
        <w:rPr>
          <w:rFonts w:cstheme="minorHAnsi"/>
          <w:b/>
          <w:i/>
          <w:color w:val="2E74B5" w:themeColor="accent1" w:themeShade="BF"/>
          <w:sz w:val="24"/>
          <w:lang w:val="ro-RO"/>
        </w:rPr>
        <w:t>*100/ n</w:t>
      </w:r>
      <w:r w:rsidR="00403EE0" w:rsidRPr="008610E8">
        <w:rPr>
          <w:rFonts w:cstheme="minorHAnsi"/>
          <w:b/>
          <w:i/>
          <w:color w:val="2E74B5" w:themeColor="accent1" w:themeShade="BF"/>
          <w:sz w:val="24"/>
          <w:lang w:val="ro-RO"/>
        </w:rPr>
        <w:t>R</w:t>
      </w:r>
      <w:r w:rsidR="00A3012D" w:rsidRPr="008610E8">
        <w:rPr>
          <w:rFonts w:cstheme="minorHAnsi"/>
          <w:b/>
          <w:i/>
          <w:color w:val="2E74B5" w:themeColor="accent1" w:themeShade="BF"/>
          <w:sz w:val="24"/>
          <w:lang w:val="ro-RO"/>
        </w:rPr>
        <w:t>,</w:t>
      </w:r>
      <w:r w:rsidR="00403EE0" w:rsidRPr="008610E8">
        <w:rPr>
          <w:rFonts w:cstheme="minorHAnsi"/>
          <w:b/>
          <w:i/>
          <w:color w:val="2E74B5" w:themeColor="accent1" w:themeShade="BF"/>
          <w:sz w:val="24"/>
          <w:lang w:val="ro-RO"/>
        </w:rPr>
        <w:t xml:space="preserve"> </w:t>
      </w:r>
      <w:r w:rsidR="00A3012D" w:rsidRPr="008610E8">
        <w:rPr>
          <w:rFonts w:cstheme="minorHAnsi"/>
          <w:b/>
          <w:i/>
          <w:color w:val="2E74B5" w:themeColor="accent1" w:themeShade="BF"/>
          <w:sz w:val="24"/>
          <w:lang w:val="ro-RO"/>
        </w:rPr>
        <w:t xml:space="preserve"> </w:t>
      </w:r>
      <w:r w:rsidR="00A3012D" w:rsidRPr="008610E8">
        <w:rPr>
          <w:rFonts w:cstheme="minorHAnsi"/>
          <w:i/>
          <w:lang w:val="ro-RO"/>
        </w:rPr>
        <w:t xml:space="preserve">unde </w:t>
      </w:r>
    </w:p>
    <w:p w14:paraId="6551C96B" w14:textId="6F43C337" w:rsidR="001563FF" w:rsidRPr="008610E8" w:rsidRDefault="00403EE0" w:rsidP="00D64D93">
      <w:pPr>
        <w:spacing w:after="0" w:line="240" w:lineRule="auto"/>
        <w:ind w:left="720" w:firstLine="273"/>
        <w:jc w:val="both"/>
        <w:rPr>
          <w:rFonts w:cstheme="minorHAnsi"/>
          <w:i/>
          <w:lang w:val="ro-RO"/>
        </w:rPr>
      </w:pPr>
      <w:r w:rsidRPr="008610E8">
        <w:rPr>
          <w:rFonts w:cstheme="minorHAnsi"/>
          <w:i/>
          <w:lang w:val="ro-RO"/>
        </w:rPr>
        <w:t>G</w:t>
      </w:r>
      <w:r w:rsidR="00E54A06" w:rsidRPr="008610E8">
        <w:rPr>
          <w:rFonts w:cstheme="minorHAnsi"/>
          <w:i/>
          <w:lang w:val="ro-RO"/>
        </w:rPr>
        <w:t>I</w:t>
      </w:r>
      <w:r w:rsidRPr="008610E8">
        <w:rPr>
          <w:rFonts w:cstheme="minorHAnsi"/>
          <w:i/>
          <w:lang w:val="ro-RO"/>
        </w:rPr>
        <w:t xml:space="preserve"> Indicator R = grad individual de îndeplinire al indicatorilor de realizare</w:t>
      </w:r>
    </w:p>
    <w:p w14:paraId="0DA90383" w14:textId="0B65CCE5" w:rsidR="00A3012D" w:rsidRPr="008610E8" w:rsidRDefault="00A3012D" w:rsidP="00D64D93">
      <w:pPr>
        <w:spacing w:after="0" w:line="240" w:lineRule="auto"/>
        <w:ind w:left="720" w:firstLine="273"/>
        <w:jc w:val="both"/>
        <w:rPr>
          <w:rFonts w:cstheme="minorHAnsi"/>
          <w:i/>
          <w:lang w:val="ro-RO"/>
        </w:rPr>
      </w:pPr>
      <w:r w:rsidRPr="008610E8">
        <w:rPr>
          <w:rFonts w:cstheme="minorHAnsi"/>
          <w:i/>
          <w:lang w:val="ro-RO"/>
        </w:rPr>
        <w:t>n</w:t>
      </w:r>
      <w:r w:rsidR="00403EE0" w:rsidRPr="008610E8">
        <w:rPr>
          <w:rFonts w:cstheme="minorHAnsi"/>
          <w:i/>
          <w:lang w:val="ro-RO"/>
        </w:rPr>
        <w:t>R</w:t>
      </w:r>
      <w:r w:rsidR="001A53D1">
        <w:rPr>
          <w:rFonts w:cstheme="minorHAnsi"/>
          <w:i/>
          <w:lang w:val="ro-RO"/>
        </w:rPr>
        <w:t xml:space="preserve"> </w:t>
      </w:r>
      <w:r w:rsidRPr="008610E8">
        <w:rPr>
          <w:rFonts w:cstheme="minorHAnsi"/>
          <w:i/>
          <w:lang w:val="ro-RO"/>
        </w:rPr>
        <w:t xml:space="preserve">= numărul indicatorilor </w:t>
      </w:r>
      <w:r w:rsidR="001563FF" w:rsidRPr="008610E8">
        <w:rPr>
          <w:rFonts w:cstheme="minorHAnsi"/>
          <w:i/>
          <w:lang w:val="ro-RO"/>
        </w:rPr>
        <w:t>de realizar</w:t>
      </w:r>
      <w:r w:rsidR="00403EE0" w:rsidRPr="008610E8">
        <w:rPr>
          <w:rFonts w:cstheme="minorHAnsi"/>
          <w:i/>
          <w:lang w:val="ro-RO"/>
        </w:rPr>
        <w:t>e</w:t>
      </w:r>
    </w:p>
    <w:p w14:paraId="51D41438" w14:textId="77777777" w:rsidR="00403EE0" w:rsidRPr="008610E8" w:rsidRDefault="00403EE0" w:rsidP="000E38A9">
      <w:pPr>
        <w:spacing w:after="0" w:line="240" w:lineRule="auto"/>
        <w:jc w:val="both"/>
        <w:rPr>
          <w:rFonts w:cstheme="minorHAnsi"/>
          <w:b/>
          <w:i/>
          <w:color w:val="2E74B5" w:themeColor="accent1" w:themeShade="BF"/>
          <w:sz w:val="24"/>
          <w:lang w:val="ro-RO"/>
        </w:rPr>
      </w:pPr>
    </w:p>
    <w:p w14:paraId="50189AC2" w14:textId="46B4EB0A" w:rsidR="00403EE0" w:rsidRPr="008610E8" w:rsidRDefault="00403EE0" w:rsidP="000E38A9">
      <w:pPr>
        <w:spacing w:after="0" w:line="240" w:lineRule="auto"/>
        <w:ind w:firstLine="720"/>
        <w:jc w:val="both"/>
        <w:rPr>
          <w:rFonts w:cstheme="minorHAnsi"/>
          <w:i/>
          <w:lang w:val="ro-RO"/>
        </w:rPr>
      </w:pPr>
      <w:r w:rsidRPr="008610E8">
        <w:rPr>
          <w:rFonts w:cstheme="minorHAnsi"/>
          <w:b/>
          <w:i/>
          <w:color w:val="2E74B5" w:themeColor="accent1" w:themeShade="BF"/>
          <w:sz w:val="24"/>
          <w:lang w:val="ro-RO"/>
        </w:rPr>
        <w:t xml:space="preserve">GI Categorie Ri= </w:t>
      </w:r>
      <w:r w:rsidRPr="008610E8">
        <w:rPr>
          <w:rFonts w:cstheme="minorHAnsi"/>
          <w:b/>
          <w:i/>
          <w:color w:val="2E74B5" w:themeColor="accent1" w:themeShade="BF"/>
          <w:sz w:val="24"/>
          <w:lang w:val="ro-RO"/>
        </w:rPr>
        <w:sym w:font="Symbol" w:char="F053"/>
      </w:r>
      <w:r w:rsidRPr="008610E8">
        <w:rPr>
          <w:rFonts w:cstheme="minorHAnsi"/>
          <w:b/>
          <w:i/>
          <w:color w:val="2E74B5" w:themeColor="accent1" w:themeShade="BF"/>
          <w:sz w:val="24"/>
          <w:lang w:val="ro-RO"/>
        </w:rPr>
        <w:t xml:space="preserve"> GI Indicator Ri *100/ nRi,  </w:t>
      </w:r>
      <w:r w:rsidRPr="008610E8">
        <w:rPr>
          <w:rFonts w:cstheme="minorHAnsi"/>
          <w:i/>
          <w:lang w:val="ro-RO"/>
        </w:rPr>
        <w:t xml:space="preserve">unde </w:t>
      </w:r>
    </w:p>
    <w:p w14:paraId="5AF5EC53" w14:textId="62C06943" w:rsidR="00403EE0" w:rsidRPr="008610E8" w:rsidRDefault="00E54A06" w:rsidP="00D64D93">
      <w:pPr>
        <w:spacing w:after="0" w:line="240" w:lineRule="auto"/>
        <w:ind w:left="720" w:firstLine="273"/>
        <w:jc w:val="both"/>
        <w:rPr>
          <w:rFonts w:cstheme="minorHAnsi"/>
          <w:i/>
          <w:lang w:val="ro-RO"/>
        </w:rPr>
      </w:pPr>
      <w:r w:rsidRPr="008610E8">
        <w:rPr>
          <w:rFonts w:cstheme="minorHAnsi"/>
          <w:i/>
          <w:lang w:val="ro-RO"/>
        </w:rPr>
        <w:t>GI</w:t>
      </w:r>
      <w:r w:rsidR="00403EE0" w:rsidRPr="008610E8">
        <w:rPr>
          <w:rFonts w:cstheme="minorHAnsi"/>
          <w:i/>
          <w:lang w:val="ro-RO"/>
        </w:rPr>
        <w:t xml:space="preserve"> Indicator Ri = grad individual de îndeplinire al indicatorilor de rezultat imediat</w:t>
      </w:r>
    </w:p>
    <w:p w14:paraId="277822EA" w14:textId="604DF8B6" w:rsidR="00403EE0" w:rsidRPr="008610E8" w:rsidRDefault="00403EE0" w:rsidP="00D64D93">
      <w:pPr>
        <w:spacing w:after="0" w:line="240" w:lineRule="auto"/>
        <w:ind w:left="720" w:firstLine="273"/>
        <w:jc w:val="both"/>
        <w:rPr>
          <w:rFonts w:cstheme="minorHAnsi"/>
          <w:i/>
          <w:lang w:val="ro-RO"/>
        </w:rPr>
      </w:pPr>
      <w:r w:rsidRPr="008610E8">
        <w:rPr>
          <w:rFonts w:cstheme="minorHAnsi"/>
          <w:i/>
          <w:lang w:val="ro-RO"/>
        </w:rPr>
        <w:t>nRi</w:t>
      </w:r>
      <w:r w:rsidR="001A53D1">
        <w:rPr>
          <w:rFonts w:cstheme="minorHAnsi"/>
          <w:i/>
          <w:lang w:val="ro-RO"/>
        </w:rPr>
        <w:t xml:space="preserve"> </w:t>
      </w:r>
      <w:r w:rsidRPr="008610E8">
        <w:rPr>
          <w:rFonts w:cstheme="minorHAnsi"/>
          <w:i/>
          <w:lang w:val="ro-RO"/>
        </w:rPr>
        <w:t>= numărul indicatorilor de rezultat imediat</w:t>
      </w:r>
    </w:p>
    <w:p w14:paraId="46E04107" w14:textId="77777777" w:rsidR="00403EE0" w:rsidRDefault="00403EE0" w:rsidP="000E38A9">
      <w:pPr>
        <w:spacing w:after="0" w:line="240" w:lineRule="auto"/>
        <w:jc w:val="both"/>
        <w:rPr>
          <w:rFonts w:cstheme="minorHAnsi"/>
          <w:b/>
          <w:i/>
          <w:lang w:val="ro-RO"/>
        </w:rPr>
      </w:pPr>
    </w:p>
    <w:p w14:paraId="206C3FF2" w14:textId="18B4CDD7" w:rsidR="00A42106" w:rsidRPr="008610E8" w:rsidRDefault="00A42106" w:rsidP="00A42106">
      <w:pPr>
        <w:spacing w:after="0" w:line="240" w:lineRule="auto"/>
        <w:ind w:firstLine="720"/>
        <w:jc w:val="both"/>
        <w:rPr>
          <w:rFonts w:cstheme="minorHAnsi"/>
          <w:i/>
          <w:lang w:val="ro-RO"/>
        </w:rPr>
      </w:pPr>
      <w:r w:rsidRPr="008610E8">
        <w:rPr>
          <w:rFonts w:cstheme="minorHAnsi"/>
          <w:b/>
          <w:i/>
          <w:color w:val="2E74B5" w:themeColor="accent1" w:themeShade="BF"/>
          <w:sz w:val="24"/>
          <w:lang w:val="ro-RO"/>
        </w:rPr>
        <w:t>GI Categorie R</w:t>
      </w:r>
      <w:r>
        <w:rPr>
          <w:rFonts w:cstheme="minorHAnsi"/>
          <w:b/>
          <w:i/>
          <w:color w:val="2E74B5" w:themeColor="accent1" w:themeShade="BF"/>
          <w:sz w:val="24"/>
          <w:lang w:val="ro-RO"/>
        </w:rPr>
        <w:t>tl</w:t>
      </w:r>
      <w:r w:rsidRPr="008610E8">
        <w:rPr>
          <w:rFonts w:cstheme="minorHAnsi"/>
          <w:b/>
          <w:i/>
          <w:color w:val="2E74B5" w:themeColor="accent1" w:themeShade="BF"/>
          <w:sz w:val="24"/>
          <w:lang w:val="ro-RO"/>
        </w:rPr>
        <w:t xml:space="preserve">= </w:t>
      </w:r>
      <w:r w:rsidRPr="008610E8">
        <w:rPr>
          <w:rFonts w:cstheme="minorHAnsi"/>
          <w:b/>
          <w:i/>
          <w:color w:val="2E74B5" w:themeColor="accent1" w:themeShade="BF"/>
          <w:sz w:val="24"/>
          <w:lang w:val="ro-RO"/>
        </w:rPr>
        <w:sym w:font="Symbol" w:char="F053"/>
      </w:r>
      <w:r>
        <w:rPr>
          <w:rFonts w:cstheme="minorHAnsi"/>
          <w:b/>
          <w:i/>
          <w:color w:val="2E74B5" w:themeColor="accent1" w:themeShade="BF"/>
          <w:sz w:val="24"/>
          <w:lang w:val="ro-RO"/>
        </w:rPr>
        <w:t xml:space="preserve"> GI Indicator Rtl</w:t>
      </w:r>
      <w:r w:rsidRPr="008610E8">
        <w:rPr>
          <w:rFonts w:cstheme="minorHAnsi"/>
          <w:b/>
          <w:i/>
          <w:color w:val="2E74B5" w:themeColor="accent1" w:themeShade="BF"/>
          <w:sz w:val="24"/>
          <w:lang w:val="ro-RO"/>
        </w:rPr>
        <w:t xml:space="preserve"> *100/ nR</w:t>
      </w:r>
      <w:r>
        <w:rPr>
          <w:rFonts w:cstheme="minorHAnsi"/>
          <w:b/>
          <w:i/>
          <w:color w:val="2E74B5" w:themeColor="accent1" w:themeShade="BF"/>
          <w:sz w:val="24"/>
          <w:lang w:val="ro-RO"/>
        </w:rPr>
        <w:t>tl</w:t>
      </w:r>
      <w:r w:rsidRPr="008610E8">
        <w:rPr>
          <w:rFonts w:cstheme="minorHAnsi"/>
          <w:b/>
          <w:i/>
          <w:color w:val="2E74B5" w:themeColor="accent1" w:themeShade="BF"/>
          <w:sz w:val="24"/>
          <w:lang w:val="ro-RO"/>
        </w:rPr>
        <w:t xml:space="preserve">,  </w:t>
      </w:r>
      <w:r w:rsidRPr="008610E8">
        <w:rPr>
          <w:rFonts w:cstheme="minorHAnsi"/>
          <w:i/>
          <w:lang w:val="ro-RO"/>
        </w:rPr>
        <w:t xml:space="preserve">unde </w:t>
      </w:r>
    </w:p>
    <w:p w14:paraId="73DDE4F4" w14:textId="564E62B6" w:rsidR="00A42106" w:rsidRPr="008610E8" w:rsidRDefault="00A42106" w:rsidP="00D64D93">
      <w:pPr>
        <w:spacing w:after="0" w:line="240" w:lineRule="auto"/>
        <w:ind w:left="1134" w:hanging="141"/>
        <w:jc w:val="both"/>
        <w:rPr>
          <w:rFonts w:cstheme="minorHAnsi"/>
          <w:i/>
          <w:lang w:val="ro-RO"/>
        </w:rPr>
      </w:pPr>
      <w:r w:rsidRPr="008610E8">
        <w:rPr>
          <w:rFonts w:cstheme="minorHAnsi"/>
          <w:i/>
          <w:lang w:val="ro-RO"/>
        </w:rPr>
        <w:t>GI</w:t>
      </w:r>
      <w:r>
        <w:rPr>
          <w:rFonts w:cstheme="minorHAnsi"/>
          <w:i/>
          <w:lang w:val="ro-RO"/>
        </w:rPr>
        <w:t xml:space="preserve"> Indicator Rtl</w:t>
      </w:r>
      <w:r w:rsidRPr="008610E8">
        <w:rPr>
          <w:rFonts w:cstheme="minorHAnsi"/>
          <w:i/>
          <w:lang w:val="ro-RO"/>
        </w:rPr>
        <w:t xml:space="preserve"> = grad individual de îndeplinire </w:t>
      </w:r>
      <w:r w:rsidRPr="000B33FD">
        <w:rPr>
          <w:rFonts w:cstheme="minorHAnsi"/>
          <w:i/>
          <w:lang w:val="ro-RO"/>
        </w:rPr>
        <w:t xml:space="preserve">al indicatorilor </w:t>
      </w:r>
      <w:r w:rsidR="000B33FD">
        <w:rPr>
          <w:rFonts w:cstheme="minorHAnsi"/>
          <w:i/>
          <w:lang w:val="ro-RO"/>
        </w:rPr>
        <w:t>de rezultat pe termen mai lung</w:t>
      </w:r>
    </w:p>
    <w:p w14:paraId="22A55945" w14:textId="3EBD15BA" w:rsidR="00A42106" w:rsidRPr="008610E8" w:rsidRDefault="00A42106" w:rsidP="00D64D93">
      <w:pPr>
        <w:spacing w:after="0" w:line="240" w:lineRule="auto"/>
        <w:ind w:left="720" w:firstLine="273"/>
        <w:jc w:val="both"/>
        <w:rPr>
          <w:rFonts w:cstheme="minorHAnsi"/>
          <w:i/>
          <w:lang w:val="ro-RO"/>
        </w:rPr>
      </w:pPr>
      <w:r w:rsidRPr="008610E8">
        <w:rPr>
          <w:rFonts w:cstheme="minorHAnsi"/>
          <w:i/>
          <w:lang w:val="ro-RO"/>
        </w:rPr>
        <w:t>nRi</w:t>
      </w:r>
      <w:r w:rsidR="001A53D1">
        <w:rPr>
          <w:rFonts w:cstheme="minorHAnsi"/>
          <w:i/>
          <w:lang w:val="ro-RO"/>
        </w:rPr>
        <w:t xml:space="preserve"> </w:t>
      </w:r>
      <w:r w:rsidRPr="008610E8">
        <w:rPr>
          <w:rFonts w:cstheme="minorHAnsi"/>
          <w:i/>
          <w:lang w:val="ro-RO"/>
        </w:rPr>
        <w:t xml:space="preserve">= numărul indicatorilor de rezultat </w:t>
      </w:r>
      <w:r>
        <w:rPr>
          <w:rFonts w:cstheme="minorHAnsi"/>
          <w:i/>
          <w:lang w:val="ro-RO"/>
        </w:rPr>
        <w:t>pe termen mai lung</w:t>
      </w:r>
    </w:p>
    <w:p w14:paraId="2CCB2240" w14:textId="77777777" w:rsidR="00B54F58" w:rsidRPr="008610E8" w:rsidRDefault="00B54F58" w:rsidP="00D306A1">
      <w:pPr>
        <w:spacing w:after="0" w:line="240" w:lineRule="auto"/>
        <w:jc w:val="both"/>
        <w:rPr>
          <w:rFonts w:cstheme="minorHAnsi"/>
          <w:b/>
          <w:i/>
          <w:lang w:val="ro-RO"/>
        </w:rPr>
      </w:pPr>
    </w:p>
    <w:p w14:paraId="07EDCE8A" w14:textId="4EA6A393" w:rsidR="00B54F58" w:rsidRPr="008610E8" w:rsidRDefault="002C1A87" w:rsidP="0017274E">
      <w:pPr>
        <w:pStyle w:val="Heading2"/>
        <w:spacing w:before="0" w:after="120" w:line="240" w:lineRule="auto"/>
        <w:rPr>
          <w:lang w:val="ro-RO"/>
        </w:rPr>
      </w:pPr>
      <w:r w:rsidRPr="008610E8">
        <w:rPr>
          <w:lang w:val="ro-RO"/>
        </w:rPr>
        <w:t>4</w:t>
      </w:r>
      <w:r w:rsidR="00BE1179" w:rsidRPr="008610E8">
        <w:rPr>
          <w:lang w:val="ro-RO"/>
        </w:rPr>
        <w:t xml:space="preserve">.3. Gradul de îndeplinire </w:t>
      </w:r>
      <w:r w:rsidR="00266AD8">
        <w:rPr>
          <w:lang w:val="ro-RO"/>
        </w:rPr>
        <w:t>calculat pentru fiecare</w:t>
      </w:r>
      <w:r w:rsidR="00B54F58" w:rsidRPr="008610E8">
        <w:rPr>
          <w:lang w:val="ro-RO"/>
        </w:rPr>
        <w:t xml:space="preserve"> indicator</w:t>
      </w:r>
      <w:r w:rsidR="00266AD8">
        <w:rPr>
          <w:lang w:val="ro-RO"/>
        </w:rPr>
        <w:t xml:space="preserve"> în parte</w:t>
      </w:r>
    </w:p>
    <w:p w14:paraId="564F3B5C" w14:textId="51F3A3F2" w:rsidR="0017525F" w:rsidRPr="008610E8" w:rsidRDefault="00BE1179" w:rsidP="004E35F8">
      <w:pPr>
        <w:spacing w:after="120" w:line="240" w:lineRule="auto"/>
        <w:jc w:val="both"/>
        <w:rPr>
          <w:rFonts w:cstheme="minorHAnsi"/>
          <w:lang w:val="ro-RO"/>
        </w:rPr>
      </w:pPr>
      <w:r w:rsidRPr="008610E8">
        <w:rPr>
          <w:rFonts w:cstheme="minorHAnsi"/>
          <w:lang w:val="ro-RO"/>
        </w:rPr>
        <w:t>Indicatorii monitorizați la nivelul POCU pot fi indicatori cu subdiviziuni</w:t>
      </w:r>
      <w:r w:rsidR="00497AA1" w:rsidRPr="008610E8">
        <w:rPr>
          <w:rFonts w:cstheme="minorHAnsi"/>
          <w:lang w:val="ro-RO"/>
        </w:rPr>
        <w:t xml:space="preserve"> (</w:t>
      </w:r>
      <w:r w:rsidR="00E54A06" w:rsidRPr="008610E8">
        <w:rPr>
          <w:rFonts w:cstheme="minorHAnsi"/>
          <w:lang w:val="ro-RO"/>
        </w:rPr>
        <w:t xml:space="preserve">de ex., </w:t>
      </w:r>
      <w:r w:rsidR="00497AA1" w:rsidRPr="008610E8">
        <w:rPr>
          <w:rFonts w:cstheme="minorHAnsi"/>
          <w:lang w:val="ro-RO"/>
        </w:rPr>
        <w:t>persoane care beneficiază de sprijin, din care: din mediul rural, șomeri, de etnie romă)</w:t>
      </w:r>
      <w:r w:rsidR="00BF4FEF" w:rsidRPr="008610E8">
        <w:rPr>
          <w:rFonts w:cstheme="minorHAnsi"/>
          <w:lang w:val="ro-RO"/>
        </w:rPr>
        <w:t xml:space="preserve"> sau indicatori simpli (care nu au subdiviziuni).</w:t>
      </w:r>
    </w:p>
    <w:p w14:paraId="26E9A152" w14:textId="0AE54F10" w:rsidR="00BF4FEF" w:rsidRPr="008610E8" w:rsidRDefault="00BF4FEF" w:rsidP="001A53D1">
      <w:pPr>
        <w:spacing w:after="0" w:line="240" w:lineRule="auto"/>
        <w:jc w:val="both"/>
        <w:rPr>
          <w:rFonts w:cstheme="minorHAnsi"/>
          <w:lang w:val="ro-RO"/>
        </w:rPr>
      </w:pPr>
      <w:r w:rsidRPr="008610E8">
        <w:rPr>
          <w:rFonts w:cstheme="minorHAnsi"/>
          <w:lang w:val="ro-RO"/>
        </w:rPr>
        <w:t xml:space="preserve">Gradul de îndeplinire </w:t>
      </w:r>
      <w:r w:rsidRPr="008610E8">
        <w:rPr>
          <w:rFonts w:cstheme="minorHAnsi"/>
          <w:color w:val="2E74B5" w:themeColor="accent1" w:themeShade="BF"/>
          <w:lang w:val="ro-RO"/>
        </w:rPr>
        <w:t>(GI indicator)</w:t>
      </w:r>
      <w:r w:rsidRPr="008610E8">
        <w:rPr>
          <w:rFonts w:cstheme="minorHAnsi"/>
          <w:lang w:val="ro-RO"/>
        </w:rPr>
        <w:t xml:space="preserve"> se calculează diferit, pentru indicatorii care au subdiviziuni și, respectiv, pentru cei care nu au subdiviziuni. Astfel:</w:t>
      </w:r>
    </w:p>
    <w:p w14:paraId="4504715C" w14:textId="0881FB6E" w:rsidR="00BF4FEF" w:rsidRPr="004E35F8" w:rsidRDefault="00BF4FEF" w:rsidP="00BC2F93">
      <w:pPr>
        <w:pStyle w:val="ListParagraph"/>
        <w:numPr>
          <w:ilvl w:val="0"/>
          <w:numId w:val="24"/>
        </w:numPr>
        <w:spacing w:after="0" w:line="240" w:lineRule="auto"/>
        <w:jc w:val="both"/>
        <w:rPr>
          <w:rFonts w:cstheme="minorHAnsi"/>
          <w:lang w:val="ro-RO"/>
        </w:rPr>
      </w:pPr>
      <w:r w:rsidRPr="004E35F8">
        <w:rPr>
          <w:rFonts w:cstheme="minorHAnsi"/>
          <w:lang w:val="ro-RO"/>
        </w:rPr>
        <w:t xml:space="preserve">În cazul indicatorilor </w:t>
      </w:r>
      <w:r w:rsidR="00E54A06" w:rsidRPr="004E35F8">
        <w:rPr>
          <w:rFonts w:cstheme="minorHAnsi"/>
          <w:lang w:val="ro-RO"/>
        </w:rPr>
        <w:t>fără subdiviziuni</w:t>
      </w:r>
      <w:r w:rsidRPr="004E35F8">
        <w:rPr>
          <w:rFonts w:cstheme="minorHAnsi"/>
          <w:lang w:val="ro-RO"/>
        </w:rPr>
        <w:t>, gradul de îndeplinire a țintelor se calculează direct, conform formulelor de calcul prezentate mai jos</w:t>
      </w:r>
      <w:r w:rsidR="004E35F8" w:rsidRPr="004E35F8">
        <w:rPr>
          <w:rFonts w:cstheme="minorHAnsi"/>
          <w:lang w:val="ro-RO"/>
        </w:rPr>
        <w:t>;</w:t>
      </w:r>
    </w:p>
    <w:p w14:paraId="49193D14" w14:textId="3461A970" w:rsidR="00C13D31" w:rsidRPr="008610E8" w:rsidRDefault="00BF4FEF" w:rsidP="00BC2F93">
      <w:pPr>
        <w:pStyle w:val="ListParagraph"/>
        <w:numPr>
          <w:ilvl w:val="0"/>
          <w:numId w:val="24"/>
        </w:numPr>
        <w:spacing w:after="120" w:line="240" w:lineRule="auto"/>
        <w:contextualSpacing w:val="0"/>
        <w:jc w:val="both"/>
        <w:rPr>
          <w:rFonts w:cstheme="minorHAnsi"/>
          <w:lang w:val="ro-RO"/>
        </w:rPr>
      </w:pPr>
      <w:r w:rsidRPr="008610E8">
        <w:rPr>
          <w:rFonts w:cstheme="minorHAnsi"/>
          <w:lang w:val="ro-RO"/>
        </w:rPr>
        <w:lastRenderedPageBreak/>
        <w:t xml:space="preserve">În cazul </w:t>
      </w:r>
      <w:r w:rsidR="00C13D31" w:rsidRPr="008610E8">
        <w:rPr>
          <w:rFonts w:cstheme="minorHAnsi"/>
          <w:lang w:val="ro-RO"/>
        </w:rPr>
        <w:t>indicatori</w:t>
      </w:r>
      <w:r w:rsidRPr="008610E8">
        <w:rPr>
          <w:rFonts w:cstheme="minorHAnsi"/>
          <w:lang w:val="ro-RO"/>
        </w:rPr>
        <w:t>lor cu subdiviziuni</w:t>
      </w:r>
      <w:r w:rsidR="00C13D31" w:rsidRPr="008610E8">
        <w:rPr>
          <w:rFonts w:cstheme="minorHAnsi"/>
          <w:lang w:val="ro-RO"/>
        </w:rPr>
        <w:t>, g</w:t>
      </w:r>
      <w:r w:rsidR="00497AA1" w:rsidRPr="008610E8">
        <w:rPr>
          <w:rFonts w:cstheme="minorHAnsi"/>
          <w:lang w:val="ro-RO"/>
        </w:rPr>
        <w:t>radul de îndeplinire a țintelor se calculează atât pentru indicatorul principal, cât și separat, pentru fiecare subdiviziune</w:t>
      </w:r>
      <w:r w:rsidR="00B21796">
        <w:rPr>
          <w:rFonts w:cstheme="minorHAnsi"/>
          <w:lang w:val="ro-RO"/>
        </w:rPr>
        <w:t xml:space="preserve"> în parte</w:t>
      </w:r>
      <w:r w:rsidR="00B30C78">
        <w:rPr>
          <w:rStyle w:val="FootnoteReference"/>
          <w:rFonts w:cstheme="minorHAnsi"/>
          <w:lang w:val="ro-RO"/>
        </w:rPr>
        <w:footnoteReference w:id="2"/>
      </w:r>
      <w:r w:rsidR="00B21796">
        <w:rPr>
          <w:rFonts w:cstheme="minorHAnsi"/>
          <w:lang w:val="ro-RO"/>
        </w:rPr>
        <w:t>.</w:t>
      </w:r>
      <w:r w:rsidR="00C13D31" w:rsidRPr="008610E8">
        <w:rPr>
          <w:rFonts w:cstheme="minorHAnsi"/>
          <w:lang w:val="ro-RO"/>
        </w:rPr>
        <w:t xml:space="preserve"> </w:t>
      </w:r>
    </w:p>
    <w:p w14:paraId="256DF4C7" w14:textId="6ABE4397" w:rsidR="00BF4FEF" w:rsidRPr="008610E8" w:rsidRDefault="00BF4FEF" w:rsidP="004E35F8">
      <w:pPr>
        <w:spacing w:after="120" w:line="240" w:lineRule="auto"/>
        <w:rPr>
          <w:rFonts w:cstheme="minorHAnsi"/>
          <w:lang w:val="ro-RO"/>
        </w:rPr>
      </w:pPr>
      <w:r w:rsidRPr="008610E8">
        <w:rPr>
          <w:rFonts w:cstheme="minorHAnsi"/>
          <w:lang w:val="ro-RO"/>
        </w:rPr>
        <w:t>Detaliem mai jos formulele de calcul pentru fiecare tip de indicator în parte:</w:t>
      </w:r>
    </w:p>
    <w:p w14:paraId="54279460" w14:textId="77777777" w:rsidR="00B54F58" w:rsidRPr="00BC2F93" w:rsidRDefault="00B80D4F" w:rsidP="00D306A1">
      <w:pPr>
        <w:pStyle w:val="ListParagraph"/>
        <w:numPr>
          <w:ilvl w:val="0"/>
          <w:numId w:val="36"/>
        </w:numPr>
        <w:spacing w:after="120" w:line="240" w:lineRule="auto"/>
        <w:jc w:val="both"/>
        <w:rPr>
          <w:rFonts w:cstheme="minorHAnsi"/>
          <w:lang w:val="ro-RO"/>
        </w:rPr>
      </w:pPr>
      <w:r w:rsidRPr="00BC2F93">
        <w:rPr>
          <w:rFonts w:cstheme="minorHAnsi"/>
          <w:b/>
          <w:lang w:val="ro-RO"/>
        </w:rPr>
        <w:t>Pentru indicatorii fără subdiviziuni,</w:t>
      </w:r>
      <w:r w:rsidRPr="00BC2F93">
        <w:rPr>
          <w:rFonts w:cstheme="minorHAnsi"/>
          <w:lang w:val="ro-RO"/>
        </w:rPr>
        <w:t xml:space="preserve"> gradul de îndeplinire a țintelor se calculează </w:t>
      </w:r>
      <w:r w:rsidR="00B54F58" w:rsidRPr="00BC2F93">
        <w:rPr>
          <w:rFonts w:cstheme="minorHAnsi"/>
          <w:lang w:val="ro-RO"/>
        </w:rPr>
        <w:t>ca raport între valoarea realizată și cea asumată prin Cererea de Finanțare</w:t>
      </w:r>
      <w:r w:rsidRPr="00BC2F93">
        <w:rPr>
          <w:rFonts w:cstheme="minorHAnsi"/>
          <w:lang w:val="ro-RO"/>
        </w:rPr>
        <w:t>, după formula:</w:t>
      </w:r>
    </w:p>
    <w:p w14:paraId="38A7E2FF" w14:textId="39D50195" w:rsidR="002F2D3A" w:rsidRPr="008610E8" w:rsidRDefault="00B54F58" w:rsidP="00D306A1">
      <w:pPr>
        <w:spacing w:after="120" w:line="240" w:lineRule="auto"/>
        <w:ind w:left="720" w:firstLine="720"/>
        <w:jc w:val="both"/>
        <w:rPr>
          <w:rFonts w:cstheme="minorHAnsi"/>
          <w:i/>
          <w:lang w:val="ro-RO"/>
        </w:rPr>
      </w:pPr>
      <w:r w:rsidRPr="008610E8">
        <w:rPr>
          <w:rFonts w:cstheme="minorHAnsi"/>
          <w:b/>
          <w:i/>
          <w:color w:val="2E74B5" w:themeColor="accent1" w:themeShade="BF"/>
          <w:sz w:val="24"/>
          <w:lang w:val="ro-RO"/>
        </w:rPr>
        <w:t xml:space="preserve">GI indicator </w:t>
      </w:r>
      <w:r w:rsidR="00EB036A" w:rsidRPr="008610E8">
        <w:rPr>
          <w:rFonts w:cstheme="minorHAnsi"/>
          <w:b/>
          <w:i/>
          <w:color w:val="2E74B5" w:themeColor="accent1" w:themeShade="BF"/>
          <w:sz w:val="24"/>
          <w:lang w:val="ro-RO"/>
        </w:rPr>
        <w:t xml:space="preserve">fără subdiviziuni </w:t>
      </w:r>
      <w:r w:rsidRPr="008610E8">
        <w:rPr>
          <w:rFonts w:cstheme="minorHAnsi"/>
          <w:b/>
          <w:i/>
          <w:color w:val="2E74B5" w:themeColor="accent1" w:themeShade="BF"/>
          <w:sz w:val="24"/>
          <w:lang w:val="ro-RO"/>
        </w:rPr>
        <w:t>= (Val realizată / Val estimată)*</w:t>
      </w:r>
      <w:r w:rsidR="00D5063C" w:rsidRPr="008610E8">
        <w:rPr>
          <w:rFonts w:cstheme="minorHAnsi"/>
          <w:b/>
          <w:i/>
          <w:color w:val="2E74B5" w:themeColor="accent1" w:themeShade="BF"/>
          <w:sz w:val="24"/>
          <w:lang w:val="ro-RO"/>
        </w:rPr>
        <w:t>100</w:t>
      </w:r>
      <w:r w:rsidR="002F2D3A" w:rsidRPr="008610E8">
        <w:rPr>
          <w:rFonts w:cstheme="minorHAnsi"/>
          <w:b/>
          <w:i/>
          <w:color w:val="2E74B5" w:themeColor="accent1" w:themeShade="BF"/>
          <w:sz w:val="24"/>
          <w:lang w:val="ro-RO"/>
        </w:rPr>
        <w:t>%</w:t>
      </w:r>
    </w:p>
    <w:p w14:paraId="3E9C9FB5" w14:textId="4032733F" w:rsidR="00D306A1" w:rsidRPr="008610E8" w:rsidRDefault="00C13D31" w:rsidP="001A53D1">
      <w:pPr>
        <w:spacing w:after="360" w:line="240" w:lineRule="auto"/>
        <w:jc w:val="both"/>
        <w:rPr>
          <w:rFonts w:cstheme="minorHAnsi"/>
          <w:lang w:val="ro-RO"/>
        </w:rPr>
      </w:pPr>
      <w:r w:rsidRPr="008610E8">
        <w:rPr>
          <w:rFonts w:cstheme="minorHAnsi"/>
          <w:lang w:val="ro-RO"/>
        </w:rPr>
        <w:t>Indicatorii fără subdiviziuni vor fi considerați indicatori principali, gradul lor de realizare fiind luat în calcul în mod direct pentru calcularea grad</w:t>
      </w:r>
      <w:r w:rsidR="00077211" w:rsidRPr="008610E8">
        <w:rPr>
          <w:rFonts w:cstheme="minorHAnsi"/>
          <w:lang w:val="ro-RO"/>
        </w:rPr>
        <w:t>ului de realizare la nivel de ca</w:t>
      </w:r>
      <w:r w:rsidRPr="008610E8">
        <w:rPr>
          <w:rFonts w:cstheme="minorHAnsi"/>
          <w:lang w:val="ro-RO"/>
        </w:rPr>
        <w:t>tegorie de indicatori (GI indicatori)</w:t>
      </w:r>
      <w:r w:rsidR="00D306A1">
        <w:rPr>
          <w:rFonts w:cstheme="minorHAnsi"/>
          <w:lang w:val="ro-RO"/>
        </w:rPr>
        <w:t>.</w:t>
      </w:r>
    </w:p>
    <w:p w14:paraId="77AF4497" w14:textId="74B0B0EB" w:rsidR="00D306A1" w:rsidRPr="00363007" w:rsidRDefault="00D306A1" w:rsidP="001A53D1">
      <w:pPr>
        <w:pStyle w:val="ListParagraph"/>
        <w:numPr>
          <w:ilvl w:val="0"/>
          <w:numId w:val="36"/>
        </w:numPr>
        <w:spacing w:after="120" w:line="240" w:lineRule="auto"/>
        <w:ind w:left="709" w:hanging="283"/>
        <w:jc w:val="both"/>
        <w:rPr>
          <w:rFonts w:cstheme="minorHAnsi"/>
          <w:b/>
          <w:lang w:val="ro-RO"/>
        </w:rPr>
      </w:pPr>
      <w:r w:rsidRPr="00BC2F93">
        <w:rPr>
          <w:rFonts w:cstheme="minorHAnsi"/>
          <w:b/>
          <w:lang w:val="ro-RO"/>
        </w:rPr>
        <w:t xml:space="preserve">Pentru indicatorii </w:t>
      </w:r>
      <w:r>
        <w:rPr>
          <w:rFonts w:cstheme="minorHAnsi"/>
          <w:b/>
          <w:lang w:val="ro-RO"/>
        </w:rPr>
        <w:t>cu</w:t>
      </w:r>
      <w:r w:rsidRPr="00BC2F93">
        <w:rPr>
          <w:rFonts w:cstheme="minorHAnsi"/>
          <w:b/>
          <w:lang w:val="ro-RO"/>
        </w:rPr>
        <w:t xml:space="preserve"> subdiviziuni</w:t>
      </w:r>
      <w:r>
        <w:rPr>
          <w:rFonts w:cstheme="minorHAnsi"/>
          <w:b/>
          <w:lang w:val="ro-RO"/>
        </w:rPr>
        <w:t>,</w:t>
      </w:r>
      <w:r w:rsidRPr="00BC2F93" w:rsidDel="00363007">
        <w:rPr>
          <w:rFonts w:cstheme="minorHAnsi"/>
          <w:b/>
          <w:lang w:val="ro-RO"/>
        </w:rPr>
        <w:t xml:space="preserve"> </w:t>
      </w:r>
      <w:r w:rsidRPr="00363007">
        <w:rPr>
          <w:rFonts w:cstheme="minorHAnsi"/>
          <w:b/>
          <w:lang w:val="ro-RO"/>
        </w:rPr>
        <w:t>gradul de îndeplinire a țintelor se calculează atât pentru indicatorul principal, cât și separat, pentru fiecare subdiviziune în parte, urmând ca rezultatele să fie cumulate pentru determinarea gradului de îndeplinire al indicatorului cu subdiviziuni. Astfel:</w:t>
      </w:r>
    </w:p>
    <w:p w14:paraId="19E758CF" w14:textId="77777777" w:rsidR="00D306A1" w:rsidRPr="00D42BEC" w:rsidRDefault="00D306A1" w:rsidP="001A53D1">
      <w:pPr>
        <w:pStyle w:val="ListParagraph"/>
        <w:numPr>
          <w:ilvl w:val="1"/>
          <w:numId w:val="36"/>
        </w:numPr>
        <w:ind w:left="1276" w:hanging="283"/>
        <w:jc w:val="both"/>
        <w:rPr>
          <w:rFonts w:cstheme="minorHAnsi"/>
          <w:b/>
          <w:lang w:val="ro-RO"/>
        </w:rPr>
      </w:pPr>
      <w:r w:rsidRPr="00D42BEC">
        <w:rPr>
          <w:rFonts w:cstheme="minorHAnsi"/>
          <w:b/>
          <w:lang w:val="ro-RO"/>
        </w:rPr>
        <w:t>Indicatorul principal are o pondere de 50%;</w:t>
      </w:r>
    </w:p>
    <w:p w14:paraId="5B46ABBA" w14:textId="77777777" w:rsidR="00D306A1" w:rsidRPr="00D42BEC" w:rsidRDefault="00D306A1" w:rsidP="001A53D1">
      <w:pPr>
        <w:pStyle w:val="ListParagraph"/>
        <w:numPr>
          <w:ilvl w:val="1"/>
          <w:numId w:val="36"/>
        </w:numPr>
        <w:spacing w:after="120"/>
        <w:ind w:left="1276" w:hanging="283"/>
        <w:jc w:val="both"/>
        <w:rPr>
          <w:rFonts w:cstheme="minorHAnsi"/>
          <w:b/>
          <w:lang w:val="ro-RO"/>
        </w:rPr>
      </w:pPr>
      <w:r w:rsidRPr="00D42BEC">
        <w:rPr>
          <w:rFonts w:cstheme="minorHAnsi"/>
          <w:b/>
          <w:lang w:val="ro-RO"/>
        </w:rPr>
        <w:t>Sub-diviziunile au o pondere cumulată de 50%</w:t>
      </w:r>
    </w:p>
    <w:p w14:paraId="2034AD2B" w14:textId="182DCEA4" w:rsidR="00E05D2C" w:rsidRPr="00D306A1" w:rsidRDefault="00E05D2C" w:rsidP="001A53D1">
      <w:pPr>
        <w:spacing w:after="120" w:line="240" w:lineRule="auto"/>
        <w:jc w:val="both"/>
        <w:rPr>
          <w:rFonts w:cstheme="minorHAnsi"/>
          <w:lang w:val="ro-RO"/>
        </w:rPr>
      </w:pPr>
      <w:r w:rsidRPr="00880D04">
        <w:rPr>
          <w:rFonts w:cstheme="minorHAnsi"/>
          <w:lang w:val="ro-RO"/>
        </w:rPr>
        <w:t xml:space="preserve">Pentru </w:t>
      </w:r>
      <w:r>
        <w:rPr>
          <w:rFonts w:cstheme="minorHAnsi"/>
          <w:lang w:val="ro-RO"/>
        </w:rPr>
        <w:t>a permite o mai mare flexibilitate în ceea ce privește atingerea țintelor subdiviziunilor, este permisă compensarea între acestea</w:t>
      </w:r>
      <w:r w:rsidR="00EF73AA">
        <w:rPr>
          <w:rFonts w:cstheme="minorHAnsi"/>
          <w:lang w:val="ro-RO"/>
        </w:rPr>
        <w:t>, pe baza formulei de calcul prezentată mai jos</w:t>
      </w:r>
      <w:r>
        <w:rPr>
          <w:rFonts w:cstheme="minorHAnsi"/>
          <w:lang w:val="ro-RO"/>
        </w:rPr>
        <w:t>. Excepție fac acele subdiviziuni pentru care au fost stabilite ținte minime prin ghidurile condiții specifice</w:t>
      </w:r>
      <w:r w:rsidR="00B43F40">
        <w:rPr>
          <w:rFonts w:cstheme="minorHAnsi"/>
          <w:lang w:val="ro-RO"/>
        </w:rPr>
        <w:t xml:space="preserve"> și al căror grad de îndeplinire va fi luat în calcul în mod individual.</w:t>
      </w:r>
    </w:p>
    <w:p w14:paraId="284021A6" w14:textId="70539103" w:rsidR="00C80DDF" w:rsidRPr="008610E8" w:rsidRDefault="00E05D2C" w:rsidP="00A759E8">
      <w:pPr>
        <w:spacing w:after="120" w:line="240" w:lineRule="auto"/>
        <w:jc w:val="both"/>
        <w:rPr>
          <w:rFonts w:cstheme="minorHAnsi"/>
          <w:lang w:val="ro-RO"/>
        </w:rPr>
      </w:pPr>
      <w:r>
        <w:rPr>
          <w:rFonts w:cstheme="minorHAnsi"/>
          <w:lang w:val="ro-RO"/>
        </w:rPr>
        <w:tab/>
      </w:r>
      <w:r w:rsidR="00C80DDF" w:rsidRPr="008610E8">
        <w:rPr>
          <w:rFonts w:cstheme="minorHAnsi"/>
          <w:lang w:val="ro-RO"/>
        </w:rPr>
        <w:t>Formulele de calcul sunt prezentate mai jos:</w:t>
      </w:r>
    </w:p>
    <w:p w14:paraId="2DC60ED3" w14:textId="578EBD59" w:rsidR="00A43141" w:rsidRDefault="00EB036A" w:rsidP="00E32CE0">
      <w:pPr>
        <w:spacing w:after="120" w:line="240" w:lineRule="auto"/>
        <w:ind w:left="720"/>
        <w:jc w:val="both"/>
        <w:rPr>
          <w:rFonts w:cstheme="minorHAnsi"/>
          <w:b/>
          <w:i/>
          <w:color w:val="2E74B5" w:themeColor="accent1" w:themeShade="BF"/>
          <w:sz w:val="24"/>
          <w:lang w:val="ro-RO"/>
        </w:rPr>
      </w:pPr>
      <w:r w:rsidRPr="008610E8">
        <w:rPr>
          <w:rFonts w:cstheme="minorHAnsi"/>
          <w:b/>
          <w:i/>
          <w:color w:val="2E74B5" w:themeColor="accent1" w:themeShade="BF"/>
          <w:sz w:val="24"/>
          <w:lang w:val="ro-RO"/>
        </w:rPr>
        <w:t xml:space="preserve">GI indicator cu subdiviziuni = </w:t>
      </w:r>
      <w:r w:rsidR="00D306A1">
        <w:rPr>
          <w:rFonts w:cstheme="minorHAnsi"/>
          <w:b/>
          <w:i/>
          <w:color w:val="2E74B5" w:themeColor="accent1" w:themeShade="BF"/>
          <w:sz w:val="24"/>
          <w:lang w:val="ro-RO"/>
        </w:rPr>
        <w:t>(</w:t>
      </w:r>
      <w:r w:rsidR="00525ECB" w:rsidRPr="008610E8">
        <w:rPr>
          <w:rFonts w:cstheme="minorHAnsi"/>
          <w:b/>
          <w:i/>
          <w:color w:val="2E74B5" w:themeColor="accent1" w:themeShade="BF"/>
          <w:sz w:val="24"/>
          <w:lang w:val="ro-RO"/>
        </w:rPr>
        <w:t>GI Indicator principal</w:t>
      </w:r>
      <w:r w:rsidR="00497AA1" w:rsidRPr="008610E8">
        <w:rPr>
          <w:rFonts w:cstheme="minorHAnsi"/>
          <w:b/>
          <w:i/>
          <w:color w:val="2E74B5" w:themeColor="accent1" w:themeShade="BF"/>
          <w:sz w:val="24"/>
          <w:lang w:val="ro-RO"/>
        </w:rPr>
        <w:t xml:space="preserve"> + </w:t>
      </w:r>
      <w:r w:rsidR="00525ECB" w:rsidRPr="008610E8">
        <w:rPr>
          <w:rFonts w:cstheme="minorHAnsi"/>
          <w:b/>
          <w:i/>
          <w:color w:val="2E74B5" w:themeColor="accent1" w:themeShade="BF"/>
          <w:sz w:val="24"/>
          <w:lang w:val="ro-RO"/>
        </w:rPr>
        <w:t>GI</w:t>
      </w:r>
      <w:r w:rsidR="00497AA1" w:rsidRPr="008610E8">
        <w:rPr>
          <w:rFonts w:cstheme="minorHAnsi"/>
          <w:b/>
          <w:i/>
          <w:color w:val="2E74B5" w:themeColor="accent1" w:themeShade="BF"/>
          <w:sz w:val="24"/>
          <w:lang w:val="ro-RO"/>
        </w:rPr>
        <w:t xml:space="preserve"> subdiviziuni</w:t>
      </w:r>
      <w:r w:rsidR="00D306A1">
        <w:rPr>
          <w:rFonts w:cstheme="minorHAnsi"/>
          <w:b/>
          <w:i/>
          <w:color w:val="2E74B5" w:themeColor="accent1" w:themeShade="BF"/>
          <w:sz w:val="24"/>
          <w:lang w:val="ro-RO"/>
        </w:rPr>
        <w:t>)/2</w:t>
      </w:r>
    </w:p>
    <w:p w14:paraId="5B23BBB6" w14:textId="0B45CBD5" w:rsidR="00525ECB" w:rsidRPr="008610E8" w:rsidRDefault="00525ECB" w:rsidP="00E32CE0">
      <w:pPr>
        <w:spacing w:after="120" w:line="240" w:lineRule="auto"/>
        <w:ind w:left="720"/>
        <w:jc w:val="both"/>
        <w:rPr>
          <w:rFonts w:cstheme="minorHAnsi"/>
          <w:b/>
          <w:i/>
          <w:color w:val="2E74B5" w:themeColor="accent1" w:themeShade="BF"/>
          <w:sz w:val="24"/>
          <w:lang w:val="ro-RO"/>
        </w:rPr>
      </w:pPr>
      <w:r w:rsidRPr="008610E8">
        <w:rPr>
          <w:rFonts w:cstheme="minorHAnsi"/>
          <w:b/>
          <w:i/>
          <w:color w:val="2E74B5" w:themeColor="accent1" w:themeShade="BF"/>
          <w:sz w:val="24"/>
          <w:lang w:val="ro-RO"/>
        </w:rPr>
        <w:t>GI Indicator principal = (Val realizată/Val estimată)*100%</w:t>
      </w:r>
    </w:p>
    <w:p w14:paraId="0152B18C" w14:textId="35A1C17B" w:rsidR="00B43F40" w:rsidRDefault="00B43F40" w:rsidP="00E32CE0">
      <w:pPr>
        <w:tabs>
          <w:tab w:val="left" w:pos="993"/>
        </w:tabs>
        <w:spacing w:after="120" w:line="240" w:lineRule="auto"/>
        <w:ind w:left="720"/>
        <w:jc w:val="both"/>
        <w:rPr>
          <w:rFonts w:cstheme="minorHAnsi"/>
          <w:b/>
          <w:i/>
          <w:color w:val="2E74B5" w:themeColor="accent1" w:themeShade="BF"/>
          <w:sz w:val="24"/>
          <w:lang w:val="ro-RO"/>
        </w:rPr>
      </w:pPr>
      <w:r w:rsidRPr="00C43144">
        <w:rPr>
          <w:rFonts w:cstheme="minorHAnsi"/>
          <w:b/>
          <w:i/>
          <w:color w:val="2E74B5" w:themeColor="accent1" w:themeShade="BF"/>
          <w:sz w:val="24"/>
          <w:lang w:val="ro-RO"/>
        </w:rPr>
        <w:t xml:space="preserve">GI </w:t>
      </w:r>
      <w:r w:rsidR="00235717">
        <w:rPr>
          <w:rFonts w:cstheme="minorHAnsi"/>
          <w:b/>
          <w:i/>
          <w:color w:val="2E74B5" w:themeColor="accent1" w:themeShade="BF"/>
          <w:sz w:val="24"/>
          <w:lang w:val="ro-RO"/>
        </w:rPr>
        <w:t xml:space="preserve">total </w:t>
      </w:r>
      <w:r w:rsidRPr="00C43144">
        <w:rPr>
          <w:rFonts w:cstheme="minorHAnsi"/>
          <w:b/>
          <w:i/>
          <w:color w:val="2E74B5" w:themeColor="accent1" w:themeShade="BF"/>
          <w:sz w:val="24"/>
          <w:lang w:val="ro-RO"/>
        </w:rPr>
        <w:t xml:space="preserve">subdiviziuni = </w:t>
      </w:r>
      <w:r w:rsidRPr="00C43144">
        <w:rPr>
          <w:rFonts w:cstheme="minorHAnsi"/>
          <w:b/>
          <w:i/>
          <w:color w:val="2E74B5" w:themeColor="accent1" w:themeShade="BF"/>
          <w:sz w:val="24"/>
          <w:lang w:val="ro-RO"/>
        </w:rPr>
        <w:sym w:font="Symbol" w:char="F053"/>
      </w:r>
      <w:r w:rsidRPr="00C43144">
        <w:rPr>
          <w:rFonts w:cstheme="minorHAnsi"/>
          <w:b/>
          <w:i/>
          <w:color w:val="2E74B5" w:themeColor="accent1" w:themeShade="BF"/>
          <w:sz w:val="24"/>
          <w:lang w:val="ro-RO"/>
        </w:rPr>
        <w:t>G</w:t>
      </w:r>
      <w:r w:rsidR="00C43144" w:rsidRPr="00C43144">
        <w:rPr>
          <w:rFonts w:cstheme="minorHAnsi"/>
          <w:b/>
          <w:i/>
          <w:color w:val="2E74B5" w:themeColor="accent1" w:themeShade="BF"/>
          <w:sz w:val="24"/>
          <w:lang w:val="ro-RO"/>
        </w:rPr>
        <w:t>I</w:t>
      </w:r>
      <w:r w:rsidRPr="00C43144">
        <w:rPr>
          <w:rFonts w:cstheme="minorHAnsi"/>
          <w:b/>
          <w:i/>
          <w:color w:val="2E74B5" w:themeColor="accent1" w:themeShade="BF"/>
          <w:sz w:val="24"/>
          <w:lang w:val="ro-RO"/>
        </w:rPr>
        <w:t xml:space="preserve"> subdiviziuni/nr</w:t>
      </w:r>
      <w:r w:rsidR="00245017" w:rsidRPr="00C43144">
        <w:rPr>
          <w:rFonts w:cstheme="minorHAnsi"/>
          <w:b/>
          <w:i/>
          <w:color w:val="2E74B5" w:themeColor="accent1" w:themeShade="BF"/>
          <w:sz w:val="24"/>
          <w:lang w:val="ro-RO"/>
        </w:rPr>
        <w:t>.</w:t>
      </w:r>
      <w:r w:rsidRPr="00C43144">
        <w:rPr>
          <w:rFonts w:cstheme="minorHAnsi"/>
          <w:b/>
          <w:i/>
          <w:color w:val="2E74B5" w:themeColor="accent1" w:themeShade="BF"/>
          <w:sz w:val="24"/>
          <w:lang w:val="ro-RO"/>
        </w:rPr>
        <w:t xml:space="preserve"> subdiviziuni</w:t>
      </w:r>
      <w:r w:rsidR="008829C3" w:rsidRPr="00C43144">
        <w:rPr>
          <w:rFonts w:cstheme="minorHAnsi"/>
          <w:b/>
          <w:i/>
          <w:color w:val="2E74B5" w:themeColor="accent1" w:themeShade="BF"/>
          <w:sz w:val="24"/>
          <w:lang w:val="ro-RO"/>
        </w:rPr>
        <w:t>, în care:</w:t>
      </w:r>
    </w:p>
    <w:p w14:paraId="25AF6BBB" w14:textId="645DDFBA" w:rsidR="008829C3" w:rsidRPr="00245017" w:rsidRDefault="00525ECB" w:rsidP="008829C3">
      <w:pPr>
        <w:pStyle w:val="ListParagraph"/>
        <w:numPr>
          <w:ilvl w:val="0"/>
          <w:numId w:val="38"/>
        </w:numPr>
        <w:tabs>
          <w:tab w:val="left" w:pos="993"/>
        </w:tabs>
        <w:spacing w:after="120" w:line="240" w:lineRule="auto"/>
        <w:jc w:val="both"/>
        <w:rPr>
          <w:rFonts w:cstheme="minorHAnsi"/>
          <w:b/>
          <w:i/>
          <w:color w:val="2E74B5" w:themeColor="accent1" w:themeShade="BF"/>
          <w:sz w:val="24"/>
          <w:lang w:val="ro-RO"/>
        </w:rPr>
      </w:pPr>
      <w:r w:rsidRPr="008610E8">
        <w:rPr>
          <w:rFonts w:cstheme="minorHAnsi"/>
          <w:b/>
          <w:i/>
          <w:color w:val="2E74B5" w:themeColor="accent1" w:themeShade="BF"/>
          <w:sz w:val="24"/>
          <w:lang w:val="ro-RO"/>
        </w:rPr>
        <w:t>GI subdiviziun</w:t>
      </w:r>
      <w:r w:rsidR="006407D4">
        <w:rPr>
          <w:rFonts w:cstheme="minorHAnsi"/>
          <w:b/>
          <w:i/>
          <w:color w:val="2E74B5" w:themeColor="accent1" w:themeShade="BF"/>
          <w:sz w:val="24"/>
          <w:lang w:val="ro-RO"/>
        </w:rPr>
        <w:t>i</w:t>
      </w:r>
      <w:r w:rsidR="00970B45">
        <w:rPr>
          <w:rFonts w:cstheme="minorHAnsi"/>
          <w:b/>
          <w:i/>
          <w:color w:val="2E74B5" w:themeColor="accent1" w:themeShade="BF"/>
          <w:sz w:val="24"/>
          <w:lang w:val="ro-RO"/>
        </w:rPr>
        <w:t xml:space="preserve"> cu țintă</w:t>
      </w:r>
      <w:r w:rsidRPr="008610E8">
        <w:rPr>
          <w:rFonts w:cstheme="minorHAnsi"/>
          <w:b/>
          <w:i/>
          <w:color w:val="2E74B5" w:themeColor="accent1" w:themeShade="BF"/>
          <w:sz w:val="24"/>
          <w:lang w:val="ro-RO"/>
        </w:rPr>
        <w:t xml:space="preserve"> =</w:t>
      </w:r>
      <w:r w:rsidR="00A83092">
        <w:rPr>
          <w:rFonts w:cstheme="minorHAnsi"/>
          <w:b/>
          <w:i/>
          <w:color w:val="2E74B5" w:themeColor="accent1" w:themeShade="BF"/>
          <w:sz w:val="24"/>
          <w:lang w:val="ro-RO"/>
        </w:rPr>
        <w:t xml:space="preserve"> </w:t>
      </w:r>
      <w:r w:rsidR="00A83092" w:rsidRPr="008610E8">
        <w:rPr>
          <w:rFonts w:cstheme="minorHAnsi"/>
          <w:b/>
          <w:i/>
          <w:color w:val="2E74B5" w:themeColor="accent1" w:themeShade="BF"/>
          <w:sz w:val="24"/>
          <w:lang w:val="ro-RO"/>
        </w:rPr>
        <w:t>(Val realizată/Val estimată)*100%</w:t>
      </w:r>
      <w:r w:rsidR="008829C3">
        <w:rPr>
          <w:rFonts w:cstheme="minorHAnsi"/>
          <w:b/>
          <w:i/>
          <w:color w:val="2E74B5" w:themeColor="accent1" w:themeShade="BF"/>
          <w:sz w:val="24"/>
          <w:lang w:val="ro-RO"/>
        </w:rPr>
        <w:t xml:space="preserve"> </w:t>
      </w:r>
    </w:p>
    <w:p w14:paraId="1BE951E5" w14:textId="7E7D1EBA" w:rsidR="008829C3" w:rsidRPr="00245017" w:rsidRDefault="008829C3" w:rsidP="00245017">
      <w:pPr>
        <w:pStyle w:val="ListParagraph"/>
        <w:tabs>
          <w:tab w:val="left" w:pos="993"/>
        </w:tabs>
        <w:spacing w:after="120" w:line="240" w:lineRule="auto"/>
        <w:ind w:left="1786"/>
        <w:contextualSpacing w:val="0"/>
        <w:jc w:val="both"/>
        <w:rPr>
          <w:rFonts w:cstheme="minorHAnsi"/>
          <w:bCs/>
          <w:i/>
          <w:sz w:val="24"/>
          <w:lang w:val="ro-RO"/>
        </w:rPr>
      </w:pPr>
      <w:r w:rsidRPr="00245017">
        <w:rPr>
          <w:rFonts w:cstheme="minorHAnsi"/>
          <w:bCs/>
          <w:i/>
          <w:sz w:val="24"/>
          <w:lang w:val="ro-RO"/>
        </w:rPr>
        <w:t>GI va fi luat în calcul separat pentru fiecare subdiviziune cu țintă în parte</w:t>
      </w:r>
    </w:p>
    <w:p w14:paraId="63BBC031" w14:textId="386F77DC" w:rsidR="00EF73AA" w:rsidRPr="008829C3" w:rsidRDefault="00EF73AA" w:rsidP="008829C3">
      <w:pPr>
        <w:pStyle w:val="ListParagraph"/>
        <w:numPr>
          <w:ilvl w:val="0"/>
          <w:numId w:val="39"/>
        </w:numPr>
        <w:tabs>
          <w:tab w:val="left" w:pos="993"/>
        </w:tabs>
        <w:spacing w:after="120" w:line="240" w:lineRule="auto"/>
        <w:jc w:val="both"/>
        <w:rPr>
          <w:rFonts w:cstheme="minorHAnsi"/>
          <w:b/>
          <w:i/>
          <w:color w:val="2E74B5" w:themeColor="accent1" w:themeShade="BF"/>
          <w:sz w:val="24"/>
          <w:lang w:val="ro-RO"/>
        </w:rPr>
      </w:pPr>
      <w:r w:rsidRPr="008829C3">
        <w:rPr>
          <w:rFonts w:cstheme="minorHAnsi"/>
          <w:b/>
          <w:i/>
          <w:color w:val="2E74B5" w:themeColor="accent1" w:themeShade="BF"/>
          <w:sz w:val="24"/>
          <w:lang w:val="ro-RO"/>
        </w:rPr>
        <w:t>GI subdiviziuni fără țintă = (</w:t>
      </w:r>
      <w:r w:rsidRPr="00245017">
        <w:rPr>
          <w:rFonts w:cstheme="minorHAnsi"/>
          <w:b/>
          <w:i/>
          <w:color w:val="2E74B5" w:themeColor="accent1" w:themeShade="BF"/>
          <w:sz w:val="24"/>
          <w:lang w:val="ro-RO"/>
        </w:rPr>
        <w:sym w:font="Symbol" w:char="F053"/>
      </w:r>
      <w:r w:rsidRPr="008829C3">
        <w:rPr>
          <w:rFonts w:cstheme="minorHAnsi"/>
          <w:b/>
          <w:i/>
          <w:color w:val="2E74B5" w:themeColor="accent1" w:themeShade="BF"/>
          <w:sz w:val="24"/>
          <w:lang w:val="ro-RO"/>
        </w:rPr>
        <w:t xml:space="preserve"> </w:t>
      </w:r>
      <w:r w:rsidRPr="0009178C">
        <w:rPr>
          <w:rFonts w:cstheme="minorHAnsi"/>
          <w:b/>
          <w:i/>
          <w:color w:val="2E74B5" w:themeColor="accent1" w:themeShade="BF"/>
          <w:sz w:val="24"/>
          <w:u w:val="single"/>
          <w:lang w:val="ro-RO"/>
        </w:rPr>
        <w:t>valori realizate</w:t>
      </w:r>
      <w:r w:rsidRPr="008829C3">
        <w:rPr>
          <w:rFonts w:cstheme="minorHAnsi"/>
          <w:b/>
          <w:i/>
          <w:color w:val="2E74B5" w:themeColor="accent1" w:themeShade="BF"/>
          <w:sz w:val="24"/>
          <w:lang w:val="ro-RO"/>
        </w:rPr>
        <w:t xml:space="preserve"> subdivizuni fără țintă/ </w:t>
      </w:r>
      <w:r w:rsidRPr="00245017">
        <w:rPr>
          <w:rFonts w:cstheme="minorHAnsi"/>
          <w:b/>
          <w:i/>
          <w:color w:val="2E74B5" w:themeColor="accent1" w:themeShade="BF"/>
          <w:sz w:val="24"/>
          <w:lang w:val="ro-RO"/>
        </w:rPr>
        <w:sym w:font="Symbol" w:char="F053"/>
      </w:r>
      <w:r w:rsidRPr="008829C3">
        <w:rPr>
          <w:rFonts w:cstheme="minorHAnsi"/>
          <w:b/>
          <w:i/>
          <w:color w:val="2E74B5" w:themeColor="accent1" w:themeShade="BF"/>
          <w:sz w:val="24"/>
          <w:lang w:val="ro-RO"/>
        </w:rPr>
        <w:t xml:space="preserve"> Țintelor asumate)*100%</w:t>
      </w:r>
    </w:p>
    <w:p w14:paraId="6A9F96CF" w14:textId="77777777" w:rsidR="000A2BF8" w:rsidRPr="00E32CE0" w:rsidRDefault="006B184A" w:rsidP="00E32CE0">
      <w:pPr>
        <w:tabs>
          <w:tab w:val="left" w:pos="993"/>
        </w:tabs>
        <w:spacing w:after="120" w:line="240" w:lineRule="auto"/>
        <w:jc w:val="both"/>
        <w:rPr>
          <w:rFonts w:cstheme="minorHAnsi"/>
          <w:i/>
          <w:color w:val="2E74B5" w:themeColor="accent1" w:themeShade="BF"/>
          <w:sz w:val="24"/>
          <w:lang w:val="ro-RO"/>
        </w:rPr>
      </w:pPr>
      <w:r w:rsidRPr="00E32CE0">
        <w:rPr>
          <w:rFonts w:cstheme="minorHAnsi"/>
          <w:bCs/>
          <w:i/>
          <w:color w:val="2E74B5" w:themeColor="accent1" w:themeShade="BF"/>
          <w:sz w:val="24"/>
          <w:lang w:val="ro-RO"/>
        </w:rPr>
        <w:t>S</w:t>
      </w:r>
      <w:r w:rsidR="008829C3" w:rsidRPr="00E32CE0">
        <w:rPr>
          <w:rFonts w:cstheme="minorHAnsi"/>
          <w:i/>
          <w:color w:val="2E74B5" w:themeColor="accent1" w:themeShade="BF"/>
          <w:sz w:val="24"/>
          <w:lang w:val="ro-RO"/>
        </w:rPr>
        <w:t xml:space="preserve">ubdiviziunile fără țintă vor avea un grad de îndeplinire cumulat, care va fi </w:t>
      </w:r>
      <w:r w:rsidR="00073A45" w:rsidRPr="00E32CE0">
        <w:rPr>
          <w:rFonts w:cstheme="minorHAnsi"/>
          <w:i/>
          <w:color w:val="2E74B5" w:themeColor="accent1" w:themeShade="BF"/>
          <w:sz w:val="24"/>
          <w:lang w:val="ro-RO"/>
        </w:rPr>
        <w:t>echivalentul unei singure subdiviziuni</w:t>
      </w:r>
      <w:r w:rsidR="00AD447C" w:rsidRPr="00E32CE0">
        <w:rPr>
          <w:rFonts w:cstheme="minorHAnsi"/>
          <w:i/>
          <w:color w:val="2E74B5" w:themeColor="accent1" w:themeShade="BF"/>
          <w:sz w:val="24"/>
          <w:lang w:val="ro-RO"/>
        </w:rPr>
        <w:t xml:space="preserve"> în GI subdiviziuni.</w:t>
      </w:r>
      <w:r w:rsidR="000A2BF8" w:rsidRPr="00E32CE0">
        <w:rPr>
          <w:rFonts w:cstheme="minorHAnsi"/>
          <w:i/>
          <w:color w:val="2E74B5" w:themeColor="accent1" w:themeShade="BF"/>
          <w:sz w:val="24"/>
          <w:lang w:val="ro-RO"/>
        </w:rPr>
        <w:t xml:space="preserve"> </w:t>
      </w:r>
    </w:p>
    <w:p w14:paraId="44844007" w14:textId="387202EA" w:rsidR="008829C3" w:rsidRPr="00E32CE0" w:rsidRDefault="000A2BF8" w:rsidP="00E32CE0">
      <w:pPr>
        <w:tabs>
          <w:tab w:val="left" w:pos="993"/>
        </w:tabs>
        <w:spacing w:after="120" w:line="240" w:lineRule="auto"/>
        <w:jc w:val="both"/>
        <w:rPr>
          <w:rFonts w:cstheme="minorHAnsi"/>
          <w:i/>
          <w:color w:val="2E74B5" w:themeColor="accent1" w:themeShade="BF"/>
          <w:sz w:val="24"/>
          <w:lang w:val="ro-RO"/>
        </w:rPr>
      </w:pPr>
      <w:r w:rsidRPr="00E32CE0">
        <w:rPr>
          <w:rFonts w:cstheme="minorHAnsi"/>
          <w:i/>
          <w:color w:val="2E74B5" w:themeColor="accent1" w:themeShade="BF"/>
          <w:sz w:val="24"/>
          <w:lang w:val="ro-RO"/>
        </w:rPr>
        <w:t xml:space="preserve">Atenție: </w:t>
      </w:r>
      <w:r w:rsidR="00F66704" w:rsidRPr="00E32CE0">
        <w:rPr>
          <w:rFonts w:cstheme="minorHAnsi"/>
          <w:i/>
          <w:color w:val="2E74B5" w:themeColor="accent1" w:themeShade="BF"/>
          <w:sz w:val="24"/>
          <w:lang w:val="ro-RO"/>
        </w:rPr>
        <w:t xml:space="preserve"> </w:t>
      </w:r>
      <w:r w:rsidR="009F014A" w:rsidRPr="00E32CE0">
        <w:rPr>
          <w:rFonts w:cstheme="minorHAnsi"/>
          <w:i/>
          <w:color w:val="2E74B5" w:themeColor="accent1" w:themeShade="BF"/>
          <w:sz w:val="24"/>
          <w:lang w:val="ro-RO"/>
        </w:rPr>
        <w:t>Se adună valorile realizate, respectiv țintele asumate și apoi se calculează raportul acestora, nu se calculează un grad de realizare separat pentru fiecare subdiviziune fără țintă.</w:t>
      </w:r>
    </w:p>
    <w:p w14:paraId="345C77B5" w14:textId="77777777" w:rsidR="00B43F40" w:rsidRDefault="00B43F40" w:rsidP="00B43F40">
      <w:pPr>
        <w:tabs>
          <w:tab w:val="left" w:pos="993"/>
        </w:tabs>
        <w:spacing w:after="120" w:line="240" w:lineRule="auto"/>
        <w:jc w:val="both"/>
        <w:rPr>
          <w:rFonts w:cstheme="minorHAnsi"/>
          <w:b/>
          <w:i/>
          <w:color w:val="2E74B5" w:themeColor="accent1" w:themeShade="BF"/>
          <w:sz w:val="24"/>
          <w:lang w:val="ro-RO"/>
        </w:rPr>
      </w:pPr>
    </w:p>
    <w:p w14:paraId="74E77BB5" w14:textId="77777777" w:rsidR="002B4093" w:rsidRPr="008610E8" w:rsidRDefault="002B4093" w:rsidP="00E901C3">
      <w:pPr>
        <w:pStyle w:val="Heading1"/>
        <w:numPr>
          <w:ilvl w:val="0"/>
          <w:numId w:val="17"/>
        </w:numPr>
        <w:spacing w:before="0" w:after="120" w:line="240" w:lineRule="auto"/>
        <w:ind w:left="357" w:hanging="357"/>
        <w:jc w:val="both"/>
        <w:rPr>
          <w:b/>
          <w:sz w:val="28"/>
          <w:lang w:val="ro-RO"/>
        </w:rPr>
      </w:pPr>
      <w:r w:rsidRPr="008610E8">
        <w:rPr>
          <w:b/>
          <w:sz w:val="28"/>
          <w:lang w:val="ro-RO"/>
        </w:rPr>
        <w:t>Măsuri în cazul neîndeplinirii țintelor indicatorilor în cadrul proiectelor cu finanțare POCU</w:t>
      </w:r>
    </w:p>
    <w:p w14:paraId="6C34BADA" w14:textId="6871D490" w:rsidR="00D56774" w:rsidRPr="008610E8" w:rsidRDefault="002B4093" w:rsidP="00E901C3">
      <w:pPr>
        <w:spacing w:after="120" w:line="240" w:lineRule="auto"/>
        <w:jc w:val="both"/>
        <w:rPr>
          <w:rFonts w:cstheme="minorHAnsi"/>
          <w:lang w:val="ro-RO"/>
        </w:rPr>
      </w:pPr>
      <w:r w:rsidRPr="008610E8">
        <w:rPr>
          <w:rFonts w:cstheme="minorHAnsi"/>
          <w:lang w:val="ro-RO"/>
        </w:rPr>
        <w:t>Valoarea maximă a gradului de îndeplinire (subdiviziuni, individual, la nivel de categorie sau global)</w:t>
      </w:r>
      <w:r w:rsidR="00224759">
        <w:rPr>
          <w:rFonts w:cstheme="minorHAnsi"/>
          <w:lang w:val="ro-RO"/>
        </w:rPr>
        <w:t>,</w:t>
      </w:r>
      <w:r w:rsidRPr="008610E8">
        <w:rPr>
          <w:rFonts w:cstheme="minorHAnsi"/>
          <w:lang w:val="ro-RO"/>
        </w:rPr>
        <w:t xml:space="preserve"> </w:t>
      </w:r>
      <w:r w:rsidR="006B4B05" w:rsidRPr="008610E8">
        <w:rPr>
          <w:rFonts w:cstheme="minorHAnsi"/>
          <w:lang w:val="ro-RO"/>
        </w:rPr>
        <w:t xml:space="preserve">care </w:t>
      </w:r>
      <w:r w:rsidR="00D56774" w:rsidRPr="008610E8">
        <w:rPr>
          <w:rFonts w:cstheme="minorHAnsi"/>
          <w:lang w:val="ro-RO"/>
        </w:rPr>
        <w:t xml:space="preserve">va </w:t>
      </w:r>
      <w:r w:rsidR="006B4B05" w:rsidRPr="008610E8">
        <w:rPr>
          <w:rFonts w:cstheme="minorHAnsi"/>
          <w:lang w:val="ro-RO"/>
        </w:rPr>
        <w:t>fi luată în calcul pentru determinarea gradului de îndeplinire conform prezentei metodologii</w:t>
      </w:r>
      <w:r w:rsidR="00224759">
        <w:rPr>
          <w:rFonts w:cstheme="minorHAnsi"/>
          <w:lang w:val="ro-RO"/>
        </w:rPr>
        <w:t>,</w:t>
      </w:r>
      <w:r w:rsidR="006B4B05" w:rsidRPr="008610E8">
        <w:rPr>
          <w:rFonts w:cstheme="minorHAnsi"/>
          <w:lang w:val="ro-RO"/>
        </w:rPr>
        <w:t xml:space="preserve"> </w:t>
      </w:r>
      <w:r w:rsidR="0013591B" w:rsidRPr="008610E8">
        <w:rPr>
          <w:rFonts w:cstheme="minorHAnsi"/>
          <w:lang w:val="ro-RO"/>
        </w:rPr>
        <w:t>este de</w:t>
      </w:r>
      <w:r w:rsidRPr="008610E8">
        <w:rPr>
          <w:rFonts w:cstheme="minorHAnsi"/>
          <w:lang w:val="ro-RO"/>
        </w:rPr>
        <w:t xml:space="preserve"> 100%. </w:t>
      </w:r>
    </w:p>
    <w:p w14:paraId="60B9CC83" w14:textId="4F97450F" w:rsidR="002B4093" w:rsidRPr="008610E8" w:rsidRDefault="00D56774" w:rsidP="00E901C3">
      <w:pPr>
        <w:spacing w:after="120" w:line="240" w:lineRule="auto"/>
        <w:jc w:val="both"/>
        <w:rPr>
          <w:rFonts w:cstheme="minorHAnsi"/>
          <w:b/>
          <w:i/>
          <w:lang w:val="ro-RO"/>
        </w:rPr>
      </w:pPr>
      <w:r w:rsidRPr="008610E8">
        <w:rPr>
          <w:rFonts w:cstheme="minorHAnsi"/>
          <w:b/>
          <w:i/>
          <w:lang w:val="ro-RO"/>
        </w:rPr>
        <w:lastRenderedPageBreak/>
        <w:t>În</w:t>
      </w:r>
      <w:r w:rsidR="002B4093" w:rsidRPr="008610E8">
        <w:rPr>
          <w:rFonts w:cstheme="minorHAnsi"/>
          <w:b/>
          <w:i/>
          <w:lang w:val="ro-RO"/>
        </w:rPr>
        <w:t xml:space="preserve"> cazul în care se constată că, în practică, țintele asumate au fost depășite, valoarea luată în considerare</w:t>
      </w:r>
      <w:r w:rsidR="006B4B05" w:rsidRPr="008610E8">
        <w:rPr>
          <w:rFonts w:cstheme="minorHAnsi"/>
          <w:b/>
          <w:i/>
          <w:lang w:val="ro-RO"/>
        </w:rPr>
        <w:t xml:space="preserve"> pentru </w:t>
      </w:r>
      <w:r w:rsidR="00077211" w:rsidRPr="008610E8">
        <w:rPr>
          <w:rFonts w:cstheme="minorHAnsi"/>
          <w:b/>
          <w:i/>
          <w:lang w:val="ro-RO"/>
        </w:rPr>
        <w:t xml:space="preserve">determinarea gradului de îndeplinire </w:t>
      </w:r>
      <w:r w:rsidR="002B4093" w:rsidRPr="008610E8">
        <w:rPr>
          <w:rFonts w:cstheme="minorHAnsi"/>
          <w:b/>
          <w:i/>
          <w:lang w:val="ro-RO"/>
        </w:rPr>
        <w:t xml:space="preserve">va fi 100%. </w:t>
      </w:r>
    </w:p>
    <w:p w14:paraId="02C3752F" w14:textId="0436AC4D" w:rsidR="00BE20E8" w:rsidRPr="00BE20E8" w:rsidRDefault="00BE20E8" w:rsidP="00665AB2">
      <w:pPr>
        <w:spacing w:after="240" w:line="240" w:lineRule="auto"/>
        <w:jc w:val="both"/>
        <w:rPr>
          <w:rFonts w:cstheme="minorHAnsi"/>
          <w:lang w:val="ro-RO"/>
        </w:rPr>
      </w:pPr>
      <w:r w:rsidRPr="00BE20E8">
        <w:rPr>
          <w:rFonts w:cstheme="minorHAnsi"/>
          <w:lang w:val="ro-RO"/>
        </w:rPr>
        <w:t>Totodată, având în vedere că implementarea poate fi afectată de numeroși factori independenți de voința sau capacitatea de acțiune a Beneficiar</w:t>
      </w:r>
      <w:r w:rsidR="00553542">
        <w:rPr>
          <w:rFonts w:cstheme="minorHAnsi"/>
          <w:lang w:val="ro-RO"/>
        </w:rPr>
        <w:t>ilor</w:t>
      </w:r>
      <w:r w:rsidR="001F43F7">
        <w:rPr>
          <w:rFonts w:cstheme="minorHAnsi"/>
          <w:lang w:val="ro-RO"/>
        </w:rPr>
        <w:t xml:space="preserve">, pentru a veni în sprijinul </w:t>
      </w:r>
      <w:r w:rsidR="00516733">
        <w:rPr>
          <w:rFonts w:cstheme="minorHAnsi"/>
          <w:lang w:val="ro-RO"/>
        </w:rPr>
        <w:t>acestora:</w:t>
      </w:r>
    </w:p>
    <w:tbl>
      <w:tblPr>
        <w:tblStyle w:val="TableGrid"/>
        <w:tblW w:w="0" w:type="auto"/>
        <w:tblBorders>
          <w:top w:val="single" w:sz="24" w:space="0" w:color="1F4E79" w:themeColor="accent1" w:themeShade="80"/>
          <w:left w:val="single" w:sz="24" w:space="0" w:color="1F4E79" w:themeColor="accent1" w:themeShade="80"/>
          <w:bottom w:val="single" w:sz="24" w:space="0" w:color="1F4E79" w:themeColor="accent1" w:themeShade="80"/>
          <w:right w:val="single" w:sz="24" w:space="0" w:color="1F4E79" w:themeColor="accent1" w:themeShade="80"/>
          <w:insideH w:val="none" w:sz="0" w:space="0" w:color="auto"/>
          <w:insideV w:val="none" w:sz="0" w:space="0" w:color="auto"/>
        </w:tblBorders>
        <w:tblLook w:val="04A0" w:firstRow="1" w:lastRow="0" w:firstColumn="1" w:lastColumn="0" w:noHBand="0" w:noVBand="1"/>
      </w:tblPr>
      <w:tblGrid>
        <w:gridCol w:w="8966"/>
      </w:tblGrid>
      <w:tr w:rsidR="001F43F7" w14:paraId="71B9566A" w14:textId="77777777" w:rsidTr="00856D6C">
        <w:tc>
          <w:tcPr>
            <w:tcW w:w="9323" w:type="dxa"/>
          </w:tcPr>
          <w:p w14:paraId="4AD8942D" w14:textId="5733819B" w:rsidR="00B43F40" w:rsidRPr="00DE17E0" w:rsidRDefault="001F43F7" w:rsidP="00B43F40">
            <w:pPr>
              <w:spacing w:after="120"/>
              <w:jc w:val="both"/>
              <w:rPr>
                <w:rFonts w:cstheme="minorHAnsi"/>
                <w:lang w:val="ro-RO"/>
              </w:rPr>
            </w:pPr>
            <w:r>
              <w:rPr>
                <w:rFonts w:cstheme="minorHAnsi"/>
                <w:b/>
                <w:lang w:val="ro-RO"/>
              </w:rPr>
              <w:t>Î</w:t>
            </w:r>
            <w:r w:rsidRPr="00CF0224">
              <w:rPr>
                <w:rFonts w:cstheme="minorHAnsi"/>
                <w:b/>
                <w:lang w:val="ro-RO"/>
              </w:rPr>
              <w:t>n cazul în care se constată că gradul de îndeplinire a țintelor la nivelul categoriei de indicatori este mai mare sau egal cu 90%, nu se aplică nicio corecție financiară</w:t>
            </w:r>
            <w:r>
              <w:rPr>
                <w:rFonts w:cstheme="minorHAnsi"/>
                <w:lang w:val="ro-RO"/>
              </w:rPr>
              <w:t>.</w:t>
            </w:r>
          </w:p>
        </w:tc>
      </w:tr>
    </w:tbl>
    <w:p w14:paraId="1AA8643D" w14:textId="77777777" w:rsidR="001F43F7" w:rsidRDefault="001F43F7" w:rsidP="00665AB2">
      <w:pPr>
        <w:spacing w:after="0" w:line="240" w:lineRule="auto"/>
        <w:jc w:val="both"/>
        <w:rPr>
          <w:rFonts w:cstheme="minorHAnsi"/>
          <w:lang w:val="ro-RO"/>
        </w:rPr>
      </w:pPr>
    </w:p>
    <w:p w14:paraId="407CA7D7" w14:textId="093FC0D8" w:rsidR="00516733" w:rsidRDefault="00516733" w:rsidP="00E32CE0">
      <w:pPr>
        <w:spacing w:after="0" w:line="240" w:lineRule="auto"/>
        <w:jc w:val="both"/>
        <w:rPr>
          <w:rFonts w:cstheme="minorHAnsi"/>
          <w:lang w:val="ro-RO"/>
        </w:rPr>
      </w:pPr>
      <w:r>
        <w:rPr>
          <w:rFonts w:cstheme="minorHAnsi"/>
          <w:lang w:val="ro-RO"/>
        </w:rPr>
        <w:t>Acest interval de toleranță de 10% se bazează pe următoarele premise:</w:t>
      </w:r>
    </w:p>
    <w:p w14:paraId="388CC0B8" w14:textId="77777777" w:rsidR="00BE20E8" w:rsidRPr="00E901C3" w:rsidRDefault="00BE20E8" w:rsidP="00E32CE0">
      <w:pPr>
        <w:pStyle w:val="ListParagraph"/>
        <w:numPr>
          <w:ilvl w:val="0"/>
          <w:numId w:val="26"/>
        </w:numPr>
        <w:spacing w:after="120" w:line="240" w:lineRule="auto"/>
        <w:ind w:left="709" w:hanging="283"/>
        <w:jc w:val="both"/>
        <w:rPr>
          <w:rFonts w:cstheme="minorHAnsi"/>
          <w:lang w:val="ro-RO"/>
        </w:rPr>
      </w:pPr>
      <w:r w:rsidRPr="00E901C3">
        <w:rPr>
          <w:rFonts w:cstheme="minorHAnsi"/>
          <w:lang w:val="ro-RO"/>
        </w:rPr>
        <w:t>Implementarea a condus la atingerea țintelor asumate într-o mare măsură sau integral, ceea ce poate conduce la concluzia că obiectivele propuse prin intervenție au fost atinse, de o manieră corespunzătoare;</w:t>
      </w:r>
    </w:p>
    <w:p w14:paraId="058650C3" w14:textId="77777777" w:rsidR="00BE20E8" w:rsidRDefault="00BE20E8" w:rsidP="00E32CE0">
      <w:pPr>
        <w:pStyle w:val="ListParagraph"/>
        <w:numPr>
          <w:ilvl w:val="0"/>
          <w:numId w:val="26"/>
        </w:numPr>
        <w:spacing w:after="120" w:line="240" w:lineRule="auto"/>
        <w:ind w:left="709" w:hanging="283"/>
        <w:jc w:val="both"/>
        <w:rPr>
          <w:rFonts w:cstheme="minorHAnsi"/>
          <w:lang w:val="ro-RO"/>
        </w:rPr>
      </w:pPr>
      <w:r w:rsidRPr="00E901C3">
        <w:rPr>
          <w:rFonts w:cstheme="minorHAnsi"/>
          <w:lang w:val="ro-RO"/>
        </w:rPr>
        <w:t xml:space="preserve">Valorile asumate în contractare sunt estimări din perioada de pregătire a proiectului și o deviație minimă față de estimările inițiale este, în general, considerată acceptabilă în practica implementării FSE (a se vedea, de ex., </w:t>
      </w:r>
      <w:r>
        <w:rPr>
          <w:rFonts w:cstheme="minorHAnsi"/>
          <w:lang w:val="ro-RO"/>
        </w:rPr>
        <w:t xml:space="preserve">CE, </w:t>
      </w:r>
      <w:r w:rsidRPr="00E901C3">
        <w:rPr>
          <w:rFonts w:cstheme="minorHAnsi"/>
          <w:lang w:val="ro-RO"/>
        </w:rPr>
        <w:t>Spania, Marea Britanie, Cehia).</w:t>
      </w:r>
    </w:p>
    <w:p w14:paraId="32051CFE" w14:textId="77777777" w:rsidR="00E32CE0" w:rsidRDefault="00D4608E" w:rsidP="00FD20D3">
      <w:pPr>
        <w:spacing w:before="240" w:after="120" w:line="240" w:lineRule="auto"/>
        <w:jc w:val="both"/>
        <w:rPr>
          <w:rFonts w:cstheme="minorHAnsi"/>
          <w:b/>
          <w:lang w:val="ro-RO"/>
        </w:rPr>
      </w:pPr>
      <w:r w:rsidRPr="008610E8">
        <w:rPr>
          <w:rFonts w:cstheme="minorHAnsi"/>
          <w:lang w:val="ro-RO"/>
        </w:rPr>
        <w:t>Pe de altă parte, pentru ca implementarea să fie considerată acceptabilă</w:t>
      </w:r>
      <w:r w:rsidR="00517EBD" w:rsidRPr="008610E8">
        <w:rPr>
          <w:rFonts w:cstheme="minorHAnsi"/>
          <w:lang w:val="ro-RO"/>
        </w:rPr>
        <w:t xml:space="preserve"> conform practicii europene în implementarea FSE</w:t>
      </w:r>
      <w:r w:rsidRPr="008610E8">
        <w:rPr>
          <w:rFonts w:cstheme="minorHAnsi"/>
          <w:lang w:val="ro-RO"/>
        </w:rPr>
        <w:t xml:space="preserve">, </w:t>
      </w:r>
      <w:r w:rsidRPr="008610E8">
        <w:rPr>
          <w:rFonts w:cstheme="minorHAnsi"/>
          <w:b/>
          <w:lang w:val="ro-RO"/>
        </w:rPr>
        <w:t xml:space="preserve">gradul </w:t>
      </w:r>
      <w:r w:rsidRPr="00C43144">
        <w:rPr>
          <w:rFonts w:cstheme="minorHAnsi"/>
          <w:b/>
          <w:lang w:val="ro-RO"/>
        </w:rPr>
        <w:t xml:space="preserve">de îndeplinire </w:t>
      </w:r>
      <w:r w:rsidR="003B2E6F" w:rsidRPr="00C43144">
        <w:rPr>
          <w:rFonts w:cstheme="minorHAnsi"/>
          <w:b/>
          <w:lang w:val="ro-RO"/>
        </w:rPr>
        <w:t>al indicatorilor</w:t>
      </w:r>
      <w:r w:rsidR="009F306B" w:rsidRPr="00C43144">
        <w:rPr>
          <w:rFonts w:cstheme="minorHAnsi"/>
          <w:b/>
          <w:lang w:val="ro-RO"/>
        </w:rPr>
        <w:t xml:space="preserve"> </w:t>
      </w:r>
      <w:r w:rsidRPr="008610E8">
        <w:rPr>
          <w:rFonts w:cstheme="minorHAnsi"/>
          <w:b/>
          <w:lang w:val="ro-RO"/>
        </w:rPr>
        <w:t xml:space="preserve">trebuie să </w:t>
      </w:r>
      <w:r w:rsidR="004C70FA" w:rsidRPr="008610E8">
        <w:rPr>
          <w:rFonts w:cstheme="minorHAnsi"/>
          <w:b/>
          <w:lang w:val="ro-RO"/>
        </w:rPr>
        <w:t>atingă un nivel minim rezonabil</w:t>
      </w:r>
      <w:r w:rsidR="000D3500" w:rsidRPr="008610E8">
        <w:rPr>
          <w:rFonts w:cstheme="minorHAnsi"/>
          <w:b/>
          <w:lang w:val="ro-RO"/>
        </w:rPr>
        <w:t>.</w:t>
      </w:r>
      <w:r w:rsidR="00671001" w:rsidRPr="008610E8">
        <w:rPr>
          <w:rFonts w:cstheme="minorHAnsi"/>
          <w:b/>
          <w:lang w:val="ro-RO"/>
        </w:rPr>
        <w:t xml:space="preserve"> </w:t>
      </w:r>
    </w:p>
    <w:p w14:paraId="797CDF5E" w14:textId="0D1677F8" w:rsidR="008F348B" w:rsidRPr="00C973F8" w:rsidRDefault="00C973F8" w:rsidP="00FD20D3">
      <w:pPr>
        <w:spacing w:before="240" w:after="120" w:line="240" w:lineRule="auto"/>
        <w:jc w:val="both"/>
        <w:rPr>
          <w:rFonts w:cstheme="minorHAnsi"/>
          <w:lang w:val="ro-RO"/>
        </w:rPr>
      </w:pPr>
      <w:r w:rsidRPr="00C973F8">
        <w:rPr>
          <w:rFonts w:cstheme="minorHAnsi"/>
          <w:lang w:val="ro-RO"/>
        </w:rPr>
        <w:t>Drept urmare:</w:t>
      </w:r>
    </w:p>
    <w:tbl>
      <w:tblPr>
        <w:tblStyle w:val="TableGrid"/>
        <w:tblW w:w="0" w:type="auto"/>
        <w:tblBorders>
          <w:top w:val="single" w:sz="24" w:space="0" w:color="1F4E79" w:themeColor="accent1" w:themeShade="80"/>
          <w:left w:val="single" w:sz="24" w:space="0" w:color="1F4E79" w:themeColor="accent1" w:themeShade="80"/>
          <w:bottom w:val="single" w:sz="24" w:space="0" w:color="1F4E79" w:themeColor="accent1" w:themeShade="80"/>
          <w:right w:val="single" w:sz="24" w:space="0" w:color="1F4E79" w:themeColor="accent1" w:themeShade="80"/>
          <w:insideH w:val="none" w:sz="0" w:space="0" w:color="auto"/>
          <w:insideV w:val="none" w:sz="0" w:space="0" w:color="auto"/>
        </w:tblBorders>
        <w:tblLook w:val="04A0" w:firstRow="1" w:lastRow="0" w:firstColumn="1" w:lastColumn="0" w:noHBand="0" w:noVBand="1"/>
      </w:tblPr>
      <w:tblGrid>
        <w:gridCol w:w="8966"/>
      </w:tblGrid>
      <w:tr w:rsidR="00C973F8" w14:paraId="56122C4B" w14:textId="77777777" w:rsidTr="00856D6C">
        <w:tc>
          <w:tcPr>
            <w:tcW w:w="9323" w:type="dxa"/>
          </w:tcPr>
          <w:p w14:paraId="171337BD" w14:textId="77777777" w:rsidR="009579ED" w:rsidRDefault="00C973F8" w:rsidP="00856D6C">
            <w:pPr>
              <w:spacing w:after="120"/>
              <w:jc w:val="both"/>
              <w:rPr>
                <w:rFonts w:cstheme="minorHAnsi"/>
                <w:b/>
                <w:bCs/>
                <w:lang w:val="ro-RO"/>
              </w:rPr>
            </w:pPr>
            <w:r>
              <w:rPr>
                <w:rFonts w:cstheme="minorHAnsi"/>
                <w:b/>
                <w:lang w:val="ro-RO"/>
              </w:rPr>
              <w:t>Î</w:t>
            </w:r>
            <w:r w:rsidRPr="00445695">
              <w:rPr>
                <w:rFonts w:cstheme="minorHAnsi"/>
                <w:b/>
                <w:lang w:val="ro-RO"/>
              </w:rPr>
              <w:t>n cazul în care se constată că gradul de îndeplinire a țintelor la nivel global este mai mic de 35%, contractul se va rezilia, cu obligația returnării finanțării nerambursabile primite</w:t>
            </w:r>
            <w:r>
              <w:rPr>
                <w:rFonts w:cstheme="minorHAnsi"/>
                <w:b/>
                <w:lang w:val="ro-RO"/>
              </w:rPr>
              <w:t>.</w:t>
            </w:r>
            <w:r w:rsidR="009579ED" w:rsidRPr="008B28A9">
              <w:rPr>
                <w:rFonts w:cstheme="minorHAnsi"/>
                <w:b/>
                <w:bCs/>
                <w:lang w:val="ro-RO"/>
              </w:rPr>
              <w:t xml:space="preserve"> </w:t>
            </w:r>
          </w:p>
          <w:p w14:paraId="1427CDE3" w14:textId="2D91F2EB" w:rsidR="008B28A9" w:rsidRPr="008B28A9" w:rsidRDefault="009D6A65" w:rsidP="009579ED">
            <w:pPr>
              <w:spacing w:after="120"/>
              <w:jc w:val="both"/>
              <w:rPr>
                <w:rFonts w:cstheme="minorHAnsi"/>
                <w:b/>
                <w:bCs/>
                <w:lang w:val="ro-RO"/>
              </w:rPr>
            </w:pPr>
            <w:r>
              <w:rPr>
                <w:rFonts w:cstheme="minorHAnsi"/>
                <w:b/>
                <w:lang w:val="ro-RO"/>
              </w:rPr>
              <w:t>Pragul de 35% va fi aplicat doar pentru gradul de îndeplinire la nivel global</w:t>
            </w:r>
            <w:r w:rsidRPr="0088061A">
              <w:rPr>
                <w:rFonts w:cstheme="minorHAnsi"/>
                <w:b/>
                <w:lang w:val="ro-RO"/>
              </w:rPr>
              <w:t>. În cazul în care se constată că gradul de îndeplinire a țintelor la nivelul unei categorii de indicatori este mai mic de 35%, corecția financiară se va aplica proporțional la nivelul respectivei categorii.</w:t>
            </w:r>
          </w:p>
        </w:tc>
      </w:tr>
    </w:tbl>
    <w:p w14:paraId="2599158F" w14:textId="6D202B16" w:rsidR="00020CF8" w:rsidRPr="008610E8" w:rsidRDefault="00AB5AE4" w:rsidP="00D95575">
      <w:pPr>
        <w:spacing w:before="120" w:after="0" w:line="240" w:lineRule="auto"/>
        <w:jc w:val="both"/>
        <w:rPr>
          <w:rFonts w:cstheme="minorHAnsi"/>
          <w:lang w:val="ro-RO"/>
        </w:rPr>
      </w:pPr>
      <w:r>
        <w:rPr>
          <w:rFonts w:cstheme="minorHAnsi"/>
          <w:lang w:val="ro-RO"/>
        </w:rPr>
        <w:t xml:space="preserve">Stabilirea pragului minim pleacă </w:t>
      </w:r>
      <w:r w:rsidR="00020CF8" w:rsidRPr="008610E8">
        <w:rPr>
          <w:rFonts w:cstheme="minorHAnsi"/>
          <w:lang w:val="ro-RO"/>
        </w:rPr>
        <w:t>de la următoarele premise:</w:t>
      </w:r>
    </w:p>
    <w:p w14:paraId="7CDCCE56" w14:textId="70AF47A4" w:rsidR="00020CF8" w:rsidRPr="008610E8" w:rsidRDefault="00020CF8" w:rsidP="00E32CE0">
      <w:pPr>
        <w:pStyle w:val="ListParagraph"/>
        <w:numPr>
          <w:ilvl w:val="0"/>
          <w:numId w:val="1"/>
        </w:numPr>
        <w:spacing w:after="0" w:line="240" w:lineRule="auto"/>
        <w:ind w:left="709" w:hanging="283"/>
        <w:contextualSpacing w:val="0"/>
        <w:jc w:val="both"/>
        <w:rPr>
          <w:rFonts w:cstheme="minorHAnsi"/>
          <w:lang w:val="ro-RO"/>
        </w:rPr>
      </w:pPr>
      <w:r w:rsidRPr="008610E8">
        <w:rPr>
          <w:rFonts w:cstheme="minorHAnsi"/>
          <w:lang w:val="ro-RO"/>
        </w:rPr>
        <w:t>Implementarea nu a atin</w:t>
      </w:r>
      <w:r w:rsidR="00077211" w:rsidRPr="008610E8">
        <w:rPr>
          <w:rFonts w:cstheme="minorHAnsi"/>
          <w:lang w:val="ro-RO"/>
        </w:rPr>
        <w:t>s</w:t>
      </w:r>
      <w:r w:rsidRPr="008610E8">
        <w:rPr>
          <w:rFonts w:cstheme="minorHAnsi"/>
          <w:lang w:val="ro-RO"/>
        </w:rPr>
        <w:t xml:space="preserve"> țintel</w:t>
      </w:r>
      <w:r w:rsidR="00077211" w:rsidRPr="008610E8">
        <w:rPr>
          <w:rFonts w:cstheme="minorHAnsi"/>
          <w:lang w:val="ro-RO"/>
        </w:rPr>
        <w:t>e</w:t>
      </w:r>
      <w:r w:rsidRPr="008610E8">
        <w:rPr>
          <w:rFonts w:cstheme="minorHAnsi"/>
          <w:lang w:val="ro-RO"/>
        </w:rPr>
        <w:t xml:space="preserve"> a</w:t>
      </w:r>
      <w:r w:rsidR="00077211" w:rsidRPr="008610E8">
        <w:rPr>
          <w:rFonts w:cstheme="minorHAnsi"/>
          <w:lang w:val="ro-RO"/>
        </w:rPr>
        <w:t>sumate</w:t>
      </w:r>
      <w:r w:rsidRPr="008610E8">
        <w:rPr>
          <w:rFonts w:cstheme="minorHAnsi"/>
          <w:lang w:val="ro-RO"/>
        </w:rPr>
        <w:t xml:space="preserve">, ceea ce poate conduce la concluzia că obiectivele propuse prin intervenție nu au fost </w:t>
      </w:r>
      <w:r w:rsidR="00862040" w:rsidRPr="008610E8">
        <w:rPr>
          <w:rFonts w:cstheme="minorHAnsi"/>
          <w:lang w:val="ro-RO"/>
        </w:rPr>
        <w:t>îndeplinite</w:t>
      </w:r>
      <w:r w:rsidRPr="008610E8">
        <w:rPr>
          <w:rFonts w:cstheme="minorHAnsi"/>
          <w:lang w:val="ro-RO"/>
        </w:rPr>
        <w:t>;</w:t>
      </w:r>
    </w:p>
    <w:p w14:paraId="3DE4ACB5" w14:textId="0F5C4190" w:rsidR="00020CF8" w:rsidRPr="008610E8" w:rsidRDefault="00020CF8" w:rsidP="00E32CE0">
      <w:pPr>
        <w:pStyle w:val="ListParagraph"/>
        <w:numPr>
          <w:ilvl w:val="0"/>
          <w:numId w:val="1"/>
        </w:numPr>
        <w:spacing w:after="0" w:line="240" w:lineRule="auto"/>
        <w:ind w:left="709" w:hanging="283"/>
        <w:contextualSpacing w:val="0"/>
        <w:jc w:val="both"/>
        <w:rPr>
          <w:rFonts w:cstheme="minorHAnsi"/>
          <w:lang w:val="ro-RO"/>
        </w:rPr>
      </w:pPr>
      <w:r w:rsidRPr="008610E8">
        <w:rPr>
          <w:rFonts w:cstheme="minorHAnsi"/>
          <w:lang w:val="ro-RO"/>
        </w:rPr>
        <w:t>Valorile asumate în contractare diferă semnificativ față de cele obținute, ceea ce poate însemna fie că pregătirea proiectului a fost nerealistă, fie că implementarea a fost defectuoasă;</w:t>
      </w:r>
    </w:p>
    <w:p w14:paraId="08C27226" w14:textId="139B8D59" w:rsidR="00020CF8" w:rsidRDefault="00020CF8" w:rsidP="00E32CE0">
      <w:pPr>
        <w:pStyle w:val="ListParagraph"/>
        <w:numPr>
          <w:ilvl w:val="0"/>
          <w:numId w:val="1"/>
        </w:numPr>
        <w:spacing w:after="120" w:line="240" w:lineRule="auto"/>
        <w:ind w:left="709" w:hanging="283"/>
        <w:contextualSpacing w:val="0"/>
        <w:jc w:val="both"/>
        <w:rPr>
          <w:rFonts w:cstheme="minorHAnsi"/>
          <w:lang w:val="ro-RO"/>
        </w:rPr>
      </w:pPr>
      <w:r w:rsidRPr="008610E8">
        <w:rPr>
          <w:rFonts w:cstheme="minorHAnsi"/>
          <w:lang w:val="ro-RO"/>
        </w:rPr>
        <w:t>Praguri similare</w:t>
      </w:r>
      <w:r w:rsidR="00835187">
        <w:rPr>
          <w:rFonts w:cstheme="minorHAnsi"/>
          <w:lang w:val="ro-RO"/>
        </w:rPr>
        <w:t xml:space="preserve"> și chiar mai mari</w:t>
      </w:r>
      <w:r w:rsidRPr="008610E8">
        <w:rPr>
          <w:rFonts w:cstheme="minorHAnsi"/>
          <w:lang w:val="ro-RO"/>
        </w:rPr>
        <w:t xml:space="preserve"> sunt utilizate și în alte state UE în implementarea FSE (</w:t>
      </w:r>
      <w:r w:rsidR="00BC6662">
        <w:rPr>
          <w:rFonts w:cstheme="minorHAnsi"/>
          <w:lang w:val="ro-RO"/>
        </w:rPr>
        <w:t>de ex.</w:t>
      </w:r>
      <w:r w:rsidR="00C040FE">
        <w:rPr>
          <w:rFonts w:cstheme="minorHAnsi"/>
          <w:lang w:val="ro-RO"/>
        </w:rPr>
        <w:t xml:space="preserve"> </w:t>
      </w:r>
      <w:r w:rsidR="000D3500" w:rsidRPr="008610E8">
        <w:rPr>
          <w:rFonts w:cstheme="minorHAnsi"/>
          <w:lang w:val="ro-RO"/>
        </w:rPr>
        <w:t xml:space="preserve"> Cehia, Spania</w:t>
      </w:r>
      <w:r w:rsidR="009E344E">
        <w:rPr>
          <w:rFonts w:cstheme="minorHAnsi"/>
          <w:lang w:val="ro-RO"/>
        </w:rPr>
        <w:t>)</w:t>
      </w:r>
      <w:r w:rsidR="00017E5B">
        <w:rPr>
          <w:rFonts w:cstheme="minorHAnsi"/>
          <w:lang w:val="ro-RO"/>
        </w:rPr>
        <w:t xml:space="preserve"> </w:t>
      </w:r>
    </w:p>
    <w:p w14:paraId="60E3D165" w14:textId="518A4581" w:rsidR="00D4608E" w:rsidRDefault="005078BB" w:rsidP="00225EC6">
      <w:pPr>
        <w:spacing w:after="120" w:line="240" w:lineRule="auto"/>
        <w:jc w:val="both"/>
        <w:rPr>
          <w:rFonts w:cstheme="minorHAnsi"/>
          <w:b/>
          <w:lang w:val="ro-RO"/>
        </w:rPr>
      </w:pPr>
      <w:r w:rsidRPr="0088061A">
        <w:rPr>
          <w:rFonts w:cstheme="minorHAnsi"/>
          <w:b/>
          <w:lang w:val="ro-RO"/>
        </w:rPr>
        <w:t xml:space="preserve">Pentru a veni în sprijinul beneficiarilor, </w:t>
      </w:r>
      <w:r w:rsidR="004E4A03" w:rsidRPr="0088061A">
        <w:rPr>
          <w:rFonts w:cstheme="minorHAnsi"/>
          <w:b/>
          <w:lang w:val="ro-RO"/>
        </w:rPr>
        <w:t xml:space="preserve">ca excepție, </w:t>
      </w:r>
      <w:r w:rsidRPr="0088061A">
        <w:rPr>
          <w:rFonts w:cstheme="minorHAnsi"/>
          <w:b/>
          <w:lang w:val="ro-RO"/>
        </w:rPr>
        <w:t>pragul minim se raportează per total, la nivelul proiectului, și nu la categoria indicatorilor</w:t>
      </w:r>
      <w:r w:rsidR="00A41413" w:rsidRPr="0088061A">
        <w:rPr>
          <w:rFonts w:cstheme="minorHAnsi"/>
          <w:b/>
          <w:lang w:val="ro-RO"/>
        </w:rPr>
        <w:t>.</w:t>
      </w:r>
      <w:r w:rsidR="00D95575">
        <w:rPr>
          <w:rFonts w:cstheme="minorHAnsi"/>
          <w:b/>
          <w:lang w:val="ro-RO"/>
        </w:rPr>
        <w:t xml:space="preserve"> </w:t>
      </w:r>
      <w:r w:rsidR="00F45A7B">
        <w:rPr>
          <w:rFonts w:cstheme="minorHAnsi"/>
          <w:b/>
          <w:lang w:val="ro-RO"/>
        </w:rPr>
        <w:t>Totodată, r</w:t>
      </w:r>
      <w:r w:rsidR="00AF21E4" w:rsidRPr="0077635E">
        <w:rPr>
          <w:rFonts w:cstheme="minorHAnsi"/>
          <w:b/>
          <w:lang w:val="ro-RO"/>
        </w:rPr>
        <w:t xml:space="preserve">ezilierea contractului trebuie privită ca o măsură </w:t>
      </w:r>
      <w:r w:rsidR="00627B46" w:rsidRPr="0077635E">
        <w:rPr>
          <w:rFonts w:cstheme="minorHAnsi"/>
          <w:b/>
          <w:lang w:val="ro-RO"/>
        </w:rPr>
        <w:t xml:space="preserve">de ultimă instanță, după ce toate celelalte măsuri de </w:t>
      </w:r>
      <w:r w:rsidR="00B26CCF" w:rsidRPr="0077635E">
        <w:rPr>
          <w:rFonts w:cstheme="minorHAnsi"/>
          <w:b/>
          <w:lang w:val="ro-RO"/>
        </w:rPr>
        <w:t>redresare a proiectului</w:t>
      </w:r>
      <w:r w:rsidR="00FA582E" w:rsidRPr="0077635E">
        <w:rPr>
          <w:rFonts w:cstheme="minorHAnsi"/>
          <w:b/>
          <w:lang w:val="ro-RO"/>
        </w:rPr>
        <w:t xml:space="preserve"> și, respectiv, de îndeplinire a țintelor asumate,</w:t>
      </w:r>
      <w:r w:rsidR="00B26CCF" w:rsidRPr="0077635E">
        <w:rPr>
          <w:rFonts w:cstheme="minorHAnsi"/>
          <w:b/>
          <w:lang w:val="ro-RO"/>
        </w:rPr>
        <w:t xml:space="preserve"> se vor fi epuizat. </w:t>
      </w:r>
    </w:p>
    <w:tbl>
      <w:tblPr>
        <w:tblStyle w:val="TableGrid"/>
        <w:tblW w:w="0" w:type="auto"/>
        <w:tblBorders>
          <w:top w:val="single" w:sz="24" w:space="0" w:color="1F4E79" w:themeColor="accent1" w:themeShade="80"/>
          <w:left w:val="single" w:sz="24" w:space="0" w:color="1F4E79" w:themeColor="accent1" w:themeShade="80"/>
          <w:bottom w:val="single" w:sz="24" w:space="0" w:color="1F4E79" w:themeColor="accent1" w:themeShade="80"/>
          <w:right w:val="single" w:sz="24" w:space="0" w:color="1F4E79" w:themeColor="accent1" w:themeShade="80"/>
          <w:insideH w:val="none" w:sz="0" w:space="0" w:color="auto"/>
          <w:insideV w:val="none" w:sz="0" w:space="0" w:color="auto"/>
        </w:tblBorders>
        <w:tblLook w:val="04A0" w:firstRow="1" w:lastRow="0" w:firstColumn="1" w:lastColumn="0" w:noHBand="0" w:noVBand="1"/>
      </w:tblPr>
      <w:tblGrid>
        <w:gridCol w:w="8966"/>
      </w:tblGrid>
      <w:tr w:rsidR="002504A8" w14:paraId="4985597B" w14:textId="77777777" w:rsidTr="00710C82">
        <w:tc>
          <w:tcPr>
            <w:tcW w:w="9323" w:type="dxa"/>
          </w:tcPr>
          <w:p w14:paraId="5A5AFC95" w14:textId="3D6190E1" w:rsidR="00127153" w:rsidRPr="00127153" w:rsidRDefault="002504A8" w:rsidP="00127153">
            <w:pPr>
              <w:spacing w:after="120"/>
              <w:jc w:val="both"/>
              <w:rPr>
                <w:rFonts w:cstheme="minorHAnsi"/>
                <w:lang w:val="ro-RO"/>
              </w:rPr>
            </w:pPr>
            <w:r w:rsidRPr="002504A8">
              <w:rPr>
                <w:rFonts w:cstheme="minorHAnsi"/>
                <w:b/>
                <w:lang w:val="ro-RO"/>
              </w:rPr>
              <w:t xml:space="preserve">În cazul în care țintele inițiale pentru indicatori au fost diminuate prin act adițional, pragul minim de reziliere a contractului se va recalcula, astfel încât acesta să corespundă, în valori absolute ale indicatorilor, pragului inițial de 35%. </w:t>
            </w:r>
            <w:r w:rsidR="00127153" w:rsidRPr="00127153">
              <w:rPr>
                <w:rFonts w:cstheme="minorHAnsi"/>
                <w:lang w:val="ro-RO"/>
              </w:rPr>
              <w:t>Prin menținerea pragului de reziliere la 35% din valorile inițiale ale indicatorilor se urmărește evitarea situațiilor în care, prin diminuarea țintelor mai multor proiecte, ar crește riscul neîndeplinirii țintelor la nivelul PO, în condițiile în care estimările inițiale au fost făcute în baza unor parametri minimi de performanță. Totodată, este de așteptat ca țintele diminuate prin act adițional să fie rezonabile și realiste, posibil de atins pentru beneficiar</w:t>
            </w:r>
            <w:r w:rsidR="00127153">
              <w:rPr>
                <w:rFonts w:cstheme="minorHAnsi"/>
                <w:lang w:val="ro-RO"/>
              </w:rPr>
              <w:t>,</w:t>
            </w:r>
            <w:r w:rsidR="00127153" w:rsidRPr="00127153">
              <w:rPr>
                <w:rFonts w:cstheme="minorHAnsi"/>
                <w:lang w:val="ro-RO"/>
              </w:rPr>
              <w:t xml:space="preserve"> integral sau în mare măsură, în condițiile de implementare date. </w:t>
            </w:r>
          </w:p>
          <w:p w14:paraId="7E4FA1FC" w14:textId="77777777" w:rsidR="002504A8" w:rsidRPr="002504A8" w:rsidRDefault="002504A8" w:rsidP="00710C82">
            <w:pPr>
              <w:spacing w:after="120"/>
              <w:jc w:val="both"/>
              <w:rPr>
                <w:rFonts w:cstheme="minorHAnsi"/>
                <w:lang w:val="ro-RO"/>
              </w:rPr>
            </w:pPr>
            <w:r w:rsidRPr="002504A8">
              <w:rPr>
                <w:rFonts w:cstheme="minorHAnsi"/>
                <w:lang w:val="ro-RO"/>
              </w:rPr>
              <w:lastRenderedPageBreak/>
              <w:t xml:space="preserve">De exemplu: </w:t>
            </w:r>
          </w:p>
          <w:tbl>
            <w:tblPr>
              <w:tblStyle w:val="TableGrid"/>
              <w:tblW w:w="0" w:type="auto"/>
              <w:jc w:val="center"/>
              <w:tblLook w:val="04A0" w:firstRow="1" w:lastRow="0" w:firstColumn="1" w:lastColumn="0" w:noHBand="0" w:noVBand="1"/>
            </w:tblPr>
            <w:tblGrid>
              <w:gridCol w:w="3619"/>
              <w:gridCol w:w="846"/>
              <w:gridCol w:w="1484"/>
              <w:gridCol w:w="938"/>
              <w:gridCol w:w="1853"/>
            </w:tblGrid>
            <w:tr w:rsidR="002504A8" w:rsidRPr="002504A8" w14:paraId="58C02774" w14:textId="77777777" w:rsidTr="003257E5">
              <w:trPr>
                <w:jc w:val="center"/>
              </w:trPr>
              <w:tc>
                <w:tcPr>
                  <w:tcW w:w="3824" w:type="dxa"/>
                </w:tcPr>
                <w:p w14:paraId="50062FAA" w14:textId="77777777" w:rsidR="002504A8" w:rsidRPr="00D77184" w:rsidRDefault="002504A8" w:rsidP="00D77184">
                  <w:pPr>
                    <w:spacing w:after="120"/>
                    <w:jc w:val="center"/>
                    <w:rPr>
                      <w:rFonts w:cstheme="minorHAnsi"/>
                      <w:b/>
                      <w:sz w:val="20"/>
                      <w:lang w:val="ro-RO"/>
                    </w:rPr>
                  </w:pPr>
                  <w:r w:rsidRPr="00D77184">
                    <w:rPr>
                      <w:rFonts w:cstheme="minorHAnsi"/>
                      <w:b/>
                      <w:sz w:val="20"/>
                      <w:lang w:val="ro-RO"/>
                    </w:rPr>
                    <w:t>Indicator</w:t>
                  </w:r>
                </w:p>
              </w:tc>
              <w:tc>
                <w:tcPr>
                  <w:tcW w:w="851" w:type="dxa"/>
                </w:tcPr>
                <w:p w14:paraId="185F74FC" w14:textId="77777777" w:rsidR="002504A8" w:rsidRPr="00D77184" w:rsidRDefault="002504A8" w:rsidP="00D77184">
                  <w:pPr>
                    <w:spacing w:after="120"/>
                    <w:jc w:val="center"/>
                    <w:rPr>
                      <w:rFonts w:cstheme="minorHAnsi"/>
                      <w:b/>
                      <w:sz w:val="20"/>
                      <w:lang w:val="ro-RO"/>
                    </w:rPr>
                  </w:pPr>
                  <w:r w:rsidRPr="00D77184">
                    <w:rPr>
                      <w:rFonts w:cstheme="minorHAnsi"/>
                      <w:b/>
                      <w:sz w:val="20"/>
                      <w:lang w:val="ro-RO"/>
                    </w:rPr>
                    <w:t>Ținte inițiale</w:t>
                  </w:r>
                </w:p>
              </w:tc>
              <w:tc>
                <w:tcPr>
                  <w:tcW w:w="1529" w:type="dxa"/>
                </w:tcPr>
                <w:p w14:paraId="215E6B3A" w14:textId="365D8701" w:rsidR="003257E5" w:rsidRPr="00D77184" w:rsidRDefault="003257E5" w:rsidP="00D77184">
                  <w:pPr>
                    <w:jc w:val="center"/>
                    <w:rPr>
                      <w:rFonts w:cstheme="minorHAnsi"/>
                      <w:b/>
                      <w:sz w:val="20"/>
                      <w:lang w:val="ro-RO"/>
                    </w:rPr>
                  </w:pPr>
                  <w:r w:rsidRPr="00D77184">
                    <w:rPr>
                      <w:rFonts w:cstheme="minorHAnsi"/>
                      <w:b/>
                      <w:sz w:val="20"/>
                      <w:lang w:val="ro-RO"/>
                    </w:rPr>
                    <w:t>Valori minime/</w:t>
                  </w:r>
                </w:p>
                <w:p w14:paraId="2117B46D" w14:textId="1FCF23B0" w:rsidR="002504A8" w:rsidRPr="00D77184" w:rsidRDefault="002504A8" w:rsidP="00D77184">
                  <w:pPr>
                    <w:spacing w:after="120"/>
                    <w:jc w:val="center"/>
                    <w:rPr>
                      <w:rFonts w:cstheme="minorHAnsi"/>
                      <w:b/>
                      <w:sz w:val="20"/>
                      <w:lang w:val="ro-RO"/>
                    </w:rPr>
                  </w:pPr>
                  <w:r w:rsidRPr="00D77184">
                    <w:rPr>
                      <w:rFonts w:cstheme="minorHAnsi"/>
                      <w:b/>
                      <w:sz w:val="20"/>
                      <w:lang w:val="ro-RO"/>
                    </w:rPr>
                    <w:t>Prag inițial</w:t>
                  </w:r>
                </w:p>
              </w:tc>
              <w:tc>
                <w:tcPr>
                  <w:tcW w:w="918" w:type="dxa"/>
                </w:tcPr>
                <w:p w14:paraId="25717B03" w14:textId="77777777" w:rsidR="002504A8" w:rsidRPr="00D77184" w:rsidRDefault="002504A8" w:rsidP="00D77184">
                  <w:pPr>
                    <w:spacing w:after="120"/>
                    <w:jc w:val="center"/>
                    <w:rPr>
                      <w:rFonts w:cstheme="minorHAnsi"/>
                      <w:b/>
                      <w:sz w:val="20"/>
                      <w:lang w:val="ro-RO"/>
                    </w:rPr>
                  </w:pPr>
                  <w:r w:rsidRPr="00D77184">
                    <w:rPr>
                      <w:rFonts w:cstheme="minorHAnsi"/>
                      <w:b/>
                      <w:sz w:val="20"/>
                      <w:lang w:val="ro-RO"/>
                    </w:rPr>
                    <w:t>Ținte revizuite</w:t>
                  </w:r>
                </w:p>
              </w:tc>
              <w:tc>
                <w:tcPr>
                  <w:tcW w:w="1920" w:type="dxa"/>
                </w:tcPr>
                <w:p w14:paraId="523B65AF" w14:textId="6898D8A6" w:rsidR="003257E5" w:rsidRPr="00D77184" w:rsidRDefault="002504A8" w:rsidP="00D77184">
                  <w:pPr>
                    <w:jc w:val="center"/>
                    <w:rPr>
                      <w:rFonts w:cstheme="minorHAnsi"/>
                      <w:b/>
                      <w:sz w:val="20"/>
                      <w:lang w:val="ro-RO"/>
                    </w:rPr>
                  </w:pPr>
                  <w:r w:rsidRPr="00D77184">
                    <w:rPr>
                      <w:rFonts w:cstheme="minorHAnsi"/>
                      <w:b/>
                      <w:sz w:val="20"/>
                      <w:lang w:val="ro-RO"/>
                    </w:rPr>
                    <w:t>Valori minime/</w:t>
                  </w:r>
                </w:p>
                <w:p w14:paraId="0D88EB86" w14:textId="4ABC3D9B" w:rsidR="002504A8" w:rsidRPr="00D77184" w:rsidRDefault="002504A8" w:rsidP="00D77184">
                  <w:pPr>
                    <w:jc w:val="center"/>
                    <w:rPr>
                      <w:rFonts w:cstheme="minorHAnsi"/>
                      <w:b/>
                      <w:sz w:val="20"/>
                      <w:lang w:val="ro-RO"/>
                    </w:rPr>
                  </w:pPr>
                  <w:r w:rsidRPr="00D77184">
                    <w:rPr>
                      <w:rFonts w:cstheme="minorHAnsi"/>
                      <w:b/>
                      <w:sz w:val="20"/>
                      <w:lang w:val="ro-RO"/>
                    </w:rPr>
                    <w:t>Prag recalculat</w:t>
                  </w:r>
                </w:p>
              </w:tc>
            </w:tr>
            <w:tr w:rsidR="002504A8" w:rsidRPr="002504A8" w14:paraId="1A825BC6" w14:textId="77777777" w:rsidTr="003257E5">
              <w:trPr>
                <w:jc w:val="center"/>
              </w:trPr>
              <w:tc>
                <w:tcPr>
                  <w:tcW w:w="3824" w:type="dxa"/>
                </w:tcPr>
                <w:p w14:paraId="5EB67AAF" w14:textId="77777777" w:rsidR="002504A8" w:rsidRPr="002504A8" w:rsidRDefault="002504A8" w:rsidP="00710C82">
                  <w:pPr>
                    <w:spacing w:after="120"/>
                    <w:rPr>
                      <w:rFonts w:cstheme="minorHAnsi"/>
                      <w:sz w:val="20"/>
                      <w:lang w:val="ro-RO"/>
                    </w:rPr>
                  </w:pPr>
                  <w:r w:rsidRPr="002504A8">
                    <w:rPr>
                      <w:rFonts w:cstheme="minorHAnsi"/>
                      <w:sz w:val="20"/>
                      <w:lang w:val="ro-RO"/>
                    </w:rPr>
                    <w:t>Persoane sprijinite</w:t>
                  </w:r>
                </w:p>
              </w:tc>
              <w:tc>
                <w:tcPr>
                  <w:tcW w:w="851" w:type="dxa"/>
                </w:tcPr>
                <w:p w14:paraId="198D7AD8" w14:textId="77777777" w:rsidR="002504A8" w:rsidRPr="002504A8" w:rsidRDefault="002504A8" w:rsidP="00710C82">
                  <w:pPr>
                    <w:spacing w:after="120"/>
                    <w:jc w:val="right"/>
                    <w:rPr>
                      <w:rFonts w:cstheme="minorHAnsi"/>
                      <w:sz w:val="20"/>
                      <w:lang w:val="ro-RO"/>
                    </w:rPr>
                  </w:pPr>
                  <w:r w:rsidRPr="002504A8">
                    <w:rPr>
                      <w:rFonts w:cstheme="minorHAnsi"/>
                      <w:sz w:val="20"/>
                      <w:lang w:val="ro-RO"/>
                    </w:rPr>
                    <w:t>400</w:t>
                  </w:r>
                </w:p>
              </w:tc>
              <w:tc>
                <w:tcPr>
                  <w:tcW w:w="1529" w:type="dxa"/>
                </w:tcPr>
                <w:p w14:paraId="63AE8031" w14:textId="77777777" w:rsidR="002504A8" w:rsidRPr="002504A8" w:rsidRDefault="002504A8" w:rsidP="00710C82">
                  <w:pPr>
                    <w:spacing w:after="120"/>
                    <w:jc w:val="right"/>
                    <w:rPr>
                      <w:rFonts w:cstheme="minorHAnsi"/>
                      <w:sz w:val="20"/>
                      <w:lang w:val="ro-RO"/>
                    </w:rPr>
                  </w:pPr>
                  <w:r w:rsidRPr="002504A8">
                    <w:rPr>
                      <w:rFonts w:cstheme="minorHAnsi"/>
                      <w:sz w:val="20"/>
                      <w:lang w:val="ro-RO"/>
                    </w:rPr>
                    <w:t>140 (35%)</w:t>
                  </w:r>
                </w:p>
              </w:tc>
              <w:tc>
                <w:tcPr>
                  <w:tcW w:w="918" w:type="dxa"/>
                </w:tcPr>
                <w:p w14:paraId="3878BBD5" w14:textId="77777777" w:rsidR="002504A8" w:rsidRPr="002504A8" w:rsidRDefault="002504A8" w:rsidP="00710C82">
                  <w:pPr>
                    <w:spacing w:after="120"/>
                    <w:jc w:val="right"/>
                    <w:rPr>
                      <w:rFonts w:cstheme="minorHAnsi"/>
                      <w:sz w:val="20"/>
                      <w:lang w:val="ro-RO"/>
                    </w:rPr>
                  </w:pPr>
                  <w:r w:rsidRPr="002504A8">
                    <w:rPr>
                      <w:rFonts w:cstheme="minorHAnsi"/>
                      <w:sz w:val="20"/>
                      <w:lang w:val="ro-RO"/>
                    </w:rPr>
                    <w:t>310</w:t>
                  </w:r>
                </w:p>
              </w:tc>
              <w:tc>
                <w:tcPr>
                  <w:tcW w:w="1920" w:type="dxa"/>
                </w:tcPr>
                <w:p w14:paraId="0ACAA0AA" w14:textId="77777777" w:rsidR="002504A8" w:rsidRPr="002504A8" w:rsidRDefault="002504A8" w:rsidP="00710C82">
                  <w:pPr>
                    <w:spacing w:after="120"/>
                    <w:jc w:val="right"/>
                    <w:rPr>
                      <w:rFonts w:cstheme="minorHAnsi"/>
                      <w:sz w:val="20"/>
                      <w:lang w:val="ro-RO"/>
                    </w:rPr>
                  </w:pPr>
                  <w:r w:rsidRPr="002504A8">
                    <w:rPr>
                      <w:rFonts w:cstheme="minorHAnsi"/>
                      <w:sz w:val="20"/>
                      <w:lang w:val="ro-RO"/>
                    </w:rPr>
                    <w:t xml:space="preserve">140 (45,16%) </w:t>
                  </w:r>
                </w:p>
              </w:tc>
            </w:tr>
            <w:tr w:rsidR="002504A8" w:rsidRPr="002504A8" w14:paraId="5732F112" w14:textId="77777777" w:rsidTr="003257E5">
              <w:trPr>
                <w:jc w:val="center"/>
              </w:trPr>
              <w:tc>
                <w:tcPr>
                  <w:tcW w:w="3824" w:type="dxa"/>
                </w:tcPr>
                <w:p w14:paraId="16076F62" w14:textId="77777777" w:rsidR="002504A8" w:rsidRPr="002504A8" w:rsidRDefault="002504A8" w:rsidP="00710C82">
                  <w:pPr>
                    <w:spacing w:after="120"/>
                    <w:rPr>
                      <w:rFonts w:cstheme="minorHAnsi"/>
                      <w:sz w:val="20"/>
                      <w:lang w:val="ro-RO"/>
                    </w:rPr>
                  </w:pPr>
                  <w:r w:rsidRPr="002504A8">
                    <w:rPr>
                      <w:rFonts w:cstheme="minorHAnsi"/>
                      <w:sz w:val="20"/>
                      <w:lang w:val="ro-RO"/>
                    </w:rPr>
                    <w:t>Persoane care obțin o calificare la ieșirea din operațiune</w:t>
                  </w:r>
                </w:p>
              </w:tc>
              <w:tc>
                <w:tcPr>
                  <w:tcW w:w="851" w:type="dxa"/>
                </w:tcPr>
                <w:p w14:paraId="3648BBC6" w14:textId="77777777" w:rsidR="002504A8" w:rsidRPr="002504A8" w:rsidRDefault="002504A8" w:rsidP="00710C82">
                  <w:pPr>
                    <w:spacing w:after="120"/>
                    <w:jc w:val="right"/>
                    <w:rPr>
                      <w:rFonts w:cstheme="minorHAnsi"/>
                      <w:sz w:val="20"/>
                      <w:lang w:val="ro-RO"/>
                    </w:rPr>
                  </w:pPr>
                  <w:r w:rsidRPr="002504A8">
                    <w:rPr>
                      <w:rFonts w:cstheme="minorHAnsi"/>
                      <w:sz w:val="20"/>
                      <w:lang w:val="ro-RO"/>
                    </w:rPr>
                    <w:t>100</w:t>
                  </w:r>
                </w:p>
              </w:tc>
              <w:tc>
                <w:tcPr>
                  <w:tcW w:w="1529" w:type="dxa"/>
                </w:tcPr>
                <w:p w14:paraId="1F58651C" w14:textId="77777777" w:rsidR="002504A8" w:rsidRPr="002504A8" w:rsidRDefault="002504A8" w:rsidP="00710C82">
                  <w:pPr>
                    <w:spacing w:after="120"/>
                    <w:jc w:val="right"/>
                    <w:rPr>
                      <w:rFonts w:cstheme="minorHAnsi"/>
                      <w:sz w:val="20"/>
                      <w:lang w:val="ro-RO"/>
                    </w:rPr>
                  </w:pPr>
                  <w:r w:rsidRPr="002504A8">
                    <w:rPr>
                      <w:rFonts w:cstheme="minorHAnsi"/>
                      <w:sz w:val="20"/>
                      <w:lang w:val="ro-RO"/>
                    </w:rPr>
                    <w:t>35 (35%)</w:t>
                  </w:r>
                </w:p>
              </w:tc>
              <w:tc>
                <w:tcPr>
                  <w:tcW w:w="918" w:type="dxa"/>
                </w:tcPr>
                <w:p w14:paraId="1D2BB645" w14:textId="77777777" w:rsidR="002504A8" w:rsidRPr="002504A8" w:rsidRDefault="002504A8" w:rsidP="00710C82">
                  <w:pPr>
                    <w:spacing w:after="120"/>
                    <w:jc w:val="right"/>
                    <w:rPr>
                      <w:rFonts w:cstheme="minorHAnsi"/>
                      <w:sz w:val="20"/>
                      <w:lang w:val="ro-RO"/>
                    </w:rPr>
                  </w:pPr>
                  <w:r w:rsidRPr="002504A8">
                    <w:rPr>
                      <w:rFonts w:cstheme="minorHAnsi"/>
                      <w:sz w:val="20"/>
                      <w:lang w:val="ro-RO"/>
                    </w:rPr>
                    <w:t>80</w:t>
                  </w:r>
                </w:p>
              </w:tc>
              <w:tc>
                <w:tcPr>
                  <w:tcW w:w="1920" w:type="dxa"/>
                </w:tcPr>
                <w:p w14:paraId="30FC3967" w14:textId="77777777" w:rsidR="002504A8" w:rsidRPr="002504A8" w:rsidRDefault="002504A8" w:rsidP="00710C82">
                  <w:pPr>
                    <w:spacing w:after="120"/>
                    <w:jc w:val="right"/>
                    <w:rPr>
                      <w:rFonts w:cstheme="minorHAnsi"/>
                      <w:sz w:val="20"/>
                      <w:lang w:val="ro-RO"/>
                    </w:rPr>
                  </w:pPr>
                  <w:r w:rsidRPr="002504A8">
                    <w:rPr>
                      <w:rFonts w:cstheme="minorHAnsi"/>
                      <w:sz w:val="20"/>
                      <w:lang w:val="ro-RO"/>
                    </w:rPr>
                    <w:t>35 (43,75%)</w:t>
                  </w:r>
                </w:p>
              </w:tc>
            </w:tr>
            <w:tr w:rsidR="002504A8" w:rsidRPr="002504A8" w14:paraId="30696182" w14:textId="77777777" w:rsidTr="003257E5">
              <w:trPr>
                <w:jc w:val="center"/>
              </w:trPr>
              <w:tc>
                <w:tcPr>
                  <w:tcW w:w="3824" w:type="dxa"/>
                </w:tcPr>
                <w:p w14:paraId="58571269" w14:textId="77777777" w:rsidR="002504A8" w:rsidRPr="002504A8" w:rsidRDefault="002504A8" w:rsidP="00710C82">
                  <w:pPr>
                    <w:spacing w:after="120"/>
                    <w:rPr>
                      <w:rFonts w:cstheme="minorHAnsi"/>
                      <w:sz w:val="20"/>
                      <w:lang w:val="ro-RO"/>
                    </w:rPr>
                  </w:pPr>
                  <w:r w:rsidRPr="002504A8">
                    <w:rPr>
                      <w:rFonts w:cstheme="minorHAnsi"/>
                      <w:sz w:val="20"/>
                      <w:lang w:val="ro-RO"/>
                    </w:rPr>
                    <w:t>Persoane care au un loc de muncă la 6 luni de la finalizarea sprijinul</w:t>
                  </w:r>
                </w:p>
              </w:tc>
              <w:tc>
                <w:tcPr>
                  <w:tcW w:w="851" w:type="dxa"/>
                </w:tcPr>
                <w:p w14:paraId="1F6A1BF1" w14:textId="77777777" w:rsidR="002504A8" w:rsidRPr="002504A8" w:rsidRDefault="002504A8" w:rsidP="00710C82">
                  <w:pPr>
                    <w:spacing w:after="120"/>
                    <w:jc w:val="right"/>
                    <w:rPr>
                      <w:rFonts w:cstheme="minorHAnsi"/>
                      <w:sz w:val="20"/>
                      <w:lang w:val="ro-RO"/>
                    </w:rPr>
                  </w:pPr>
                  <w:r w:rsidRPr="002504A8">
                    <w:rPr>
                      <w:rFonts w:cstheme="minorHAnsi"/>
                      <w:sz w:val="20"/>
                      <w:lang w:val="ro-RO"/>
                    </w:rPr>
                    <w:t>60</w:t>
                  </w:r>
                </w:p>
              </w:tc>
              <w:tc>
                <w:tcPr>
                  <w:tcW w:w="1529" w:type="dxa"/>
                </w:tcPr>
                <w:p w14:paraId="44BE9F34" w14:textId="77777777" w:rsidR="002504A8" w:rsidRPr="002504A8" w:rsidRDefault="002504A8" w:rsidP="00710C82">
                  <w:pPr>
                    <w:spacing w:after="120"/>
                    <w:jc w:val="right"/>
                    <w:rPr>
                      <w:rFonts w:cstheme="minorHAnsi"/>
                      <w:sz w:val="20"/>
                      <w:lang w:val="ro-RO"/>
                    </w:rPr>
                  </w:pPr>
                  <w:r w:rsidRPr="002504A8">
                    <w:rPr>
                      <w:rFonts w:cstheme="minorHAnsi"/>
                      <w:sz w:val="20"/>
                      <w:lang w:val="ro-RO"/>
                    </w:rPr>
                    <w:t>21 (35%)</w:t>
                  </w:r>
                </w:p>
              </w:tc>
              <w:tc>
                <w:tcPr>
                  <w:tcW w:w="918" w:type="dxa"/>
                </w:tcPr>
                <w:p w14:paraId="5FEE5FA3" w14:textId="77777777" w:rsidR="002504A8" w:rsidRPr="002504A8" w:rsidRDefault="002504A8" w:rsidP="00710C82">
                  <w:pPr>
                    <w:spacing w:after="120"/>
                    <w:jc w:val="right"/>
                    <w:rPr>
                      <w:rFonts w:cstheme="minorHAnsi"/>
                      <w:sz w:val="20"/>
                      <w:lang w:val="ro-RO"/>
                    </w:rPr>
                  </w:pPr>
                  <w:r w:rsidRPr="002504A8">
                    <w:rPr>
                      <w:rFonts w:cstheme="minorHAnsi"/>
                      <w:sz w:val="20"/>
                      <w:lang w:val="ro-RO"/>
                    </w:rPr>
                    <w:t>30</w:t>
                  </w:r>
                </w:p>
              </w:tc>
              <w:tc>
                <w:tcPr>
                  <w:tcW w:w="1920" w:type="dxa"/>
                </w:tcPr>
                <w:p w14:paraId="56D7D092" w14:textId="77777777" w:rsidR="002504A8" w:rsidRPr="002504A8" w:rsidRDefault="002504A8" w:rsidP="00710C82">
                  <w:pPr>
                    <w:spacing w:after="120"/>
                    <w:jc w:val="right"/>
                    <w:rPr>
                      <w:rFonts w:cstheme="minorHAnsi"/>
                      <w:sz w:val="20"/>
                      <w:lang w:val="ro-RO"/>
                    </w:rPr>
                  </w:pPr>
                  <w:r w:rsidRPr="002504A8">
                    <w:rPr>
                      <w:rFonts w:cstheme="minorHAnsi"/>
                      <w:sz w:val="20"/>
                      <w:lang w:val="ro-RO"/>
                    </w:rPr>
                    <w:t>21 (70%)</w:t>
                  </w:r>
                </w:p>
              </w:tc>
            </w:tr>
            <w:tr w:rsidR="002504A8" w:rsidRPr="002504A8" w14:paraId="34DEAAA6" w14:textId="77777777" w:rsidTr="003257E5">
              <w:trPr>
                <w:jc w:val="center"/>
              </w:trPr>
              <w:tc>
                <w:tcPr>
                  <w:tcW w:w="3824" w:type="dxa"/>
                  <w:shd w:val="clear" w:color="auto" w:fill="9CC2E5" w:themeFill="accent1" w:themeFillTint="99"/>
                </w:tcPr>
                <w:p w14:paraId="55CE845A" w14:textId="77777777" w:rsidR="002504A8" w:rsidRPr="002504A8" w:rsidRDefault="002504A8" w:rsidP="00710C82">
                  <w:pPr>
                    <w:spacing w:after="120"/>
                    <w:rPr>
                      <w:rFonts w:cstheme="minorHAnsi"/>
                      <w:sz w:val="20"/>
                      <w:lang w:val="ro-RO"/>
                    </w:rPr>
                  </w:pPr>
                  <w:r w:rsidRPr="002504A8">
                    <w:rPr>
                      <w:rFonts w:cstheme="minorHAnsi"/>
                      <w:sz w:val="20"/>
                      <w:lang w:val="ro-RO"/>
                    </w:rPr>
                    <w:t>Prag minim global per proiect</w:t>
                  </w:r>
                </w:p>
              </w:tc>
              <w:tc>
                <w:tcPr>
                  <w:tcW w:w="851" w:type="dxa"/>
                  <w:shd w:val="clear" w:color="auto" w:fill="9CC2E5" w:themeFill="accent1" w:themeFillTint="99"/>
                </w:tcPr>
                <w:p w14:paraId="6EB85F83" w14:textId="77777777" w:rsidR="002504A8" w:rsidRPr="002504A8" w:rsidRDefault="002504A8" w:rsidP="00710C82">
                  <w:pPr>
                    <w:spacing w:after="120"/>
                    <w:jc w:val="right"/>
                    <w:rPr>
                      <w:rFonts w:cstheme="minorHAnsi"/>
                      <w:sz w:val="20"/>
                      <w:lang w:val="ro-RO"/>
                    </w:rPr>
                  </w:pPr>
                </w:p>
              </w:tc>
              <w:tc>
                <w:tcPr>
                  <w:tcW w:w="1529" w:type="dxa"/>
                  <w:shd w:val="clear" w:color="auto" w:fill="9CC2E5" w:themeFill="accent1" w:themeFillTint="99"/>
                </w:tcPr>
                <w:p w14:paraId="3235173B" w14:textId="77777777" w:rsidR="002504A8" w:rsidRPr="002504A8" w:rsidRDefault="002504A8" w:rsidP="00710C82">
                  <w:pPr>
                    <w:spacing w:after="120"/>
                    <w:jc w:val="right"/>
                    <w:rPr>
                      <w:rFonts w:cstheme="minorHAnsi"/>
                      <w:sz w:val="20"/>
                      <w:lang w:val="ro-RO"/>
                    </w:rPr>
                  </w:pPr>
                  <w:r w:rsidRPr="002504A8">
                    <w:rPr>
                      <w:rFonts w:cstheme="minorHAnsi"/>
                      <w:sz w:val="20"/>
                      <w:lang w:val="ro-RO"/>
                    </w:rPr>
                    <w:t>35%</w:t>
                  </w:r>
                </w:p>
              </w:tc>
              <w:tc>
                <w:tcPr>
                  <w:tcW w:w="918" w:type="dxa"/>
                  <w:shd w:val="clear" w:color="auto" w:fill="9CC2E5" w:themeFill="accent1" w:themeFillTint="99"/>
                </w:tcPr>
                <w:p w14:paraId="39C908FA" w14:textId="77777777" w:rsidR="002504A8" w:rsidRPr="002504A8" w:rsidRDefault="002504A8" w:rsidP="00710C82">
                  <w:pPr>
                    <w:spacing w:after="120"/>
                    <w:jc w:val="right"/>
                    <w:rPr>
                      <w:rFonts w:cstheme="minorHAnsi"/>
                      <w:sz w:val="20"/>
                      <w:lang w:val="ro-RO"/>
                    </w:rPr>
                  </w:pPr>
                </w:p>
              </w:tc>
              <w:tc>
                <w:tcPr>
                  <w:tcW w:w="1920" w:type="dxa"/>
                  <w:shd w:val="clear" w:color="auto" w:fill="9CC2E5" w:themeFill="accent1" w:themeFillTint="99"/>
                </w:tcPr>
                <w:p w14:paraId="706A30CA" w14:textId="77777777" w:rsidR="002504A8" w:rsidRPr="002504A8" w:rsidRDefault="002504A8" w:rsidP="00710C82">
                  <w:pPr>
                    <w:spacing w:after="120"/>
                    <w:jc w:val="right"/>
                    <w:rPr>
                      <w:rFonts w:cstheme="minorHAnsi"/>
                      <w:sz w:val="20"/>
                      <w:lang w:val="ro-RO"/>
                    </w:rPr>
                  </w:pPr>
                  <w:r w:rsidRPr="002504A8">
                    <w:rPr>
                      <w:rFonts w:cstheme="minorHAnsi"/>
                      <w:sz w:val="20"/>
                      <w:lang w:val="ro-RO"/>
                    </w:rPr>
                    <w:t>50,61%</w:t>
                  </w:r>
                </w:p>
              </w:tc>
            </w:tr>
          </w:tbl>
          <w:p w14:paraId="5D45601E" w14:textId="77777777" w:rsidR="002504A8" w:rsidRPr="006F2087" w:rsidRDefault="002504A8" w:rsidP="00710C82">
            <w:pPr>
              <w:spacing w:after="120"/>
              <w:jc w:val="both"/>
              <w:rPr>
                <w:rFonts w:cstheme="minorHAnsi"/>
                <w:i/>
                <w:lang w:val="ro-RO"/>
              </w:rPr>
            </w:pPr>
          </w:p>
        </w:tc>
      </w:tr>
    </w:tbl>
    <w:p w14:paraId="55325FFD" w14:textId="77777777" w:rsidR="002504A8" w:rsidRDefault="002504A8" w:rsidP="00225EC6">
      <w:pPr>
        <w:spacing w:after="120" w:line="240" w:lineRule="auto"/>
        <w:jc w:val="both"/>
        <w:rPr>
          <w:rFonts w:cstheme="minorHAnsi"/>
          <w:b/>
          <w:lang w:val="ro-RO"/>
        </w:rPr>
      </w:pPr>
    </w:p>
    <w:tbl>
      <w:tblPr>
        <w:tblStyle w:val="TableGrid"/>
        <w:tblW w:w="0" w:type="auto"/>
        <w:tblBorders>
          <w:top w:val="single" w:sz="24" w:space="0" w:color="1F4E79" w:themeColor="accent1" w:themeShade="80"/>
          <w:left w:val="single" w:sz="24" w:space="0" w:color="1F4E79" w:themeColor="accent1" w:themeShade="80"/>
          <w:bottom w:val="single" w:sz="24" w:space="0" w:color="1F4E79" w:themeColor="accent1" w:themeShade="80"/>
          <w:right w:val="single" w:sz="24" w:space="0" w:color="1F4E79" w:themeColor="accent1" w:themeShade="80"/>
          <w:insideH w:val="none" w:sz="0" w:space="0" w:color="auto"/>
          <w:insideV w:val="none" w:sz="0" w:space="0" w:color="auto"/>
        </w:tblBorders>
        <w:tblLook w:val="04A0" w:firstRow="1" w:lastRow="0" w:firstColumn="1" w:lastColumn="0" w:noHBand="0" w:noVBand="1"/>
      </w:tblPr>
      <w:tblGrid>
        <w:gridCol w:w="8966"/>
      </w:tblGrid>
      <w:tr w:rsidR="00975608" w14:paraId="7F5DB97F" w14:textId="77777777" w:rsidTr="00E32CE0">
        <w:tc>
          <w:tcPr>
            <w:tcW w:w="9273" w:type="dxa"/>
          </w:tcPr>
          <w:p w14:paraId="6E0B6181" w14:textId="20A732E3" w:rsidR="00975608" w:rsidRDefault="00975608" w:rsidP="00975608">
            <w:pPr>
              <w:spacing w:after="120"/>
              <w:jc w:val="both"/>
              <w:rPr>
                <w:rFonts w:cstheme="minorHAnsi"/>
                <w:b/>
                <w:lang w:val="ro-RO"/>
              </w:rPr>
            </w:pPr>
            <w:r w:rsidRPr="0088061A">
              <w:rPr>
                <w:rFonts w:cstheme="minorHAnsi"/>
                <w:b/>
                <w:lang w:val="ro-RO"/>
              </w:rPr>
              <w:t xml:space="preserve">În cazul în care se constată că gradul de îndeplinire a țintelor la nivelul categoriei de indicatori este </w:t>
            </w:r>
            <w:r w:rsidR="007D7DED" w:rsidRPr="0088061A">
              <w:rPr>
                <w:rFonts w:cstheme="minorHAnsi"/>
                <w:b/>
                <w:lang w:val="ro-RO"/>
              </w:rPr>
              <w:t>sub</w:t>
            </w:r>
            <w:r w:rsidRPr="0088061A">
              <w:rPr>
                <w:rFonts w:cstheme="minorHAnsi"/>
                <w:b/>
                <w:lang w:val="ro-RO"/>
              </w:rPr>
              <w:t xml:space="preserve"> 90%, corecțiile financiare se aplică proporțional.</w:t>
            </w:r>
            <w:r w:rsidR="008B4069" w:rsidRPr="008B4069">
              <w:rPr>
                <w:rFonts w:cstheme="minorHAnsi"/>
                <w:b/>
                <w:lang w:val="ro-RO"/>
              </w:rPr>
              <w:t xml:space="preserve"> </w:t>
            </w:r>
          </w:p>
          <w:p w14:paraId="72D20D86" w14:textId="53328B6C" w:rsidR="008B4069" w:rsidRPr="008B4069" w:rsidRDefault="008B4069" w:rsidP="00975608">
            <w:pPr>
              <w:spacing w:after="120"/>
              <w:jc w:val="both"/>
              <w:rPr>
                <w:rFonts w:cstheme="minorHAnsi"/>
                <w:b/>
                <w:lang w:val="ro-RO"/>
              </w:rPr>
            </w:pPr>
            <w:r w:rsidRPr="008B4069">
              <w:rPr>
                <w:rFonts w:cstheme="minorHAnsi"/>
                <w:b/>
                <w:lang w:val="ro-RO"/>
              </w:rPr>
              <w:t>În cazul în care țintele asumate au fost depășite, valoarea luată în considerare pentru determinarea gradului de îndeplinire va fi 100%.</w:t>
            </w:r>
          </w:p>
        </w:tc>
      </w:tr>
    </w:tbl>
    <w:p w14:paraId="0F867BF3" w14:textId="77777777" w:rsidR="00517EBD" w:rsidRPr="008610E8" w:rsidRDefault="00517EBD" w:rsidP="000E38A9">
      <w:pPr>
        <w:spacing w:after="0" w:line="240" w:lineRule="auto"/>
        <w:jc w:val="both"/>
        <w:rPr>
          <w:rFonts w:cstheme="minorHAnsi"/>
          <w:b/>
          <w:color w:val="FF0000"/>
          <w:lang w:val="ro-RO"/>
        </w:rPr>
      </w:pPr>
    </w:p>
    <w:p w14:paraId="0ED60874" w14:textId="5A77E778" w:rsidR="00241DF7" w:rsidRDefault="00241DF7" w:rsidP="00241DF7">
      <w:pPr>
        <w:spacing w:after="120" w:line="240" w:lineRule="auto"/>
        <w:jc w:val="both"/>
        <w:rPr>
          <w:rFonts w:cstheme="minorHAnsi"/>
          <w:lang w:val="ro-RO"/>
        </w:rPr>
      </w:pPr>
      <w:r w:rsidRPr="008610E8">
        <w:rPr>
          <w:rFonts w:cstheme="minorHAnsi"/>
          <w:lang w:val="ro-RO"/>
        </w:rPr>
        <w:t>Aplicarea principiului proporționalității pleacă de la premisa că implementarea nu a condu</w:t>
      </w:r>
      <w:r w:rsidR="008A7704">
        <w:rPr>
          <w:rFonts w:cstheme="minorHAnsi"/>
          <w:lang w:val="ro-RO"/>
        </w:rPr>
        <w:t>s la atingerea țintelor asumate, dar că, totuși, proiectul a produs rezultate. Așadar, c</w:t>
      </w:r>
      <w:r>
        <w:rPr>
          <w:rFonts w:cstheme="minorHAnsi"/>
          <w:lang w:val="ro-RO"/>
        </w:rPr>
        <w:t>orecția trebuie să fie rezonabi</w:t>
      </w:r>
      <w:r w:rsidR="006274F9">
        <w:rPr>
          <w:rFonts w:cstheme="minorHAnsi"/>
          <w:lang w:val="ro-RO"/>
        </w:rPr>
        <w:t>lă și să reflecte deficitul de performanță</w:t>
      </w:r>
      <w:r w:rsidR="008D6645">
        <w:rPr>
          <w:rFonts w:cstheme="minorHAnsi"/>
          <w:lang w:val="ro-RO"/>
        </w:rPr>
        <w:t xml:space="preserve">, fără </w:t>
      </w:r>
      <w:r w:rsidR="008A7704">
        <w:rPr>
          <w:rFonts w:cstheme="minorHAnsi"/>
          <w:lang w:val="ro-RO"/>
        </w:rPr>
        <w:t xml:space="preserve">însă </w:t>
      </w:r>
      <w:r w:rsidR="008D6645">
        <w:rPr>
          <w:rFonts w:cstheme="minorHAnsi"/>
          <w:lang w:val="ro-RO"/>
        </w:rPr>
        <w:t>a penaliza excesiv beneficiarii</w:t>
      </w:r>
      <w:r w:rsidRPr="008610E8">
        <w:rPr>
          <w:rFonts w:cstheme="minorHAnsi"/>
          <w:lang w:val="ro-RO"/>
        </w:rPr>
        <w:t>. Această abordare se utilizează, de ex., în Cehia.</w:t>
      </w:r>
      <w:r>
        <w:rPr>
          <w:rFonts w:cstheme="minorHAnsi"/>
          <w:lang w:val="ro-RO"/>
        </w:rPr>
        <w:t xml:space="preserve"> </w:t>
      </w:r>
    </w:p>
    <w:p w14:paraId="6D54E27A" w14:textId="41AFC918" w:rsidR="00975608" w:rsidRPr="008610E8" w:rsidRDefault="00975608" w:rsidP="00975608">
      <w:pPr>
        <w:spacing w:after="120" w:line="240" w:lineRule="auto"/>
        <w:jc w:val="both"/>
        <w:rPr>
          <w:rFonts w:cstheme="minorHAnsi"/>
          <w:lang w:val="ro-RO"/>
        </w:rPr>
      </w:pPr>
      <w:r>
        <w:rPr>
          <w:rFonts w:cstheme="minorHAnsi"/>
          <w:lang w:val="ro-RO"/>
        </w:rPr>
        <w:t>Î</w:t>
      </w:r>
      <w:r w:rsidRPr="008610E8">
        <w:rPr>
          <w:rFonts w:cstheme="minorHAnsi"/>
          <w:lang w:val="ro-RO"/>
        </w:rPr>
        <w:t xml:space="preserve">n funcție de gradul de neîndeplinire, </w:t>
      </w:r>
      <w:r>
        <w:rPr>
          <w:rFonts w:cstheme="minorHAnsi"/>
          <w:lang w:val="ro-RO"/>
        </w:rPr>
        <w:t>procentul aplicabil se calculează după formula:</w:t>
      </w:r>
    </w:p>
    <w:p w14:paraId="7EC3F1B5" w14:textId="6C814260" w:rsidR="00975608" w:rsidRDefault="00975608" w:rsidP="004F382E">
      <w:pPr>
        <w:spacing w:after="120" w:line="240" w:lineRule="auto"/>
        <w:ind w:firstLine="720"/>
        <w:jc w:val="both"/>
        <w:rPr>
          <w:rFonts w:cstheme="minorHAnsi"/>
          <w:lang w:val="ro-RO"/>
        </w:rPr>
      </w:pPr>
      <w:r w:rsidRPr="008610E8">
        <w:rPr>
          <w:rFonts w:cstheme="minorHAnsi"/>
          <w:b/>
          <w:i/>
          <w:color w:val="2E74B5" w:themeColor="accent1" w:themeShade="BF"/>
          <w:sz w:val="24"/>
          <w:lang w:val="ro-RO"/>
        </w:rPr>
        <w:t xml:space="preserve">% corecție financiară = </w:t>
      </w:r>
      <w:r>
        <w:rPr>
          <w:rFonts w:cstheme="minorHAnsi"/>
          <w:b/>
          <w:i/>
          <w:color w:val="2E74B5" w:themeColor="accent1" w:themeShade="BF"/>
          <w:sz w:val="24"/>
          <w:lang w:val="ro-RO"/>
        </w:rPr>
        <w:t>(90</w:t>
      </w:r>
      <w:r w:rsidRPr="008610E8">
        <w:rPr>
          <w:rFonts w:cstheme="minorHAnsi"/>
          <w:b/>
          <w:i/>
          <w:color w:val="2E74B5" w:themeColor="accent1" w:themeShade="BF"/>
          <w:sz w:val="24"/>
          <w:lang w:val="ro-RO"/>
        </w:rPr>
        <w:t xml:space="preserve">% - GI </w:t>
      </w:r>
      <w:r>
        <w:rPr>
          <w:rFonts w:cstheme="minorHAnsi"/>
          <w:b/>
          <w:i/>
          <w:color w:val="2E74B5" w:themeColor="accent1" w:themeShade="BF"/>
          <w:sz w:val="24"/>
          <w:lang w:val="ro-RO"/>
        </w:rPr>
        <w:t>categorie)*ponderea categoriei în total</w:t>
      </w:r>
    </w:p>
    <w:p w14:paraId="2EF51BB8" w14:textId="6CFE0B42" w:rsidR="00E651AA" w:rsidRPr="008D2C8F" w:rsidRDefault="00E651AA" w:rsidP="003F5519">
      <w:pPr>
        <w:spacing w:after="120" w:line="240" w:lineRule="auto"/>
        <w:jc w:val="both"/>
        <w:rPr>
          <w:rFonts w:cstheme="minorHAnsi"/>
          <w:b/>
          <w:i/>
          <w:lang w:val="ro-RO"/>
        </w:rPr>
      </w:pPr>
      <w:r w:rsidRPr="008D2C8F">
        <w:rPr>
          <w:rFonts w:cstheme="minorHAnsi"/>
          <w:b/>
          <w:i/>
          <w:lang w:val="ro-RO"/>
        </w:rPr>
        <w:t xml:space="preserve">Exemplu: </w:t>
      </w:r>
    </w:p>
    <w:p w14:paraId="6902D7B6" w14:textId="1BC2FBDC" w:rsidR="00E651AA" w:rsidRDefault="00E651AA" w:rsidP="00933821">
      <w:pPr>
        <w:spacing w:after="0" w:line="240" w:lineRule="auto"/>
        <w:jc w:val="both"/>
        <w:rPr>
          <w:rFonts w:cstheme="minorHAnsi"/>
          <w:lang w:val="ro-RO"/>
        </w:rPr>
      </w:pPr>
      <w:r>
        <w:rPr>
          <w:rFonts w:cstheme="minorHAnsi"/>
          <w:lang w:val="ro-RO"/>
        </w:rPr>
        <w:t xml:space="preserve">Gradul de </w:t>
      </w:r>
      <w:r w:rsidRPr="00F51D00">
        <w:rPr>
          <w:rFonts w:cstheme="minorHAnsi"/>
          <w:lang w:val="ro-RO"/>
        </w:rPr>
        <w:t xml:space="preserve">îndeplinire al indicatorilor de realizare este de </w:t>
      </w:r>
      <w:r>
        <w:rPr>
          <w:rFonts w:cstheme="minorHAnsi"/>
          <w:lang w:val="ro-RO"/>
        </w:rPr>
        <w:t>75% iar al celor de rezultat imediat este de 58%. Atunci:</w:t>
      </w:r>
    </w:p>
    <w:p w14:paraId="1345C0A5" w14:textId="34410947" w:rsidR="00E651AA" w:rsidRDefault="00E651AA" w:rsidP="00E651AA">
      <w:pPr>
        <w:pStyle w:val="ListParagraph"/>
        <w:numPr>
          <w:ilvl w:val="0"/>
          <w:numId w:val="1"/>
        </w:numPr>
        <w:spacing w:after="120" w:line="240" w:lineRule="auto"/>
        <w:jc w:val="both"/>
        <w:rPr>
          <w:rFonts w:cstheme="minorHAnsi"/>
          <w:lang w:val="ro-RO"/>
        </w:rPr>
      </w:pPr>
      <w:r w:rsidRPr="00E651AA">
        <w:rPr>
          <w:rFonts w:cstheme="minorHAnsi"/>
          <w:lang w:val="ro-RO"/>
        </w:rPr>
        <w:t xml:space="preserve">% corecție financiară indicatori de realizare = </w:t>
      </w:r>
      <w:r w:rsidR="00CF2D02">
        <w:rPr>
          <w:rFonts w:cstheme="minorHAnsi"/>
          <w:lang w:val="ro-RO"/>
        </w:rPr>
        <w:t>(</w:t>
      </w:r>
      <w:r w:rsidRPr="00E651AA">
        <w:rPr>
          <w:rFonts w:cstheme="minorHAnsi"/>
          <w:lang w:val="ro-RO"/>
        </w:rPr>
        <w:t>90%-75%)</w:t>
      </w:r>
      <w:r w:rsidR="00CF2D02">
        <w:rPr>
          <w:rFonts w:cstheme="minorHAnsi"/>
          <w:lang w:val="ro-RO"/>
        </w:rPr>
        <w:t>*</w:t>
      </w:r>
      <w:r w:rsidR="00CF2D02" w:rsidRPr="00E651AA">
        <w:rPr>
          <w:rFonts w:cstheme="minorHAnsi"/>
          <w:lang w:val="ro-RO"/>
        </w:rPr>
        <w:t>40%</w:t>
      </w:r>
      <w:r w:rsidRPr="00E651AA">
        <w:rPr>
          <w:rFonts w:cstheme="minorHAnsi"/>
          <w:lang w:val="ro-RO"/>
        </w:rPr>
        <w:t>= 6%</w:t>
      </w:r>
    </w:p>
    <w:p w14:paraId="07C49448" w14:textId="31B6E99A" w:rsidR="00E651AA" w:rsidRDefault="00E651AA" w:rsidP="00E651AA">
      <w:pPr>
        <w:pStyle w:val="ListParagraph"/>
        <w:numPr>
          <w:ilvl w:val="0"/>
          <w:numId w:val="1"/>
        </w:numPr>
        <w:spacing w:after="120" w:line="240" w:lineRule="auto"/>
        <w:jc w:val="both"/>
        <w:rPr>
          <w:rFonts w:cstheme="minorHAnsi"/>
          <w:lang w:val="ro-RO"/>
        </w:rPr>
      </w:pPr>
      <w:r>
        <w:rPr>
          <w:rFonts w:cstheme="minorHAnsi"/>
          <w:lang w:val="ro-RO"/>
        </w:rPr>
        <w:t xml:space="preserve">% corecție financiară indicatori de rezultat imediat = </w:t>
      </w:r>
      <w:r w:rsidR="00CF2D02">
        <w:rPr>
          <w:rFonts w:cstheme="minorHAnsi"/>
          <w:lang w:val="ro-RO"/>
        </w:rPr>
        <w:t>(90%-58%)*</w:t>
      </w:r>
      <w:r>
        <w:rPr>
          <w:rFonts w:cstheme="minorHAnsi"/>
          <w:lang w:val="ro-RO"/>
        </w:rPr>
        <w:t>36%</w:t>
      </w:r>
      <w:r w:rsidR="00CF2D02">
        <w:rPr>
          <w:rFonts w:cstheme="minorHAnsi"/>
          <w:lang w:val="ro-RO"/>
        </w:rPr>
        <w:t xml:space="preserve"> </w:t>
      </w:r>
      <w:r>
        <w:rPr>
          <w:rFonts w:cstheme="minorHAnsi"/>
          <w:lang w:val="ro-RO"/>
        </w:rPr>
        <w:t>= 11,52%</w:t>
      </w:r>
    </w:p>
    <w:tbl>
      <w:tblPr>
        <w:tblStyle w:val="TableGrid"/>
        <w:tblW w:w="0" w:type="auto"/>
        <w:tblBorders>
          <w:top w:val="single" w:sz="24" w:space="0" w:color="1F4E79" w:themeColor="accent1" w:themeShade="80"/>
          <w:left w:val="single" w:sz="24" w:space="0" w:color="1F4E79" w:themeColor="accent1" w:themeShade="80"/>
          <w:bottom w:val="single" w:sz="24" w:space="0" w:color="1F4E79" w:themeColor="accent1" w:themeShade="80"/>
          <w:right w:val="single" w:sz="24" w:space="0" w:color="1F4E79" w:themeColor="accent1" w:themeShade="80"/>
          <w:insideH w:val="none" w:sz="0" w:space="0" w:color="auto"/>
          <w:insideV w:val="none" w:sz="0" w:space="0" w:color="auto"/>
        </w:tblBorders>
        <w:tblLook w:val="04A0" w:firstRow="1" w:lastRow="0" w:firstColumn="1" w:lastColumn="0" w:noHBand="0" w:noVBand="1"/>
      </w:tblPr>
      <w:tblGrid>
        <w:gridCol w:w="8966"/>
      </w:tblGrid>
      <w:tr w:rsidR="00B07B44" w14:paraId="1EEE739A" w14:textId="77777777" w:rsidTr="00856D6C">
        <w:tc>
          <w:tcPr>
            <w:tcW w:w="9323" w:type="dxa"/>
          </w:tcPr>
          <w:p w14:paraId="28CC7E32" w14:textId="124152FD" w:rsidR="0049296D" w:rsidRDefault="00B07B44" w:rsidP="00B07B44">
            <w:pPr>
              <w:spacing w:after="120"/>
              <w:jc w:val="both"/>
              <w:rPr>
                <w:rFonts w:cstheme="minorHAnsi"/>
                <w:b/>
                <w:lang w:val="ro-RO"/>
              </w:rPr>
            </w:pPr>
            <w:r w:rsidRPr="0049296D">
              <w:rPr>
                <w:rFonts w:cstheme="minorHAnsi"/>
                <w:b/>
                <w:lang w:val="ro-RO"/>
              </w:rPr>
              <w:t xml:space="preserve">În cazul în care ținta indicatorului principal a fost atinsă (100%), dar subdiviziunile indicatorului nu respectă valorile asumate prin CF, atunci valorile subdiviziunilor se compensează, astfel încât ∑GI subdiviziuni se va considera </w:t>
            </w:r>
            <w:r w:rsidRPr="00F51D00">
              <w:rPr>
                <w:rFonts w:cstheme="minorHAnsi"/>
                <w:b/>
                <w:lang w:val="ro-RO"/>
              </w:rPr>
              <w:t xml:space="preserve">îndeplinită 100%, cu condiția ca acele subdiviziuni </w:t>
            </w:r>
            <w:r w:rsidR="00F51D00" w:rsidRPr="00F51D00">
              <w:rPr>
                <w:rFonts w:cstheme="minorHAnsi"/>
                <w:b/>
                <w:lang w:val="ro-RO"/>
              </w:rPr>
              <w:t>să nu fi</w:t>
            </w:r>
            <w:r w:rsidRPr="00F51D00">
              <w:rPr>
                <w:rFonts w:cstheme="minorHAnsi"/>
                <w:b/>
                <w:lang w:val="ro-RO"/>
              </w:rPr>
              <w:t xml:space="preserve"> avut ținte minime stabilite prin ghidurile condiții specifice.</w:t>
            </w:r>
            <w:r w:rsidRPr="0049296D">
              <w:rPr>
                <w:rFonts w:cstheme="minorHAnsi"/>
                <w:b/>
                <w:lang w:val="ro-RO"/>
              </w:rPr>
              <w:t xml:space="preserve"> </w:t>
            </w:r>
          </w:p>
          <w:p w14:paraId="1DB76019" w14:textId="5F787B7E" w:rsidR="00B07B44" w:rsidRPr="0049296D" w:rsidRDefault="00B07B44" w:rsidP="0049296D">
            <w:pPr>
              <w:spacing w:after="120"/>
              <w:jc w:val="both"/>
              <w:rPr>
                <w:rFonts w:cstheme="minorHAnsi"/>
                <w:b/>
                <w:lang w:val="ro-RO"/>
              </w:rPr>
            </w:pPr>
            <w:r w:rsidRPr="0049296D">
              <w:rPr>
                <w:rFonts w:cstheme="minorHAnsi"/>
                <w:b/>
                <w:lang w:val="ro-RO"/>
              </w:rPr>
              <w:t>Pentru</w:t>
            </w:r>
            <w:r w:rsidR="0049296D">
              <w:rPr>
                <w:rFonts w:cstheme="minorHAnsi"/>
                <w:b/>
                <w:lang w:val="ro-RO"/>
              </w:rPr>
              <w:t xml:space="preserve"> subdiviziunile cu ținte minime stabilite prin ghidurile condiții specfice</w:t>
            </w:r>
            <w:r w:rsidRPr="0049296D">
              <w:rPr>
                <w:rFonts w:cstheme="minorHAnsi"/>
                <w:b/>
                <w:lang w:val="ro-RO"/>
              </w:rPr>
              <w:t>, nu se aplică metoda compensării.</w:t>
            </w:r>
          </w:p>
        </w:tc>
      </w:tr>
    </w:tbl>
    <w:p w14:paraId="379FCA17" w14:textId="77777777" w:rsidR="00B07B44" w:rsidRDefault="00B07B44" w:rsidP="007C744B">
      <w:pPr>
        <w:spacing w:after="120" w:line="240" w:lineRule="auto"/>
        <w:jc w:val="both"/>
        <w:rPr>
          <w:rFonts w:cstheme="minorHAnsi"/>
          <w:lang w:val="ro-RO"/>
        </w:rPr>
      </w:pPr>
    </w:p>
    <w:p w14:paraId="33E3F90F" w14:textId="77DC494B" w:rsidR="007C744B" w:rsidRPr="007C744B" w:rsidRDefault="00276508" w:rsidP="00856D6C">
      <w:pPr>
        <w:pStyle w:val="Heading1"/>
        <w:spacing w:after="120"/>
        <w:rPr>
          <w:lang w:val="ro-RO"/>
        </w:rPr>
      </w:pPr>
      <w:r>
        <w:rPr>
          <w:lang w:val="ro-RO"/>
        </w:rPr>
        <w:t xml:space="preserve">6. </w:t>
      </w:r>
      <w:r w:rsidR="00F84FC6">
        <w:rPr>
          <w:lang w:val="ro-RO"/>
        </w:rPr>
        <w:t>Calculul v</w:t>
      </w:r>
      <w:r>
        <w:rPr>
          <w:lang w:val="ro-RO"/>
        </w:rPr>
        <w:t>alo</w:t>
      </w:r>
      <w:r w:rsidR="00F84FC6">
        <w:rPr>
          <w:lang w:val="ro-RO"/>
        </w:rPr>
        <w:t>rii</w:t>
      </w:r>
      <w:r>
        <w:rPr>
          <w:lang w:val="ro-RO"/>
        </w:rPr>
        <w:t xml:space="preserve"> corecțiilor financiare</w:t>
      </w:r>
    </w:p>
    <w:p w14:paraId="207BE50A" w14:textId="71FB6093" w:rsidR="005831AB" w:rsidRDefault="005831AB" w:rsidP="005831AB">
      <w:pPr>
        <w:spacing w:after="0" w:line="240" w:lineRule="auto"/>
        <w:jc w:val="both"/>
        <w:rPr>
          <w:rFonts w:cstheme="minorHAnsi"/>
          <w:lang w:val="ro-RO"/>
        </w:rPr>
      </w:pPr>
      <w:r w:rsidRPr="00D66709">
        <w:rPr>
          <w:rFonts w:cstheme="minorHAnsi"/>
          <w:b/>
          <w:lang w:val="ro-RO"/>
        </w:rPr>
        <w:t>Valoarea corecțiilor financiare aplicabile la nivelul proiectului se calculează pe baza valorii totale eligibile a proiectului, conform prevederilor Contractului de Finanțare, cu modificările ulterioare</w:t>
      </w:r>
      <w:r>
        <w:rPr>
          <w:rFonts w:cstheme="minorHAnsi"/>
          <w:lang w:val="ro-RO"/>
        </w:rPr>
        <w:t xml:space="preserve"> (acte adiționale dacă este cazul), pornind de la premisa că bugetul proiectului, în ansamblul său, a fost estimat și utilizat pentru derularea activităților care să conducă la îndeplinirea rezultatelor și obiectivelor asumate, reflectate în gradul de îndeplinire a țintelor stabilite pentru indicatorii proiectului. </w:t>
      </w:r>
    </w:p>
    <w:p w14:paraId="38F07CFA" w14:textId="77777777" w:rsidR="00AF282E" w:rsidRDefault="00AF282E" w:rsidP="005831AB">
      <w:pPr>
        <w:spacing w:after="0" w:line="240" w:lineRule="auto"/>
        <w:jc w:val="both"/>
        <w:rPr>
          <w:rFonts w:cstheme="minorHAnsi"/>
          <w:lang w:val="ro-RO"/>
        </w:rPr>
      </w:pPr>
    </w:p>
    <w:p w14:paraId="223176A9" w14:textId="77777777" w:rsidR="00AF282E" w:rsidRPr="008D2C8F" w:rsidRDefault="00AF282E" w:rsidP="00933821">
      <w:pPr>
        <w:spacing w:after="0" w:line="240" w:lineRule="auto"/>
        <w:ind w:left="720"/>
        <w:jc w:val="both"/>
        <w:rPr>
          <w:rFonts w:cstheme="minorHAnsi"/>
          <w:b/>
          <w:i/>
          <w:lang w:val="ro-RO"/>
        </w:rPr>
      </w:pPr>
      <w:r w:rsidRPr="008D2C8F">
        <w:rPr>
          <w:rFonts w:cstheme="minorHAnsi"/>
          <w:b/>
          <w:i/>
          <w:lang w:val="ro-RO"/>
        </w:rPr>
        <w:lastRenderedPageBreak/>
        <w:t xml:space="preserve">Exemplu: </w:t>
      </w:r>
    </w:p>
    <w:p w14:paraId="2CB78263" w14:textId="15DD9369" w:rsidR="00AF282E" w:rsidRPr="009805A8" w:rsidRDefault="00AF282E" w:rsidP="009805A8">
      <w:pPr>
        <w:pStyle w:val="ListParagraph"/>
        <w:numPr>
          <w:ilvl w:val="0"/>
          <w:numId w:val="33"/>
        </w:numPr>
        <w:spacing w:after="0" w:line="240" w:lineRule="auto"/>
        <w:jc w:val="both"/>
        <w:rPr>
          <w:rFonts w:cstheme="minorHAnsi"/>
          <w:lang w:val="ro-RO"/>
        </w:rPr>
      </w:pPr>
      <w:r w:rsidRPr="009805A8">
        <w:rPr>
          <w:rFonts w:cstheme="minorHAnsi"/>
          <w:lang w:val="ro-RO"/>
        </w:rPr>
        <w:t>Valoare corecție financiară indicatori de realizare = 6% * valoarea contractului</w:t>
      </w:r>
    </w:p>
    <w:p w14:paraId="22CAF1F6" w14:textId="381A3CFA" w:rsidR="00AF282E" w:rsidRPr="009805A8" w:rsidRDefault="00AF282E" w:rsidP="009805A8">
      <w:pPr>
        <w:pStyle w:val="ListParagraph"/>
        <w:numPr>
          <w:ilvl w:val="0"/>
          <w:numId w:val="33"/>
        </w:numPr>
        <w:spacing w:after="0" w:line="240" w:lineRule="auto"/>
        <w:jc w:val="both"/>
        <w:rPr>
          <w:rFonts w:cstheme="minorHAnsi"/>
          <w:lang w:val="ro-RO"/>
        </w:rPr>
      </w:pPr>
      <w:r w:rsidRPr="009805A8">
        <w:rPr>
          <w:rFonts w:cstheme="minorHAnsi"/>
          <w:lang w:val="ro-RO"/>
        </w:rPr>
        <w:t>Valoare corecție financiară indicatori de rezultat imediat = 11,52% * valoarea contractului</w:t>
      </w:r>
    </w:p>
    <w:p w14:paraId="511D34DD" w14:textId="77777777" w:rsidR="002C3235" w:rsidRDefault="002C3235" w:rsidP="005831AB">
      <w:pPr>
        <w:spacing w:after="0" w:line="240" w:lineRule="auto"/>
        <w:jc w:val="both"/>
        <w:rPr>
          <w:rFonts w:cstheme="minorHAnsi"/>
          <w:lang w:val="ro-RO"/>
        </w:rPr>
      </w:pPr>
    </w:p>
    <w:p w14:paraId="0E8E6D9C" w14:textId="26CCADE6" w:rsidR="005A2566" w:rsidRDefault="005A2566" w:rsidP="005831AB">
      <w:pPr>
        <w:spacing w:after="0" w:line="240" w:lineRule="auto"/>
        <w:jc w:val="both"/>
        <w:rPr>
          <w:rFonts w:cstheme="minorHAnsi"/>
          <w:lang w:val="ro-RO"/>
        </w:rPr>
      </w:pPr>
      <w:r w:rsidRPr="0049296D">
        <w:rPr>
          <w:rFonts w:cstheme="minorHAnsi"/>
          <w:lang w:val="ro-RO"/>
        </w:rPr>
        <w:t>În cazul în care, pe parcursul implementării, țintele indicatorilor, respectiv bugetul, au fost diminuate, cuantumul corecției financia</w:t>
      </w:r>
      <w:r w:rsidR="004722AB" w:rsidRPr="0049296D">
        <w:rPr>
          <w:rFonts w:cstheme="minorHAnsi"/>
          <w:lang w:val="ro-RO"/>
        </w:rPr>
        <w:t xml:space="preserve">re se va calcula față </w:t>
      </w:r>
      <w:r w:rsidR="0049296D">
        <w:rPr>
          <w:rFonts w:cstheme="minorHAnsi"/>
          <w:lang w:val="ro-RO"/>
        </w:rPr>
        <w:t>de cele mai recente valori în vigoare.</w:t>
      </w:r>
    </w:p>
    <w:p w14:paraId="61A22653" w14:textId="77777777" w:rsidR="00AF282E" w:rsidRDefault="00AF282E" w:rsidP="005831AB">
      <w:pPr>
        <w:spacing w:after="0" w:line="240" w:lineRule="auto"/>
        <w:jc w:val="both"/>
        <w:rPr>
          <w:rFonts w:cstheme="minorHAnsi"/>
          <w:lang w:val="ro-RO"/>
        </w:rPr>
      </w:pPr>
    </w:p>
    <w:tbl>
      <w:tblPr>
        <w:tblStyle w:val="TableGrid"/>
        <w:tblW w:w="0" w:type="auto"/>
        <w:tblBorders>
          <w:top w:val="single" w:sz="24" w:space="0" w:color="1F4E79" w:themeColor="accent1" w:themeShade="80"/>
          <w:left w:val="single" w:sz="24" w:space="0" w:color="1F4E79" w:themeColor="accent1" w:themeShade="80"/>
          <w:bottom w:val="single" w:sz="24" w:space="0" w:color="1F4E79" w:themeColor="accent1" w:themeShade="80"/>
          <w:right w:val="single" w:sz="24" w:space="0" w:color="1F4E79" w:themeColor="accent1" w:themeShade="80"/>
          <w:insideH w:val="none" w:sz="0" w:space="0" w:color="auto"/>
          <w:insideV w:val="none" w:sz="0" w:space="0" w:color="auto"/>
        </w:tblBorders>
        <w:tblLook w:val="04A0" w:firstRow="1" w:lastRow="0" w:firstColumn="1" w:lastColumn="0" w:noHBand="0" w:noVBand="1"/>
      </w:tblPr>
      <w:tblGrid>
        <w:gridCol w:w="8966"/>
      </w:tblGrid>
      <w:tr w:rsidR="00E8744F" w14:paraId="71DCC9A1" w14:textId="77777777" w:rsidTr="00856D6C">
        <w:tc>
          <w:tcPr>
            <w:tcW w:w="9323" w:type="dxa"/>
          </w:tcPr>
          <w:p w14:paraId="710542B3" w14:textId="2C4590DD" w:rsidR="00E8744F" w:rsidRPr="0049296D" w:rsidRDefault="00E8744F" w:rsidP="00E8744F">
            <w:pPr>
              <w:spacing w:after="120"/>
              <w:jc w:val="both"/>
              <w:rPr>
                <w:rFonts w:cstheme="minorHAnsi"/>
                <w:b/>
                <w:lang w:val="ro-RO"/>
              </w:rPr>
            </w:pPr>
            <w:r w:rsidRPr="0049296D">
              <w:rPr>
                <w:rFonts w:cstheme="minorHAnsi"/>
                <w:b/>
                <w:lang w:val="ro-RO"/>
              </w:rPr>
              <w:t>În cazul în care</w:t>
            </w:r>
            <w:r w:rsidRPr="0049296D">
              <w:rPr>
                <w:rFonts w:cstheme="minorHAnsi"/>
                <w:b/>
                <w:color w:val="FF0000"/>
                <w:lang w:val="ro-RO"/>
              </w:rPr>
              <w:t xml:space="preserve"> </w:t>
            </w:r>
            <w:r w:rsidRPr="0049296D">
              <w:rPr>
                <w:rFonts w:cstheme="minorHAnsi"/>
                <w:b/>
                <w:lang w:val="ro-RO"/>
              </w:rPr>
              <w:t xml:space="preserve">Beneficiarul nu va utiliza tot bugetul aprobat al proiectului, suma ce urmează a fi efectiv plătită de către Beneficiar drept corecție este egală cu diferența dintre valoarea corecției și valoarea sumelor economisite în cadrul proiectului. </w:t>
            </w:r>
          </w:p>
        </w:tc>
      </w:tr>
    </w:tbl>
    <w:p w14:paraId="5D36B8F5" w14:textId="77777777" w:rsidR="00833138" w:rsidRDefault="00833138" w:rsidP="00724C37">
      <w:pPr>
        <w:spacing w:after="120" w:line="240" w:lineRule="auto"/>
        <w:jc w:val="both"/>
        <w:rPr>
          <w:rFonts w:cstheme="minorHAnsi"/>
          <w:lang w:val="ro-RO"/>
        </w:rPr>
      </w:pPr>
    </w:p>
    <w:p w14:paraId="3B01DA29" w14:textId="676CB7FD" w:rsidR="00EF73AA" w:rsidRPr="007C744B" w:rsidRDefault="00EF73AA" w:rsidP="00EF73AA">
      <w:pPr>
        <w:pStyle w:val="Heading1"/>
        <w:spacing w:after="120"/>
        <w:rPr>
          <w:lang w:val="ro-RO"/>
        </w:rPr>
      </w:pPr>
      <w:r>
        <w:rPr>
          <w:lang w:val="ro-RO"/>
        </w:rPr>
        <w:t xml:space="preserve">7. </w:t>
      </w:r>
      <w:r w:rsidR="00C40919">
        <w:rPr>
          <w:lang w:val="ro-RO"/>
        </w:rPr>
        <w:t>Aplicarea</w:t>
      </w:r>
      <w:r>
        <w:rPr>
          <w:lang w:val="ro-RO"/>
        </w:rPr>
        <w:t xml:space="preserve"> corecțiilor financiare</w:t>
      </w:r>
    </w:p>
    <w:p w14:paraId="09FF8F84" w14:textId="0E17AE6A" w:rsidR="00C40919" w:rsidRPr="00C40919" w:rsidRDefault="00933821" w:rsidP="00C40919">
      <w:pPr>
        <w:jc w:val="both"/>
        <w:rPr>
          <w:rFonts w:ascii="Calibri" w:hAnsi="Calibri"/>
          <w:bCs/>
          <w:lang w:val="ro-RO"/>
        </w:rPr>
      </w:pPr>
      <w:r>
        <w:rPr>
          <w:rFonts w:ascii="Calibri" w:hAnsi="Calibri"/>
          <w:bCs/>
          <w:lang w:val="ro-RO"/>
        </w:rPr>
        <w:t>Corecț</w:t>
      </w:r>
      <w:r w:rsidR="00C40919" w:rsidRPr="00C40919">
        <w:rPr>
          <w:rFonts w:ascii="Calibri" w:hAnsi="Calibri"/>
          <w:bCs/>
          <w:lang w:val="ro-RO"/>
        </w:rPr>
        <w:t xml:space="preserve">iile calculate pe baza prezentei Metodologii se vor aplica atât Beneficiarului, cât și Partenerilor, dacă este cazul, în conformitate cu responsabilitățile asumate prin Acordul de Parteneriat, în baza prevederilor HG nr. 875/2011 pentru aprobarea Normelor metodologice de aplicare a prevederilor </w:t>
      </w:r>
      <w:r>
        <w:rPr>
          <w:rFonts w:ascii="Calibri" w:hAnsi="Calibri"/>
          <w:bCs/>
          <w:lang w:val="ro-RO"/>
        </w:rPr>
        <w:t>OUG</w:t>
      </w:r>
      <w:r w:rsidR="00C40919" w:rsidRPr="00C40919">
        <w:rPr>
          <w:rFonts w:ascii="Calibri" w:hAnsi="Calibri"/>
          <w:bCs/>
          <w:lang w:val="ro-RO"/>
        </w:rPr>
        <w:t xml:space="preserve"> nr. 66/2011 privind prevenirea, constatarea şi sancţionarea neregulilor apărute în obţinerea şi utilizarea fondurilor europene şi/sau a fondurilor publice naţionale aferente acestora.</w:t>
      </w:r>
    </w:p>
    <w:p w14:paraId="72958EAA" w14:textId="77777777" w:rsidR="00933821" w:rsidRDefault="00933821" w:rsidP="00D64D93">
      <w:pPr>
        <w:spacing w:after="120"/>
        <w:jc w:val="both"/>
        <w:rPr>
          <w:rFonts w:ascii="Calibri" w:hAnsi="Calibri"/>
          <w:bCs/>
          <w:lang w:val="ro-RO"/>
        </w:rPr>
      </w:pPr>
    </w:p>
    <w:p w14:paraId="1FBF13CF" w14:textId="76E2B70E" w:rsidR="00C40919" w:rsidRPr="00C40919" w:rsidRDefault="00C40919" w:rsidP="00933821">
      <w:pPr>
        <w:spacing w:after="0"/>
        <w:jc w:val="both"/>
        <w:rPr>
          <w:rFonts w:ascii="Calibri" w:hAnsi="Calibri"/>
          <w:bCs/>
          <w:lang w:val="ro-RO"/>
        </w:rPr>
      </w:pPr>
      <w:r w:rsidRPr="00C40919">
        <w:rPr>
          <w:rFonts w:ascii="Calibri" w:hAnsi="Calibri"/>
          <w:bCs/>
          <w:lang w:val="ro-RO"/>
        </w:rPr>
        <w:t>Se vor avea în vedere următorii pași metodologici:</w:t>
      </w:r>
    </w:p>
    <w:p w14:paraId="2CE466D8" w14:textId="6C9946A2" w:rsidR="00C40919" w:rsidRPr="00C40919" w:rsidRDefault="00C40919" w:rsidP="00B4509D">
      <w:pPr>
        <w:pStyle w:val="ListParagraph"/>
        <w:numPr>
          <w:ilvl w:val="0"/>
          <w:numId w:val="37"/>
        </w:numPr>
        <w:spacing w:after="0" w:line="240" w:lineRule="auto"/>
        <w:ind w:left="709" w:hanging="283"/>
        <w:jc w:val="both"/>
        <w:rPr>
          <w:rFonts w:ascii="Calibri" w:hAnsi="Calibri"/>
          <w:bCs/>
          <w:lang w:val="ro-RO"/>
        </w:rPr>
      </w:pPr>
      <w:r w:rsidRPr="00C40919">
        <w:rPr>
          <w:rFonts w:ascii="Calibri" w:hAnsi="Calibri"/>
          <w:bCs/>
          <w:lang w:val="ro-RO"/>
        </w:rPr>
        <w:t>Se stabileste valoarea corecției, raportat la valoarea contractului din ultimul act adițional (dacă e cazul)</w:t>
      </w:r>
      <w:r w:rsidR="00897230">
        <w:rPr>
          <w:rFonts w:ascii="Calibri" w:hAnsi="Calibri"/>
          <w:bCs/>
          <w:lang w:val="ro-RO"/>
        </w:rPr>
        <w:t>.</w:t>
      </w:r>
    </w:p>
    <w:p w14:paraId="2E23C189" w14:textId="77777777" w:rsidR="00C40919" w:rsidRPr="00D64D93" w:rsidRDefault="00C40919" w:rsidP="00B4509D">
      <w:pPr>
        <w:pStyle w:val="ListParagraph"/>
        <w:spacing w:after="0" w:line="240" w:lineRule="auto"/>
        <w:ind w:left="709" w:hanging="283"/>
        <w:jc w:val="both"/>
        <w:rPr>
          <w:rFonts w:ascii="Calibri" w:hAnsi="Calibri"/>
          <w:bCs/>
          <w:sz w:val="12"/>
          <w:szCs w:val="12"/>
          <w:lang w:val="ro-RO"/>
        </w:rPr>
      </w:pPr>
    </w:p>
    <w:p w14:paraId="514A2770" w14:textId="1619DB85" w:rsidR="00C40919" w:rsidRPr="00C40919" w:rsidRDefault="00C40919" w:rsidP="00B4509D">
      <w:pPr>
        <w:pStyle w:val="ListParagraph"/>
        <w:numPr>
          <w:ilvl w:val="0"/>
          <w:numId w:val="37"/>
        </w:numPr>
        <w:spacing w:after="0" w:line="240" w:lineRule="auto"/>
        <w:ind w:left="709" w:hanging="283"/>
        <w:jc w:val="both"/>
        <w:rPr>
          <w:rFonts w:ascii="Calibri" w:hAnsi="Calibri"/>
          <w:bCs/>
          <w:lang w:val="ro-RO"/>
        </w:rPr>
      </w:pPr>
      <w:r w:rsidRPr="00C40919">
        <w:rPr>
          <w:rFonts w:ascii="Calibri" w:hAnsi="Calibri"/>
          <w:bCs/>
          <w:lang w:val="ro-RO"/>
        </w:rPr>
        <w:t>Se deduc economiile și se ver</w:t>
      </w:r>
      <w:r w:rsidR="00B4509D">
        <w:rPr>
          <w:rFonts w:ascii="Calibri" w:hAnsi="Calibri"/>
          <w:bCs/>
          <w:lang w:val="ro-RO"/>
        </w:rPr>
        <w:t>i</w:t>
      </w:r>
      <w:r w:rsidRPr="00C40919">
        <w:rPr>
          <w:rFonts w:ascii="Calibri" w:hAnsi="Calibri"/>
          <w:bCs/>
          <w:lang w:val="ro-RO"/>
        </w:rPr>
        <w:t>fică dacă valoarea corecției depășește valoarea economiilor.</w:t>
      </w:r>
    </w:p>
    <w:p w14:paraId="2F245FE1" w14:textId="217F0944" w:rsidR="00C40919" w:rsidRPr="00C40919" w:rsidRDefault="00C40919" w:rsidP="00B4509D">
      <w:pPr>
        <w:pStyle w:val="ListParagraph"/>
        <w:numPr>
          <w:ilvl w:val="1"/>
          <w:numId w:val="37"/>
        </w:numPr>
        <w:spacing w:after="0" w:line="240" w:lineRule="auto"/>
        <w:ind w:left="1276" w:hanging="283"/>
        <w:jc w:val="both"/>
        <w:rPr>
          <w:rFonts w:ascii="Calibri" w:hAnsi="Calibri"/>
          <w:bCs/>
          <w:lang w:val="ro-RO"/>
        </w:rPr>
      </w:pPr>
      <w:r w:rsidRPr="00C40919">
        <w:rPr>
          <w:rFonts w:ascii="Calibri" w:hAnsi="Calibri"/>
          <w:bCs/>
          <w:lang w:val="ro-RO"/>
        </w:rPr>
        <w:t>Dacă valoarea corecțiilor este mai mică decât valoarea economiilor, nu va fi aplicată nici o corecție.</w:t>
      </w:r>
    </w:p>
    <w:p w14:paraId="17AF0066" w14:textId="3D0404B3" w:rsidR="00FC05FF" w:rsidRPr="00C40919" w:rsidRDefault="00C40919" w:rsidP="00B4509D">
      <w:pPr>
        <w:pStyle w:val="ListParagraph"/>
        <w:numPr>
          <w:ilvl w:val="1"/>
          <w:numId w:val="37"/>
        </w:numPr>
        <w:spacing w:after="0" w:line="240" w:lineRule="auto"/>
        <w:ind w:left="1276" w:hanging="283"/>
        <w:jc w:val="both"/>
        <w:rPr>
          <w:rFonts w:ascii="Calibri" w:hAnsi="Calibri"/>
          <w:bCs/>
          <w:lang w:val="ro-RO"/>
        </w:rPr>
      </w:pPr>
      <w:r w:rsidRPr="00C40919">
        <w:rPr>
          <w:rFonts w:ascii="Calibri" w:hAnsi="Calibri"/>
          <w:bCs/>
          <w:lang w:val="ro-RO"/>
        </w:rPr>
        <w:t>Dacă valoarea corecțiilor depășește valoarea economiilor, atunci diferența va fi recuperată din ultima cerere de rambursare.</w:t>
      </w:r>
    </w:p>
    <w:p w14:paraId="1D96BDF3" w14:textId="072ECFE3" w:rsidR="00EF73AA" w:rsidRPr="00FC05FF" w:rsidRDefault="00C40919" w:rsidP="00B4509D">
      <w:pPr>
        <w:pStyle w:val="ListParagraph"/>
        <w:numPr>
          <w:ilvl w:val="1"/>
          <w:numId w:val="37"/>
        </w:numPr>
        <w:spacing w:after="0" w:line="240" w:lineRule="auto"/>
        <w:ind w:left="1276" w:hanging="283"/>
        <w:jc w:val="both"/>
        <w:rPr>
          <w:rFonts w:ascii="Calibri" w:hAnsi="Calibri"/>
          <w:bCs/>
          <w:lang w:val="ro-RO"/>
        </w:rPr>
      </w:pPr>
      <w:r w:rsidRPr="00FC05FF">
        <w:rPr>
          <w:rFonts w:ascii="Calibri" w:hAnsi="Calibri"/>
          <w:bCs/>
          <w:lang w:val="ro-RO"/>
        </w:rPr>
        <w:t>Dacă valoarea corecțiilor este mai mare decât valoarea CR în verificare, atunci se va întocmi Suspiciune de neregulă conform OUG 66/2011, cu modficările și completările ulterioare.</w:t>
      </w:r>
    </w:p>
    <w:sectPr w:rsidR="00EF73AA" w:rsidRPr="00FC05FF" w:rsidSect="001F75BC">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5FBC93" w14:textId="77777777" w:rsidR="00132CFD" w:rsidRDefault="00132CFD" w:rsidP="00840912">
      <w:pPr>
        <w:spacing w:after="0" w:line="240" w:lineRule="auto"/>
      </w:pPr>
      <w:r>
        <w:separator/>
      </w:r>
    </w:p>
  </w:endnote>
  <w:endnote w:type="continuationSeparator" w:id="0">
    <w:p w14:paraId="233E6ACB" w14:textId="77777777" w:rsidR="00132CFD" w:rsidRDefault="00132CFD" w:rsidP="008409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8992730"/>
      <w:docPartObj>
        <w:docPartGallery w:val="Page Numbers (Bottom of Page)"/>
        <w:docPartUnique/>
      </w:docPartObj>
    </w:sdtPr>
    <w:sdtEndPr>
      <w:rPr>
        <w:noProof/>
      </w:rPr>
    </w:sdtEndPr>
    <w:sdtContent>
      <w:p w14:paraId="14B7DCAA" w14:textId="37ABCCE4" w:rsidR="009D6A65" w:rsidRDefault="009D6A65">
        <w:pPr>
          <w:pStyle w:val="Footer"/>
          <w:jc w:val="right"/>
        </w:pPr>
        <w:r>
          <w:fldChar w:fldCharType="begin"/>
        </w:r>
        <w:r>
          <w:instrText xml:space="preserve"> PAGE   \* MERGEFORMAT </w:instrText>
        </w:r>
        <w:r>
          <w:fldChar w:fldCharType="separate"/>
        </w:r>
        <w:r w:rsidR="001F75BC">
          <w:rPr>
            <w:noProof/>
          </w:rPr>
          <w:t>8</w:t>
        </w:r>
        <w:r>
          <w:rPr>
            <w:noProof/>
          </w:rPr>
          <w:fldChar w:fldCharType="end"/>
        </w:r>
      </w:p>
    </w:sdtContent>
  </w:sdt>
  <w:p w14:paraId="1024D653" w14:textId="77777777" w:rsidR="009D6A65" w:rsidRDefault="009D6A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9D05BB" w14:textId="77777777" w:rsidR="00132CFD" w:rsidRDefault="00132CFD" w:rsidP="00840912">
      <w:pPr>
        <w:spacing w:after="0" w:line="240" w:lineRule="auto"/>
      </w:pPr>
      <w:r>
        <w:separator/>
      </w:r>
    </w:p>
  </w:footnote>
  <w:footnote w:type="continuationSeparator" w:id="0">
    <w:p w14:paraId="4845EE10" w14:textId="77777777" w:rsidR="00132CFD" w:rsidRDefault="00132CFD" w:rsidP="00840912">
      <w:pPr>
        <w:spacing w:after="0" w:line="240" w:lineRule="auto"/>
      </w:pPr>
      <w:r>
        <w:continuationSeparator/>
      </w:r>
    </w:p>
  </w:footnote>
  <w:footnote w:id="1">
    <w:p w14:paraId="43EBBE90" w14:textId="77777777" w:rsidR="009D6A65" w:rsidRPr="0017274E" w:rsidRDefault="009D6A65" w:rsidP="003945F6">
      <w:pPr>
        <w:pStyle w:val="FootnoteText"/>
        <w:rPr>
          <w:lang w:val="ro-RO"/>
        </w:rPr>
      </w:pPr>
      <w:r w:rsidRPr="0017274E">
        <w:rPr>
          <w:rStyle w:val="FootnoteReference"/>
          <w:lang w:val="ro-RO"/>
        </w:rPr>
        <w:footnoteRef/>
      </w:r>
      <w:r w:rsidRPr="0017274E">
        <w:rPr>
          <w:lang w:val="ro-RO"/>
        </w:rPr>
        <w:t xml:space="preserve"> De exemplu, în construcția portofoliilor de investiții financiare</w:t>
      </w:r>
    </w:p>
  </w:footnote>
  <w:footnote w:id="2">
    <w:p w14:paraId="4FE9999C" w14:textId="1E07A3B8" w:rsidR="00B30C78" w:rsidRPr="00B30C78" w:rsidRDefault="00B30C78" w:rsidP="00B30C78">
      <w:pPr>
        <w:pStyle w:val="FootnoteText"/>
        <w:jc w:val="both"/>
        <w:rPr>
          <w:sz w:val="18"/>
          <w:szCs w:val="18"/>
          <w:lang w:val="ro-RO"/>
        </w:rPr>
      </w:pPr>
      <w:r w:rsidRPr="00B30C78">
        <w:rPr>
          <w:rStyle w:val="FootnoteReference"/>
          <w:sz w:val="18"/>
          <w:szCs w:val="18"/>
        </w:rPr>
        <w:footnoteRef/>
      </w:r>
      <w:r w:rsidRPr="00B30C78">
        <w:rPr>
          <w:sz w:val="18"/>
          <w:szCs w:val="18"/>
        </w:rPr>
        <w:t xml:space="preserve"> </w:t>
      </w:r>
      <w:r w:rsidRPr="00B30C78">
        <w:rPr>
          <w:sz w:val="18"/>
          <w:szCs w:val="18"/>
          <w:lang w:val="ro-RO"/>
        </w:rPr>
        <w:t>Subdiviziunile pentru care au fost stabilite ținte minime obligatorii prin Ghidul Solicitantului vor fi considerate individual, în timp ce pentru sub-diviziunile fără ținte minime stabilite prin GS se va avea în vedere un grad de realizare cumulat.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089D"/>
    <w:multiLevelType w:val="hybridMultilevel"/>
    <w:tmpl w:val="52C8184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3AE5D9A"/>
    <w:multiLevelType w:val="hybridMultilevel"/>
    <w:tmpl w:val="8608578C"/>
    <w:lvl w:ilvl="0" w:tplc="D0AAB72C">
      <w:start w:val="7"/>
      <w:numFmt w:val="bullet"/>
      <w:lvlText w:val=""/>
      <w:lvlJc w:val="left"/>
      <w:pPr>
        <w:ind w:left="1780" w:hanging="360"/>
      </w:pPr>
      <w:rPr>
        <w:rFonts w:ascii="Symbol" w:eastAsiaTheme="minorHAnsi" w:hAnsi="Symbol" w:cstheme="minorHAnsi" w:hint="default"/>
        <w:b/>
      </w:rPr>
    </w:lvl>
    <w:lvl w:ilvl="1" w:tplc="04090003" w:tentative="1">
      <w:start w:val="1"/>
      <w:numFmt w:val="bullet"/>
      <w:lvlText w:val="o"/>
      <w:lvlJc w:val="left"/>
      <w:pPr>
        <w:ind w:left="2500" w:hanging="360"/>
      </w:pPr>
      <w:rPr>
        <w:rFonts w:ascii="Courier New" w:hAnsi="Courier New" w:hint="default"/>
      </w:rPr>
    </w:lvl>
    <w:lvl w:ilvl="2" w:tplc="04090005" w:tentative="1">
      <w:start w:val="1"/>
      <w:numFmt w:val="bullet"/>
      <w:lvlText w:val=""/>
      <w:lvlJc w:val="left"/>
      <w:pPr>
        <w:ind w:left="3220" w:hanging="360"/>
      </w:pPr>
      <w:rPr>
        <w:rFonts w:ascii="Wingdings" w:hAnsi="Wingdings" w:hint="default"/>
      </w:rPr>
    </w:lvl>
    <w:lvl w:ilvl="3" w:tplc="04090001" w:tentative="1">
      <w:start w:val="1"/>
      <w:numFmt w:val="bullet"/>
      <w:lvlText w:val=""/>
      <w:lvlJc w:val="left"/>
      <w:pPr>
        <w:ind w:left="3940" w:hanging="360"/>
      </w:pPr>
      <w:rPr>
        <w:rFonts w:ascii="Symbol" w:hAnsi="Symbol" w:hint="default"/>
      </w:rPr>
    </w:lvl>
    <w:lvl w:ilvl="4" w:tplc="04090003" w:tentative="1">
      <w:start w:val="1"/>
      <w:numFmt w:val="bullet"/>
      <w:lvlText w:val="o"/>
      <w:lvlJc w:val="left"/>
      <w:pPr>
        <w:ind w:left="4660" w:hanging="360"/>
      </w:pPr>
      <w:rPr>
        <w:rFonts w:ascii="Courier New" w:hAnsi="Courier New" w:hint="default"/>
      </w:rPr>
    </w:lvl>
    <w:lvl w:ilvl="5" w:tplc="04090005" w:tentative="1">
      <w:start w:val="1"/>
      <w:numFmt w:val="bullet"/>
      <w:lvlText w:val=""/>
      <w:lvlJc w:val="left"/>
      <w:pPr>
        <w:ind w:left="5380" w:hanging="360"/>
      </w:pPr>
      <w:rPr>
        <w:rFonts w:ascii="Wingdings" w:hAnsi="Wingdings" w:hint="default"/>
      </w:rPr>
    </w:lvl>
    <w:lvl w:ilvl="6" w:tplc="04090001" w:tentative="1">
      <w:start w:val="1"/>
      <w:numFmt w:val="bullet"/>
      <w:lvlText w:val=""/>
      <w:lvlJc w:val="left"/>
      <w:pPr>
        <w:ind w:left="6100" w:hanging="360"/>
      </w:pPr>
      <w:rPr>
        <w:rFonts w:ascii="Symbol" w:hAnsi="Symbol" w:hint="default"/>
      </w:rPr>
    </w:lvl>
    <w:lvl w:ilvl="7" w:tplc="04090003" w:tentative="1">
      <w:start w:val="1"/>
      <w:numFmt w:val="bullet"/>
      <w:lvlText w:val="o"/>
      <w:lvlJc w:val="left"/>
      <w:pPr>
        <w:ind w:left="6820" w:hanging="360"/>
      </w:pPr>
      <w:rPr>
        <w:rFonts w:ascii="Courier New" w:hAnsi="Courier New" w:hint="default"/>
      </w:rPr>
    </w:lvl>
    <w:lvl w:ilvl="8" w:tplc="04090005" w:tentative="1">
      <w:start w:val="1"/>
      <w:numFmt w:val="bullet"/>
      <w:lvlText w:val=""/>
      <w:lvlJc w:val="left"/>
      <w:pPr>
        <w:ind w:left="7540" w:hanging="360"/>
      </w:pPr>
      <w:rPr>
        <w:rFonts w:ascii="Wingdings" w:hAnsi="Wingdings" w:hint="default"/>
      </w:rPr>
    </w:lvl>
  </w:abstractNum>
  <w:abstractNum w:abstractNumId="2" w15:restartNumberingAfterBreak="0">
    <w:nsid w:val="05541E21"/>
    <w:multiLevelType w:val="hybridMultilevel"/>
    <w:tmpl w:val="C5E45C10"/>
    <w:lvl w:ilvl="0" w:tplc="0F66301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FB104A"/>
    <w:multiLevelType w:val="hybridMultilevel"/>
    <w:tmpl w:val="16DE99E6"/>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A9064F5"/>
    <w:multiLevelType w:val="hybridMultilevel"/>
    <w:tmpl w:val="BEE28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0063E0"/>
    <w:multiLevelType w:val="hybridMultilevel"/>
    <w:tmpl w:val="A19C48A4"/>
    <w:lvl w:ilvl="0" w:tplc="08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902F32"/>
    <w:multiLevelType w:val="hybridMultilevel"/>
    <w:tmpl w:val="E3222620"/>
    <w:lvl w:ilvl="0" w:tplc="0F66301A">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1F80925"/>
    <w:multiLevelType w:val="hybridMultilevel"/>
    <w:tmpl w:val="331C0BDE"/>
    <w:lvl w:ilvl="0" w:tplc="618A5CA8">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294FCF"/>
    <w:multiLevelType w:val="hybridMultilevel"/>
    <w:tmpl w:val="552AC2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5F4667"/>
    <w:multiLevelType w:val="hybridMultilevel"/>
    <w:tmpl w:val="8FE84656"/>
    <w:lvl w:ilvl="0" w:tplc="D006F3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E61DE4"/>
    <w:multiLevelType w:val="hybridMultilevel"/>
    <w:tmpl w:val="C23C2EF2"/>
    <w:lvl w:ilvl="0" w:tplc="0F66301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4D798B"/>
    <w:multiLevelType w:val="hybridMultilevel"/>
    <w:tmpl w:val="2110A33A"/>
    <w:lvl w:ilvl="0" w:tplc="618A5CA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EFF66C6"/>
    <w:multiLevelType w:val="hybridMultilevel"/>
    <w:tmpl w:val="2692218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24970F5"/>
    <w:multiLevelType w:val="hybridMultilevel"/>
    <w:tmpl w:val="22928D0A"/>
    <w:lvl w:ilvl="0" w:tplc="4C9EA47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69F4FC7"/>
    <w:multiLevelType w:val="hybridMultilevel"/>
    <w:tmpl w:val="86D058C6"/>
    <w:lvl w:ilvl="0" w:tplc="618A5CA8">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7F35398"/>
    <w:multiLevelType w:val="hybridMultilevel"/>
    <w:tmpl w:val="872AF24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1BB1694"/>
    <w:multiLevelType w:val="hybridMultilevel"/>
    <w:tmpl w:val="BB2AC08A"/>
    <w:lvl w:ilvl="0" w:tplc="618A5CA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0C5DB1"/>
    <w:multiLevelType w:val="hybridMultilevel"/>
    <w:tmpl w:val="3C282D78"/>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C1736B"/>
    <w:multiLevelType w:val="hybridMultilevel"/>
    <w:tmpl w:val="300CB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CE5113"/>
    <w:multiLevelType w:val="hybridMultilevel"/>
    <w:tmpl w:val="28B4DF88"/>
    <w:lvl w:ilvl="0" w:tplc="618A5CA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6604744"/>
    <w:multiLevelType w:val="hybridMultilevel"/>
    <w:tmpl w:val="8330575E"/>
    <w:lvl w:ilvl="0" w:tplc="08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714A7A"/>
    <w:multiLevelType w:val="hybridMultilevel"/>
    <w:tmpl w:val="2DB6E5FA"/>
    <w:lvl w:ilvl="0" w:tplc="04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1CC7DE7"/>
    <w:multiLevelType w:val="hybridMultilevel"/>
    <w:tmpl w:val="BE10E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5D15F0"/>
    <w:multiLevelType w:val="hybridMultilevel"/>
    <w:tmpl w:val="B0A05C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5578BE"/>
    <w:multiLevelType w:val="hybridMultilevel"/>
    <w:tmpl w:val="D98C8A4C"/>
    <w:lvl w:ilvl="0" w:tplc="618A5CA8">
      <w:numFmt w:val="bullet"/>
      <w:lvlText w:val="-"/>
      <w:lvlJc w:val="left"/>
      <w:pPr>
        <w:ind w:left="-708" w:hanging="360"/>
      </w:pPr>
      <w:rPr>
        <w:rFonts w:ascii="Calibri" w:eastAsiaTheme="minorHAnsi" w:hAnsi="Calibri" w:cs="Calibri" w:hint="default"/>
      </w:rPr>
    </w:lvl>
    <w:lvl w:ilvl="1" w:tplc="04090003" w:tentative="1">
      <w:start w:val="1"/>
      <w:numFmt w:val="bullet"/>
      <w:lvlText w:val="o"/>
      <w:lvlJc w:val="left"/>
      <w:pPr>
        <w:ind w:left="12" w:hanging="360"/>
      </w:pPr>
      <w:rPr>
        <w:rFonts w:ascii="Courier New" w:hAnsi="Courier New" w:hint="default"/>
      </w:rPr>
    </w:lvl>
    <w:lvl w:ilvl="2" w:tplc="04090005" w:tentative="1">
      <w:start w:val="1"/>
      <w:numFmt w:val="bullet"/>
      <w:lvlText w:val=""/>
      <w:lvlJc w:val="left"/>
      <w:pPr>
        <w:ind w:left="732" w:hanging="360"/>
      </w:pPr>
      <w:rPr>
        <w:rFonts w:ascii="Wingdings" w:hAnsi="Wingdings" w:hint="default"/>
      </w:rPr>
    </w:lvl>
    <w:lvl w:ilvl="3" w:tplc="04090001" w:tentative="1">
      <w:start w:val="1"/>
      <w:numFmt w:val="bullet"/>
      <w:lvlText w:val=""/>
      <w:lvlJc w:val="left"/>
      <w:pPr>
        <w:ind w:left="1452" w:hanging="360"/>
      </w:pPr>
      <w:rPr>
        <w:rFonts w:ascii="Symbol" w:hAnsi="Symbol" w:hint="default"/>
      </w:rPr>
    </w:lvl>
    <w:lvl w:ilvl="4" w:tplc="04090003" w:tentative="1">
      <w:start w:val="1"/>
      <w:numFmt w:val="bullet"/>
      <w:lvlText w:val="o"/>
      <w:lvlJc w:val="left"/>
      <w:pPr>
        <w:ind w:left="2172" w:hanging="360"/>
      </w:pPr>
      <w:rPr>
        <w:rFonts w:ascii="Courier New" w:hAnsi="Courier New" w:hint="default"/>
      </w:rPr>
    </w:lvl>
    <w:lvl w:ilvl="5" w:tplc="04090005" w:tentative="1">
      <w:start w:val="1"/>
      <w:numFmt w:val="bullet"/>
      <w:lvlText w:val=""/>
      <w:lvlJc w:val="left"/>
      <w:pPr>
        <w:ind w:left="2892" w:hanging="360"/>
      </w:pPr>
      <w:rPr>
        <w:rFonts w:ascii="Wingdings" w:hAnsi="Wingdings" w:hint="default"/>
      </w:rPr>
    </w:lvl>
    <w:lvl w:ilvl="6" w:tplc="04090001" w:tentative="1">
      <w:start w:val="1"/>
      <w:numFmt w:val="bullet"/>
      <w:lvlText w:val=""/>
      <w:lvlJc w:val="left"/>
      <w:pPr>
        <w:ind w:left="3612" w:hanging="360"/>
      </w:pPr>
      <w:rPr>
        <w:rFonts w:ascii="Symbol" w:hAnsi="Symbol" w:hint="default"/>
      </w:rPr>
    </w:lvl>
    <w:lvl w:ilvl="7" w:tplc="04090003" w:tentative="1">
      <w:start w:val="1"/>
      <w:numFmt w:val="bullet"/>
      <w:lvlText w:val="o"/>
      <w:lvlJc w:val="left"/>
      <w:pPr>
        <w:ind w:left="4332" w:hanging="360"/>
      </w:pPr>
      <w:rPr>
        <w:rFonts w:ascii="Courier New" w:hAnsi="Courier New" w:hint="default"/>
      </w:rPr>
    </w:lvl>
    <w:lvl w:ilvl="8" w:tplc="04090005" w:tentative="1">
      <w:start w:val="1"/>
      <w:numFmt w:val="bullet"/>
      <w:lvlText w:val=""/>
      <w:lvlJc w:val="left"/>
      <w:pPr>
        <w:ind w:left="5052" w:hanging="360"/>
      </w:pPr>
      <w:rPr>
        <w:rFonts w:ascii="Wingdings" w:hAnsi="Wingdings" w:hint="default"/>
      </w:rPr>
    </w:lvl>
  </w:abstractNum>
  <w:abstractNum w:abstractNumId="25" w15:restartNumberingAfterBreak="0">
    <w:nsid w:val="567D307A"/>
    <w:multiLevelType w:val="hybridMultilevel"/>
    <w:tmpl w:val="E7ECF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9D00DA"/>
    <w:multiLevelType w:val="hybridMultilevel"/>
    <w:tmpl w:val="BF769046"/>
    <w:lvl w:ilvl="0" w:tplc="618A5CA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0F00C1"/>
    <w:multiLevelType w:val="hybridMultilevel"/>
    <w:tmpl w:val="36B8B8EC"/>
    <w:lvl w:ilvl="0" w:tplc="618A5CA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B395591"/>
    <w:multiLevelType w:val="hybridMultilevel"/>
    <w:tmpl w:val="C2467608"/>
    <w:lvl w:ilvl="0" w:tplc="618A5C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5B26B6"/>
    <w:multiLevelType w:val="hybridMultilevel"/>
    <w:tmpl w:val="CEB691D4"/>
    <w:lvl w:ilvl="0" w:tplc="618A5CA8">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6F21157"/>
    <w:multiLevelType w:val="hybridMultilevel"/>
    <w:tmpl w:val="E33E5DC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FB5206"/>
    <w:multiLevelType w:val="hybridMultilevel"/>
    <w:tmpl w:val="E06AD972"/>
    <w:lvl w:ilvl="0" w:tplc="80C8F90C">
      <w:start w:val="75"/>
      <w:numFmt w:val="bullet"/>
      <w:lvlText w:val="-"/>
      <w:lvlJc w:val="left"/>
      <w:pPr>
        <w:ind w:left="720" w:hanging="360"/>
      </w:pPr>
      <w:rPr>
        <w:rFonts w:ascii="Calibri" w:eastAsiaTheme="minorHAnsi" w:hAnsi="Calibri" w:cstheme="minorHAns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9A6B7F"/>
    <w:multiLevelType w:val="hybridMultilevel"/>
    <w:tmpl w:val="FDEABA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F3C0E46"/>
    <w:multiLevelType w:val="hybridMultilevel"/>
    <w:tmpl w:val="0F1E3DBE"/>
    <w:lvl w:ilvl="0" w:tplc="618A5CA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BA41EA"/>
    <w:multiLevelType w:val="hybridMultilevel"/>
    <w:tmpl w:val="EE20E7EA"/>
    <w:lvl w:ilvl="0" w:tplc="5F1E7250">
      <w:start w:val="3"/>
      <w:numFmt w:val="bullet"/>
      <w:lvlText w:val="-"/>
      <w:lvlJc w:val="left"/>
      <w:pPr>
        <w:ind w:left="720" w:hanging="360"/>
      </w:pPr>
      <w:rPr>
        <w:rFonts w:ascii="Calibri" w:eastAsiaTheme="minorHAnsi" w:hAnsi="Calibri" w:cstheme="minorHAns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C50E94"/>
    <w:multiLevelType w:val="hybridMultilevel"/>
    <w:tmpl w:val="E01AD1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557325"/>
    <w:multiLevelType w:val="hybridMultilevel"/>
    <w:tmpl w:val="414C718E"/>
    <w:lvl w:ilvl="0" w:tplc="618A5CA8">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7F03636A"/>
    <w:multiLevelType w:val="hybridMultilevel"/>
    <w:tmpl w:val="4A50315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FA419DB"/>
    <w:multiLevelType w:val="hybridMultilevel"/>
    <w:tmpl w:val="41629A94"/>
    <w:lvl w:ilvl="0" w:tplc="0409000B">
      <w:start w:val="1"/>
      <w:numFmt w:val="bullet"/>
      <w:lvlText w:val=""/>
      <w:lvlJc w:val="left"/>
      <w:pPr>
        <w:ind w:left="720" w:hanging="360"/>
      </w:pPr>
      <w:rPr>
        <w:rFonts w:ascii="Wingdings" w:hAnsi="Wingdings" w:hint="default"/>
      </w:rPr>
    </w:lvl>
    <w:lvl w:ilvl="1" w:tplc="618A5CA8">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22"/>
  </w:num>
  <w:num w:numId="3">
    <w:abstractNumId w:val="18"/>
  </w:num>
  <w:num w:numId="4">
    <w:abstractNumId w:val="32"/>
  </w:num>
  <w:num w:numId="5">
    <w:abstractNumId w:val="25"/>
  </w:num>
  <w:num w:numId="6">
    <w:abstractNumId w:val="8"/>
  </w:num>
  <w:num w:numId="7">
    <w:abstractNumId w:val="15"/>
  </w:num>
  <w:num w:numId="8">
    <w:abstractNumId w:val="12"/>
  </w:num>
  <w:num w:numId="9">
    <w:abstractNumId w:val="31"/>
  </w:num>
  <w:num w:numId="10">
    <w:abstractNumId w:val="35"/>
  </w:num>
  <w:num w:numId="11">
    <w:abstractNumId w:val="4"/>
  </w:num>
  <w:num w:numId="12">
    <w:abstractNumId w:val="28"/>
  </w:num>
  <w:num w:numId="13">
    <w:abstractNumId w:val="20"/>
  </w:num>
  <w:num w:numId="14">
    <w:abstractNumId w:val="7"/>
  </w:num>
  <w:num w:numId="15">
    <w:abstractNumId w:val="34"/>
  </w:num>
  <w:num w:numId="16">
    <w:abstractNumId w:val="17"/>
  </w:num>
  <w:num w:numId="17">
    <w:abstractNumId w:val="21"/>
  </w:num>
  <w:num w:numId="18">
    <w:abstractNumId w:val="29"/>
  </w:num>
  <w:num w:numId="19">
    <w:abstractNumId w:val="24"/>
  </w:num>
  <w:num w:numId="20">
    <w:abstractNumId w:val="36"/>
  </w:num>
  <w:num w:numId="21">
    <w:abstractNumId w:val="27"/>
  </w:num>
  <w:num w:numId="22">
    <w:abstractNumId w:val="19"/>
  </w:num>
  <w:num w:numId="23">
    <w:abstractNumId w:val="38"/>
  </w:num>
  <w:num w:numId="24">
    <w:abstractNumId w:val="26"/>
  </w:num>
  <w:num w:numId="25">
    <w:abstractNumId w:val="33"/>
  </w:num>
  <w:num w:numId="26">
    <w:abstractNumId w:val="11"/>
  </w:num>
  <w:num w:numId="27">
    <w:abstractNumId w:val="2"/>
  </w:num>
  <w:num w:numId="28">
    <w:abstractNumId w:val="10"/>
  </w:num>
  <w:num w:numId="29">
    <w:abstractNumId w:val="13"/>
  </w:num>
  <w:num w:numId="30">
    <w:abstractNumId w:val="5"/>
  </w:num>
  <w:num w:numId="31">
    <w:abstractNumId w:val="6"/>
  </w:num>
  <w:num w:numId="32">
    <w:abstractNumId w:val="9"/>
  </w:num>
  <w:num w:numId="33">
    <w:abstractNumId w:val="14"/>
  </w:num>
  <w:num w:numId="34">
    <w:abstractNumId w:val="23"/>
  </w:num>
  <w:num w:numId="35">
    <w:abstractNumId w:val="37"/>
  </w:num>
  <w:num w:numId="36">
    <w:abstractNumId w:val="30"/>
  </w:num>
  <w:num w:numId="37">
    <w:abstractNumId w:val="3"/>
  </w:num>
  <w:num w:numId="38">
    <w:abstractNumId w:val="1"/>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1DE"/>
    <w:rsid w:val="00000603"/>
    <w:rsid w:val="00000AB9"/>
    <w:rsid w:val="00001033"/>
    <w:rsid w:val="000013B5"/>
    <w:rsid w:val="00002BEE"/>
    <w:rsid w:val="00002C88"/>
    <w:rsid w:val="000039DE"/>
    <w:rsid w:val="000041F4"/>
    <w:rsid w:val="000049A7"/>
    <w:rsid w:val="00005B5C"/>
    <w:rsid w:val="000062FD"/>
    <w:rsid w:val="0001027D"/>
    <w:rsid w:val="000109CB"/>
    <w:rsid w:val="00010D9B"/>
    <w:rsid w:val="0001417B"/>
    <w:rsid w:val="00014CF5"/>
    <w:rsid w:val="00015471"/>
    <w:rsid w:val="00015485"/>
    <w:rsid w:val="00017E5B"/>
    <w:rsid w:val="000203D2"/>
    <w:rsid w:val="00020CF8"/>
    <w:rsid w:val="00020DC7"/>
    <w:rsid w:val="0002196B"/>
    <w:rsid w:val="00021F3A"/>
    <w:rsid w:val="00025759"/>
    <w:rsid w:val="00026397"/>
    <w:rsid w:val="00030C4C"/>
    <w:rsid w:val="00032BE0"/>
    <w:rsid w:val="00033072"/>
    <w:rsid w:val="00034F06"/>
    <w:rsid w:val="00035017"/>
    <w:rsid w:val="000367DA"/>
    <w:rsid w:val="00037AA7"/>
    <w:rsid w:val="00037EDA"/>
    <w:rsid w:val="0004018D"/>
    <w:rsid w:val="00040285"/>
    <w:rsid w:val="00043843"/>
    <w:rsid w:val="00043FA1"/>
    <w:rsid w:val="00045AF1"/>
    <w:rsid w:val="00046AF1"/>
    <w:rsid w:val="00051D81"/>
    <w:rsid w:val="00052E62"/>
    <w:rsid w:val="00054049"/>
    <w:rsid w:val="0005759F"/>
    <w:rsid w:val="00060F47"/>
    <w:rsid w:val="000623FE"/>
    <w:rsid w:val="00062841"/>
    <w:rsid w:val="00062E02"/>
    <w:rsid w:val="000634CF"/>
    <w:rsid w:val="00063891"/>
    <w:rsid w:val="00064026"/>
    <w:rsid w:val="00064650"/>
    <w:rsid w:val="00065C03"/>
    <w:rsid w:val="0006626E"/>
    <w:rsid w:val="00066845"/>
    <w:rsid w:val="00070DFC"/>
    <w:rsid w:val="00071C99"/>
    <w:rsid w:val="000720C3"/>
    <w:rsid w:val="00072749"/>
    <w:rsid w:val="00072788"/>
    <w:rsid w:val="00072CD2"/>
    <w:rsid w:val="00072F04"/>
    <w:rsid w:val="00073A45"/>
    <w:rsid w:val="00073D64"/>
    <w:rsid w:val="00074491"/>
    <w:rsid w:val="00077211"/>
    <w:rsid w:val="00077533"/>
    <w:rsid w:val="00080ABE"/>
    <w:rsid w:val="00081A53"/>
    <w:rsid w:val="0008328C"/>
    <w:rsid w:val="000842EB"/>
    <w:rsid w:val="000860F6"/>
    <w:rsid w:val="00090763"/>
    <w:rsid w:val="00090B48"/>
    <w:rsid w:val="000915BB"/>
    <w:rsid w:val="0009178C"/>
    <w:rsid w:val="00092EFA"/>
    <w:rsid w:val="00093F97"/>
    <w:rsid w:val="00094194"/>
    <w:rsid w:val="00094356"/>
    <w:rsid w:val="00094A83"/>
    <w:rsid w:val="0009571C"/>
    <w:rsid w:val="00097A70"/>
    <w:rsid w:val="000A08A1"/>
    <w:rsid w:val="000A2BF8"/>
    <w:rsid w:val="000A3211"/>
    <w:rsid w:val="000A33B1"/>
    <w:rsid w:val="000A3BB1"/>
    <w:rsid w:val="000A4FE7"/>
    <w:rsid w:val="000A7A48"/>
    <w:rsid w:val="000B248A"/>
    <w:rsid w:val="000B28BC"/>
    <w:rsid w:val="000B33FD"/>
    <w:rsid w:val="000B495F"/>
    <w:rsid w:val="000B4FFC"/>
    <w:rsid w:val="000B6040"/>
    <w:rsid w:val="000B731C"/>
    <w:rsid w:val="000C20D2"/>
    <w:rsid w:val="000C2238"/>
    <w:rsid w:val="000C31E6"/>
    <w:rsid w:val="000C4DB2"/>
    <w:rsid w:val="000C531D"/>
    <w:rsid w:val="000C6B23"/>
    <w:rsid w:val="000D1142"/>
    <w:rsid w:val="000D24C7"/>
    <w:rsid w:val="000D2BEA"/>
    <w:rsid w:val="000D3500"/>
    <w:rsid w:val="000D761B"/>
    <w:rsid w:val="000E0592"/>
    <w:rsid w:val="000E0B65"/>
    <w:rsid w:val="000E1864"/>
    <w:rsid w:val="000E38A9"/>
    <w:rsid w:val="000E391A"/>
    <w:rsid w:val="000E424D"/>
    <w:rsid w:val="000E4374"/>
    <w:rsid w:val="000E4526"/>
    <w:rsid w:val="000E5A9B"/>
    <w:rsid w:val="000E6A60"/>
    <w:rsid w:val="000E6BC9"/>
    <w:rsid w:val="000F037F"/>
    <w:rsid w:val="000F3AFE"/>
    <w:rsid w:val="000F3D33"/>
    <w:rsid w:val="000F428D"/>
    <w:rsid w:val="000F662F"/>
    <w:rsid w:val="000F6EE4"/>
    <w:rsid w:val="0010037B"/>
    <w:rsid w:val="001010AC"/>
    <w:rsid w:val="001013C1"/>
    <w:rsid w:val="001020B9"/>
    <w:rsid w:val="00103EBF"/>
    <w:rsid w:val="0010601A"/>
    <w:rsid w:val="00106644"/>
    <w:rsid w:val="00106B8A"/>
    <w:rsid w:val="00107257"/>
    <w:rsid w:val="0011160E"/>
    <w:rsid w:val="001122EA"/>
    <w:rsid w:val="00113D81"/>
    <w:rsid w:val="0011625F"/>
    <w:rsid w:val="001170A2"/>
    <w:rsid w:val="001175DD"/>
    <w:rsid w:val="00121829"/>
    <w:rsid w:val="00125459"/>
    <w:rsid w:val="00125D8E"/>
    <w:rsid w:val="00127153"/>
    <w:rsid w:val="00127A09"/>
    <w:rsid w:val="0013158C"/>
    <w:rsid w:val="00131E76"/>
    <w:rsid w:val="00132CFD"/>
    <w:rsid w:val="001353CE"/>
    <w:rsid w:val="0013591B"/>
    <w:rsid w:val="001360C9"/>
    <w:rsid w:val="00136E46"/>
    <w:rsid w:val="00140DAB"/>
    <w:rsid w:val="0014283F"/>
    <w:rsid w:val="0014338F"/>
    <w:rsid w:val="00146FED"/>
    <w:rsid w:val="0014780D"/>
    <w:rsid w:val="0015028A"/>
    <w:rsid w:val="00151905"/>
    <w:rsid w:val="001519FE"/>
    <w:rsid w:val="001527F5"/>
    <w:rsid w:val="00153499"/>
    <w:rsid w:val="00153630"/>
    <w:rsid w:val="00153B66"/>
    <w:rsid w:val="0015522D"/>
    <w:rsid w:val="001553E2"/>
    <w:rsid w:val="00155FAF"/>
    <w:rsid w:val="001563FF"/>
    <w:rsid w:val="00156A77"/>
    <w:rsid w:val="00157ADF"/>
    <w:rsid w:val="0016415D"/>
    <w:rsid w:val="0017138A"/>
    <w:rsid w:val="0017274E"/>
    <w:rsid w:val="001743DF"/>
    <w:rsid w:val="0017525F"/>
    <w:rsid w:val="00176139"/>
    <w:rsid w:val="00177DF1"/>
    <w:rsid w:val="001803BD"/>
    <w:rsid w:val="00180E2B"/>
    <w:rsid w:val="00181652"/>
    <w:rsid w:val="00183F0D"/>
    <w:rsid w:val="001846E9"/>
    <w:rsid w:val="0018485A"/>
    <w:rsid w:val="0018509E"/>
    <w:rsid w:val="001869FF"/>
    <w:rsid w:val="00186E7B"/>
    <w:rsid w:val="00187041"/>
    <w:rsid w:val="00187EE4"/>
    <w:rsid w:val="00192CBA"/>
    <w:rsid w:val="00195501"/>
    <w:rsid w:val="00195F23"/>
    <w:rsid w:val="001965F6"/>
    <w:rsid w:val="00196EFA"/>
    <w:rsid w:val="001A0051"/>
    <w:rsid w:val="001A2DF7"/>
    <w:rsid w:val="001A5164"/>
    <w:rsid w:val="001A53D1"/>
    <w:rsid w:val="001A53EA"/>
    <w:rsid w:val="001A53FB"/>
    <w:rsid w:val="001A5AF7"/>
    <w:rsid w:val="001B2C24"/>
    <w:rsid w:val="001B44F4"/>
    <w:rsid w:val="001B503D"/>
    <w:rsid w:val="001B6D88"/>
    <w:rsid w:val="001B6DEF"/>
    <w:rsid w:val="001B7199"/>
    <w:rsid w:val="001C2B1F"/>
    <w:rsid w:val="001C304D"/>
    <w:rsid w:val="001C7C8A"/>
    <w:rsid w:val="001D0B02"/>
    <w:rsid w:val="001D0B82"/>
    <w:rsid w:val="001D1E0B"/>
    <w:rsid w:val="001D21BB"/>
    <w:rsid w:val="001D306F"/>
    <w:rsid w:val="001D3CDF"/>
    <w:rsid w:val="001D51B8"/>
    <w:rsid w:val="001D5EB3"/>
    <w:rsid w:val="001D6145"/>
    <w:rsid w:val="001D617D"/>
    <w:rsid w:val="001D6529"/>
    <w:rsid w:val="001D69A4"/>
    <w:rsid w:val="001E018A"/>
    <w:rsid w:val="001E02F6"/>
    <w:rsid w:val="001E0BCB"/>
    <w:rsid w:val="001E2A54"/>
    <w:rsid w:val="001E4218"/>
    <w:rsid w:val="001E536B"/>
    <w:rsid w:val="001F0A31"/>
    <w:rsid w:val="001F0C23"/>
    <w:rsid w:val="001F3578"/>
    <w:rsid w:val="001F43F7"/>
    <w:rsid w:val="001F75BC"/>
    <w:rsid w:val="00200079"/>
    <w:rsid w:val="00200A00"/>
    <w:rsid w:val="00201D7F"/>
    <w:rsid w:val="002022F3"/>
    <w:rsid w:val="00204E5D"/>
    <w:rsid w:val="00206F77"/>
    <w:rsid w:val="00210AA0"/>
    <w:rsid w:val="00210E07"/>
    <w:rsid w:val="00211553"/>
    <w:rsid w:val="00214B45"/>
    <w:rsid w:val="00214F63"/>
    <w:rsid w:val="002164BE"/>
    <w:rsid w:val="00216B45"/>
    <w:rsid w:val="002210E1"/>
    <w:rsid w:val="00223854"/>
    <w:rsid w:val="00224759"/>
    <w:rsid w:val="00225EC6"/>
    <w:rsid w:val="002279DC"/>
    <w:rsid w:val="0023361B"/>
    <w:rsid w:val="002337A3"/>
    <w:rsid w:val="00233D47"/>
    <w:rsid w:val="00234083"/>
    <w:rsid w:val="00235012"/>
    <w:rsid w:val="002356E7"/>
    <w:rsid w:val="00235717"/>
    <w:rsid w:val="00240882"/>
    <w:rsid w:val="00240BB1"/>
    <w:rsid w:val="00241065"/>
    <w:rsid w:val="00241DF7"/>
    <w:rsid w:val="00244C49"/>
    <w:rsid w:val="00245017"/>
    <w:rsid w:val="00245166"/>
    <w:rsid w:val="00245EBE"/>
    <w:rsid w:val="00246F4C"/>
    <w:rsid w:val="00247E3E"/>
    <w:rsid w:val="0025021E"/>
    <w:rsid w:val="002504A8"/>
    <w:rsid w:val="00252DC8"/>
    <w:rsid w:val="00253388"/>
    <w:rsid w:val="002536DD"/>
    <w:rsid w:val="002556A5"/>
    <w:rsid w:val="00261562"/>
    <w:rsid w:val="00261D1B"/>
    <w:rsid w:val="002626DA"/>
    <w:rsid w:val="002633AA"/>
    <w:rsid w:val="002640EA"/>
    <w:rsid w:val="002667CC"/>
    <w:rsid w:val="00266AD8"/>
    <w:rsid w:val="002712F5"/>
    <w:rsid w:val="002717E1"/>
    <w:rsid w:val="00272746"/>
    <w:rsid w:val="00274BB7"/>
    <w:rsid w:val="00274C4F"/>
    <w:rsid w:val="00276508"/>
    <w:rsid w:val="00277254"/>
    <w:rsid w:val="00280679"/>
    <w:rsid w:val="00280F3B"/>
    <w:rsid w:val="00281306"/>
    <w:rsid w:val="002815ED"/>
    <w:rsid w:val="002815F9"/>
    <w:rsid w:val="00283AA8"/>
    <w:rsid w:val="00284690"/>
    <w:rsid w:val="002869F8"/>
    <w:rsid w:val="00287971"/>
    <w:rsid w:val="002912FD"/>
    <w:rsid w:val="00293F7D"/>
    <w:rsid w:val="00296125"/>
    <w:rsid w:val="002966F5"/>
    <w:rsid w:val="002A1B28"/>
    <w:rsid w:val="002A3686"/>
    <w:rsid w:val="002A5022"/>
    <w:rsid w:val="002A50A1"/>
    <w:rsid w:val="002A58B6"/>
    <w:rsid w:val="002B1427"/>
    <w:rsid w:val="002B15AD"/>
    <w:rsid w:val="002B2764"/>
    <w:rsid w:val="002B4093"/>
    <w:rsid w:val="002B4DA2"/>
    <w:rsid w:val="002B6E1B"/>
    <w:rsid w:val="002B7CE7"/>
    <w:rsid w:val="002C0698"/>
    <w:rsid w:val="002C1A87"/>
    <w:rsid w:val="002C2F65"/>
    <w:rsid w:val="002C3235"/>
    <w:rsid w:val="002C3D39"/>
    <w:rsid w:val="002C5BB9"/>
    <w:rsid w:val="002D2F09"/>
    <w:rsid w:val="002D417E"/>
    <w:rsid w:val="002D46AC"/>
    <w:rsid w:val="002D4936"/>
    <w:rsid w:val="002D50DA"/>
    <w:rsid w:val="002D6C7F"/>
    <w:rsid w:val="002E30C8"/>
    <w:rsid w:val="002E7AA3"/>
    <w:rsid w:val="002F0702"/>
    <w:rsid w:val="002F22C7"/>
    <w:rsid w:val="002F2D3A"/>
    <w:rsid w:val="002F456F"/>
    <w:rsid w:val="002F4772"/>
    <w:rsid w:val="002F4C16"/>
    <w:rsid w:val="002F5159"/>
    <w:rsid w:val="002F5689"/>
    <w:rsid w:val="002F56A0"/>
    <w:rsid w:val="002F702A"/>
    <w:rsid w:val="003050A1"/>
    <w:rsid w:val="00305541"/>
    <w:rsid w:val="00305D50"/>
    <w:rsid w:val="00305FFC"/>
    <w:rsid w:val="00306BB0"/>
    <w:rsid w:val="003105AE"/>
    <w:rsid w:val="0031193D"/>
    <w:rsid w:val="00311B9B"/>
    <w:rsid w:val="003126F6"/>
    <w:rsid w:val="0031426B"/>
    <w:rsid w:val="00315151"/>
    <w:rsid w:val="00315E5D"/>
    <w:rsid w:val="003164B0"/>
    <w:rsid w:val="00316E32"/>
    <w:rsid w:val="00316F89"/>
    <w:rsid w:val="00317C9A"/>
    <w:rsid w:val="003208E0"/>
    <w:rsid w:val="00320DEC"/>
    <w:rsid w:val="003232E4"/>
    <w:rsid w:val="00323867"/>
    <w:rsid w:val="00324A01"/>
    <w:rsid w:val="00324BA5"/>
    <w:rsid w:val="003257E5"/>
    <w:rsid w:val="00325D90"/>
    <w:rsid w:val="0032784D"/>
    <w:rsid w:val="00327B0C"/>
    <w:rsid w:val="00330ED7"/>
    <w:rsid w:val="003421FF"/>
    <w:rsid w:val="00343453"/>
    <w:rsid w:val="003450D6"/>
    <w:rsid w:val="00347079"/>
    <w:rsid w:val="0034784E"/>
    <w:rsid w:val="003504B2"/>
    <w:rsid w:val="003507E3"/>
    <w:rsid w:val="00354813"/>
    <w:rsid w:val="00355C1D"/>
    <w:rsid w:val="0035697E"/>
    <w:rsid w:val="0035786F"/>
    <w:rsid w:val="00360676"/>
    <w:rsid w:val="00363007"/>
    <w:rsid w:val="0036333D"/>
    <w:rsid w:val="00363CA5"/>
    <w:rsid w:val="00365324"/>
    <w:rsid w:val="00366177"/>
    <w:rsid w:val="003669D4"/>
    <w:rsid w:val="003702F0"/>
    <w:rsid w:val="00370D9A"/>
    <w:rsid w:val="00373F29"/>
    <w:rsid w:val="0037402C"/>
    <w:rsid w:val="00375438"/>
    <w:rsid w:val="003755E7"/>
    <w:rsid w:val="00376D7D"/>
    <w:rsid w:val="003829CC"/>
    <w:rsid w:val="003830CA"/>
    <w:rsid w:val="0038521E"/>
    <w:rsid w:val="0038602C"/>
    <w:rsid w:val="00390656"/>
    <w:rsid w:val="00390A34"/>
    <w:rsid w:val="003945F6"/>
    <w:rsid w:val="00394BB4"/>
    <w:rsid w:val="00395F78"/>
    <w:rsid w:val="003A16A5"/>
    <w:rsid w:val="003A5E81"/>
    <w:rsid w:val="003A69C6"/>
    <w:rsid w:val="003A6A49"/>
    <w:rsid w:val="003B2E6F"/>
    <w:rsid w:val="003B314A"/>
    <w:rsid w:val="003B3ADE"/>
    <w:rsid w:val="003B4961"/>
    <w:rsid w:val="003B59BD"/>
    <w:rsid w:val="003B672A"/>
    <w:rsid w:val="003B68D8"/>
    <w:rsid w:val="003C041B"/>
    <w:rsid w:val="003C4D6F"/>
    <w:rsid w:val="003C7BCE"/>
    <w:rsid w:val="003D04C6"/>
    <w:rsid w:val="003D13BC"/>
    <w:rsid w:val="003D2493"/>
    <w:rsid w:val="003D32DA"/>
    <w:rsid w:val="003D3502"/>
    <w:rsid w:val="003D53CB"/>
    <w:rsid w:val="003D5EEA"/>
    <w:rsid w:val="003D6757"/>
    <w:rsid w:val="003D72B0"/>
    <w:rsid w:val="003E0608"/>
    <w:rsid w:val="003E09A7"/>
    <w:rsid w:val="003E203F"/>
    <w:rsid w:val="003E3617"/>
    <w:rsid w:val="003E7781"/>
    <w:rsid w:val="003F0AA0"/>
    <w:rsid w:val="003F24AD"/>
    <w:rsid w:val="003F5519"/>
    <w:rsid w:val="003F560B"/>
    <w:rsid w:val="003F5D03"/>
    <w:rsid w:val="00400288"/>
    <w:rsid w:val="004015D9"/>
    <w:rsid w:val="00403281"/>
    <w:rsid w:val="00403EE0"/>
    <w:rsid w:val="004044D1"/>
    <w:rsid w:val="00406253"/>
    <w:rsid w:val="004111B3"/>
    <w:rsid w:val="004138BC"/>
    <w:rsid w:val="004141D1"/>
    <w:rsid w:val="0041528B"/>
    <w:rsid w:val="004166BA"/>
    <w:rsid w:val="0041759A"/>
    <w:rsid w:val="0042230E"/>
    <w:rsid w:val="004275C2"/>
    <w:rsid w:val="00431379"/>
    <w:rsid w:val="0043282D"/>
    <w:rsid w:val="00433501"/>
    <w:rsid w:val="00433F55"/>
    <w:rsid w:val="0043729D"/>
    <w:rsid w:val="00441132"/>
    <w:rsid w:val="004428FD"/>
    <w:rsid w:val="00442E9F"/>
    <w:rsid w:val="00444C15"/>
    <w:rsid w:val="00445695"/>
    <w:rsid w:val="00445725"/>
    <w:rsid w:val="0044648E"/>
    <w:rsid w:val="0045058D"/>
    <w:rsid w:val="00451D96"/>
    <w:rsid w:val="00453C2D"/>
    <w:rsid w:val="00457FA1"/>
    <w:rsid w:val="004614A8"/>
    <w:rsid w:val="0046180B"/>
    <w:rsid w:val="00463BB4"/>
    <w:rsid w:val="00463F28"/>
    <w:rsid w:val="00464E6F"/>
    <w:rsid w:val="00465814"/>
    <w:rsid w:val="00466E97"/>
    <w:rsid w:val="004722AB"/>
    <w:rsid w:val="0047298E"/>
    <w:rsid w:val="004731FA"/>
    <w:rsid w:val="00473E7B"/>
    <w:rsid w:val="00474A19"/>
    <w:rsid w:val="00474F51"/>
    <w:rsid w:val="00475917"/>
    <w:rsid w:val="00480BB6"/>
    <w:rsid w:val="00481CBA"/>
    <w:rsid w:val="004840A3"/>
    <w:rsid w:val="00484578"/>
    <w:rsid w:val="0048471A"/>
    <w:rsid w:val="00486A39"/>
    <w:rsid w:val="0049100E"/>
    <w:rsid w:val="00491E7E"/>
    <w:rsid w:val="00492582"/>
    <w:rsid w:val="0049296D"/>
    <w:rsid w:val="0049392F"/>
    <w:rsid w:val="004945A6"/>
    <w:rsid w:val="00494AA2"/>
    <w:rsid w:val="00497AA1"/>
    <w:rsid w:val="004A075F"/>
    <w:rsid w:val="004A31E3"/>
    <w:rsid w:val="004A3354"/>
    <w:rsid w:val="004A3B67"/>
    <w:rsid w:val="004A58BA"/>
    <w:rsid w:val="004A628B"/>
    <w:rsid w:val="004A79E7"/>
    <w:rsid w:val="004B1400"/>
    <w:rsid w:val="004B19C8"/>
    <w:rsid w:val="004B3403"/>
    <w:rsid w:val="004B4B07"/>
    <w:rsid w:val="004B4DB3"/>
    <w:rsid w:val="004B5365"/>
    <w:rsid w:val="004B78E9"/>
    <w:rsid w:val="004C04C4"/>
    <w:rsid w:val="004C0BC1"/>
    <w:rsid w:val="004C0C6C"/>
    <w:rsid w:val="004C2D3D"/>
    <w:rsid w:val="004C3A60"/>
    <w:rsid w:val="004C5F93"/>
    <w:rsid w:val="004C70FA"/>
    <w:rsid w:val="004D031A"/>
    <w:rsid w:val="004D0910"/>
    <w:rsid w:val="004D20FE"/>
    <w:rsid w:val="004D2E60"/>
    <w:rsid w:val="004D3756"/>
    <w:rsid w:val="004D3A95"/>
    <w:rsid w:val="004D44CB"/>
    <w:rsid w:val="004D469B"/>
    <w:rsid w:val="004D4C1D"/>
    <w:rsid w:val="004E35F8"/>
    <w:rsid w:val="004E39A6"/>
    <w:rsid w:val="004E4A03"/>
    <w:rsid w:val="004E6930"/>
    <w:rsid w:val="004E6CDC"/>
    <w:rsid w:val="004E7DAC"/>
    <w:rsid w:val="004F0609"/>
    <w:rsid w:val="004F15E6"/>
    <w:rsid w:val="004F3258"/>
    <w:rsid w:val="004F328C"/>
    <w:rsid w:val="004F382E"/>
    <w:rsid w:val="004F5B4C"/>
    <w:rsid w:val="004F7F84"/>
    <w:rsid w:val="005037FD"/>
    <w:rsid w:val="005048F5"/>
    <w:rsid w:val="00505050"/>
    <w:rsid w:val="005078BB"/>
    <w:rsid w:val="00513A15"/>
    <w:rsid w:val="00514F44"/>
    <w:rsid w:val="00516733"/>
    <w:rsid w:val="00517266"/>
    <w:rsid w:val="00517EBD"/>
    <w:rsid w:val="00525ECB"/>
    <w:rsid w:val="00532874"/>
    <w:rsid w:val="00532FEF"/>
    <w:rsid w:val="005353DD"/>
    <w:rsid w:val="00537048"/>
    <w:rsid w:val="005407BD"/>
    <w:rsid w:val="00540AF6"/>
    <w:rsid w:val="00545B87"/>
    <w:rsid w:val="00546D9C"/>
    <w:rsid w:val="005471BD"/>
    <w:rsid w:val="00550036"/>
    <w:rsid w:val="00550934"/>
    <w:rsid w:val="00552562"/>
    <w:rsid w:val="00553542"/>
    <w:rsid w:val="00553E7B"/>
    <w:rsid w:val="00554E35"/>
    <w:rsid w:val="0055606D"/>
    <w:rsid w:val="00560C34"/>
    <w:rsid w:val="00560D61"/>
    <w:rsid w:val="0056121B"/>
    <w:rsid w:val="005635D1"/>
    <w:rsid w:val="00564B0C"/>
    <w:rsid w:val="00564C96"/>
    <w:rsid w:val="0056625A"/>
    <w:rsid w:val="005662DB"/>
    <w:rsid w:val="0056646B"/>
    <w:rsid w:val="0057020D"/>
    <w:rsid w:val="00570342"/>
    <w:rsid w:val="00572AB7"/>
    <w:rsid w:val="00572E3E"/>
    <w:rsid w:val="005746E2"/>
    <w:rsid w:val="00576A32"/>
    <w:rsid w:val="0058092C"/>
    <w:rsid w:val="00580B5E"/>
    <w:rsid w:val="005831AB"/>
    <w:rsid w:val="00583558"/>
    <w:rsid w:val="005845D6"/>
    <w:rsid w:val="00586BD1"/>
    <w:rsid w:val="00590AE2"/>
    <w:rsid w:val="00592290"/>
    <w:rsid w:val="00592C2C"/>
    <w:rsid w:val="00593EEC"/>
    <w:rsid w:val="005957BA"/>
    <w:rsid w:val="00595B42"/>
    <w:rsid w:val="00595EAE"/>
    <w:rsid w:val="00596DC2"/>
    <w:rsid w:val="005971B9"/>
    <w:rsid w:val="005A0FCE"/>
    <w:rsid w:val="005A2566"/>
    <w:rsid w:val="005A486F"/>
    <w:rsid w:val="005A665C"/>
    <w:rsid w:val="005A72F1"/>
    <w:rsid w:val="005B10E3"/>
    <w:rsid w:val="005B12E3"/>
    <w:rsid w:val="005B1E52"/>
    <w:rsid w:val="005B2968"/>
    <w:rsid w:val="005B2E7D"/>
    <w:rsid w:val="005B3575"/>
    <w:rsid w:val="005B5A36"/>
    <w:rsid w:val="005C06AD"/>
    <w:rsid w:val="005C0915"/>
    <w:rsid w:val="005C0AD5"/>
    <w:rsid w:val="005C3C02"/>
    <w:rsid w:val="005C49B7"/>
    <w:rsid w:val="005C4FD6"/>
    <w:rsid w:val="005C7062"/>
    <w:rsid w:val="005C7517"/>
    <w:rsid w:val="005C7D5B"/>
    <w:rsid w:val="005D3D78"/>
    <w:rsid w:val="005D3E51"/>
    <w:rsid w:val="005D4B33"/>
    <w:rsid w:val="005D52D9"/>
    <w:rsid w:val="005D58F7"/>
    <w:rsid w:val="005E127D"/>
    <w:rsid w:val="005E19DB"/>
    <w:rsid w:val="005E2348"/>
    <w:rsid w:val="005E389D"/>
    <w:rsid w:val="005E39AA"/>
    <w:rsid w:val="005E532F"/>
    <w:rsid w:val="005E5E7E"/>
    <w:rsid w:val="005E7A80"/>
    <w:rsid w:val="005F0114"/>
    <w:rsid w:val="005F20C5"/>
    <w:rsid w:val="005F4EC8"/>
    <w:rsid w:val="005F51E3"/>
    <w:rsid w:val="005F59E3"/>
    <w:rsid w:val="005F6946"/>
    <w:rsid w:val="005F6C50"/>
    <w:rsid w:val="005F7491"/>
    <w:rsid w:val="00602D40"/>
    <w:rsid w:val="006039E1"/>
    <w:rsid w:val="006052F4"/>
    <w:rsid w:val="00607951"/>
    <w:rsid w:val="006101CE"/>
    <w:rsid w:val="00612534"/>
    <w:rsid w:val="00613A15"/>
    <w:rsid w:val="00613D2D"/>
    <w:rsid w:val="0061614F"/>
    <w:rsid w:val="0062083E"/>
    <w:rsid w:val="00623CD9"/>
    <w:rsid w:val="00623EA1"/>
    <w:rsid w:val="00624EAF"/>
    <w:rsid w:val="006274F9"/>
    <w:rsid w:val="00627B46"/>
    <w:rsid w:val="00630409"/>
    <w:rsid w:val="00631F40"/>
    <w:rsid w:val="00635F60"/>
    <w:rsid w:val="006373B0"/>
    <w:rsid w:val="006407D4"/>
    <w:rsid w:val="006416AB"/>
    <w:rsid w:val="00643200"/>
    <w:rsid w:val="00643991"/>
    <w:rsid w:val="006443EE"/>
    <w:rsid w:val="006455C9"/>
    <w:rsid w:val="00647199"/>
    <w:rsid w:val="006514BB"/>
    <w:rsid w:val="006537F4"/>
    <w:rsid w:val="00654B09"/>
    <w:rsid w:val="00655267"/>
    <w:rsid w:val="00656459"/>
    <w:rsid w:val="00657E96"/>
    <w:rsid w:val="00662F3D"/>
    <w:rsid w:val="006653D3"/>
    <w:rsid w:val="00665AB2"/>
    <w:rsid w:val="006669A5"/>
    <w:rsid w:val="00666D66"/>
    <w:rsid w:val="00666F20"/>
    <w:rsid w:val="00671001"/>
    <w:rsid w:val="00673444"/>
    <w:rsid w:val="00674D0A"/>
    <w:rsid w:val="006830B4"/>
    <w:rsid w:val="00687B25"/>
    <w:rsid w:val="00693244"/>
    <w:rsid w:val="006957CF"/>
    <w:rsid w:val="0069600F"/>
    <w:rsid w:val="006968D0"/>
    <w:rsid w:val="00696B56"/>
    <w:rsid w:val="006A016D"/>
    <w:rsid w:val="006A5EB8"/>
    <w:rsid w:val="006B0768"/>
    <w:rsid w:val="006B081A"/>
    <w:rsid w:val="006B0E9E"/>
    <w:rsid w:val="006B184A"/>
    <w:rsid w:val="006B1B10"/>
    <w:rsid w:val="006B1EFC"/>
    <w:rsid w:val="006B386F"/>
    <w:rsid w:val="006B4B05"/>
    <w:rsid w:val="006C09A5"/>
    <w:rsid w:val="006C0BA0"/>
    <w:rsid w:val="006C10F7"/>
    <w:rsid w:val="006C13BE"/>
    <w:rsid w:val="006C4508"/>
    <w:rsid w:val="006C5273"/>
    <w:rsid w:val="006C55FD"/>
    <w:rsid w:val="006C57F9"/>
    <w:rsid w:val="006C627E"/>
    <w:rsid w:val="006C66C5"/>
    <w:rsid w:val="006C7608"/>
    <w:rsid w:val="006D2721"/>
    <w:rsid w:val="006D3D48"/>
    <w:rsid w:val="006D3E27"/>
    <w:rsid w:val="006D53FD"/>
    <w:rsid w:val="006D572D"/>
    <w:rsid w:val="006D5DA8"/>
    <w:rsid w:val="006D63DD"/>
    <w:rsid w:val="006D6F3F"/>
    <w:rsid w:val="006D7BCC"/>
    <w:rsid w:val="006E1655"/>
    <w:rsid w:val="006E1DB3"/>
    <w:rsid w:val="006E2DCB"/>
    <w:rsid w:val="006E3DA2"/>
    <w:rsid w:val="006F0E70"/>
    <w:rsid w:val="006F2087"/>
    <w:rsid w:val="006F3C53"/>
    <w:rsid w:val="006F53D1"/>
    <w:rsid w:val="006F56FC"/>
    <w:rsid w:val="006F6360"/>
    <w:rsid w:val="00704932"/>
    <w:rsid w:val="00704A4C"/>
    <w:rsid w:val="00705146"/>
    <w:rsid w:val="00706060"/>
    <w:rsid w:val="007114F9"/>
    <w:rsid w:val="00711A2B"/>
    <w:rsid w:val="00712E30"/>
    <w:rsid w:val="007133DF"/>
    <w:rsid w:val="007150A0"/>
    <w:rsid w:val="007153B2"/>
    <w:rsid w:val="00715518"/>
    <w:rsid w:val="0071580A"/>
    <w:rsid w:val="007200DF"/>
    <w:rsid w:val="00720C3C"/>
    <w:rsid w:val="00720C46"/>
    <w:rsid w:val="00722906"/>
    <w:rsid w:val="00722F94"/>
    <w:rsid w:val="00723BF8"/>
    <w:rsid w:val="00724339"/>
    <w:rsid w:val="00724C37"/>
    <w:rsid w:val="00732112"/>
    <w:rsid w:val="00733402"/>
    <w:rsid w:val="0073356F"/>
    <w:rsid w:val="00734FCF"/>
    <w:rsid w:val="00735980"/>
    <w:rsid w:val="007362C8"/>
    <w:rsid w:val="00736D0D"/>
    <w:rsid w:val="00741090"/>
    <w:rsid w:val="00742705"/>
    <w:rsid w:val="00742B6D"/>
    <w:rsid w:val="0074305A"/>
    <w:rsid w:val="00743514"/>
    <w:rsid w:val="00747A52"/>
    <w:rsid w:val="00750599"/>
    <w:rsid w:val="007567CF"/>
    <w:rsid w:val="0076078D"/>
    <w:rsid w:val="007622E0"/>
    <w:rsid w:val="007640E2"/>
    <w:rsid w:val="007657EF"/>
    <w:rsid w:val="00773183"/>
    <w:rsid w:val="00774AB3"/>
    <w:rsid w:val="00775238"/>
    <w:rsid w:val="0077635E"/>
    <w:rsid w:val="00776D76"/>
    <w:rsid w:val="00777BA5"/>
    <w:rsid w:val="00780173"/>
    <w:rsid w:val="00783E62"/>
    <w:rsid w:val="007845BE"/>
    <w:rsid w:val="00784DED"/>
    <w:rsid w:val="0078743B"/>
    <w:rsid w:val="007911A6"/>
    <w:rsid w:val="00792ADB"/>
    <w:rsid w:val="00796DEA"/>
    <w:rsid w:val="007977F9"/>
    <w:rsid w:val="007A075D"/>
    <w:rsid w:val="007A2DF0"/>
    <w:rsid w:val="007A3AF3"/>
    <w:rsid w:val="007A3E6B"/>
    <w:rsid w:val="007A3E6F"/>
    <w:rsid w:val="007A47D0"/>
    <w:rsid w:val="007A73CB"/>
    <w:rsid w:val="007A7BE0"/>
    <w:rsid w:val="007B062F"/>
    <w:rsid w:val="007B1174"/>
    <w:rsid w:val="007B18FA"/>
    <w:rsid w:val="007B33CA"/>
    <w:rsid w:val="007B34B3"/>
    <w:rsid w:val="007B3E3C"/>
    <w:rsid w:val="007B5AA3"/>
    <w:rsid w:val="007C44D3"/>
    <w:rsid w:val="007C6CB4"/>
    <w:rsid w:val="007C744B"/>
    <w:rsid w:val="007C75D5"/>
    <w:rsid w:val="007C790F"/>
    <w:rsid w:val="007D0EBD"/>
    <w:rsid w:val="007D2B0B"/>
    <w:rsid w:val="007D307F"/>
    <w:rsid w:val="007D3283"/>
    <w:rsid w:val="007D7042"/>
    <w:rsid w:val="007D7DED"/>
    <w:rsid w:val="007E0572"/>
    <w:rsid w:val="007E17FB"/>
    <w:rsid w:val="007E216F"/>
    <w:rsid w:val="007E58CE"/>
    <w:rsid w:val="007E6AA2"/>
    <w:rsid w:val="007F0A70"/>
    <w:rsid w:val="007F32D7"/>
    <w:rsid w:val="007F44CB"/>
    <w:rsid w:val="007F5CCB"/>
    <w:rsid w:val="007F5D4C"/>
    <w:rsid w:val="008030F0"/>
    <w:rsid w:val="0081176E"/>
    <w:rsid w:val="00811BAF"/>
    <w:rsid w:val="008125B5"/>
    <w:rsid w:val="00813A65"/>
    <w:rsid w:val="00817158"/>
    <w:rsid w:val="00817583"/>
    <w:rsid w:val="00817B46"/>
    <w:rsid w:val="0082411E"/>
    <w:rsid w:val="008261FD"/>
    <w:rsid w:val="008262C8"/>
    <w:rsid w:val="00826A11"/>
    <w:rsid w:val="00832672"/>
    <w:rsid w:val="00833138"/>
    <w:rsid w:val="008337E5"/>
    <w:rsid w:val="0083481B"/>
    <w:rsid w:val="00834BDE"/>
    <w:rsid w:val="00835187"/>
    <w:rsid w:val="008359D4"/>
    <w:rsid w:val="00835D4B"/>
    <w:rsid w:val="008373EC"/>
    <w:rsid w:val="0084074A"/>
    <w:rsid w:val="00840912"/>
    <w:rsid w:val="008419A4"/>
    <w:rsid w:val="008431DD"/>
    <w:rsid w:val="00843E4F"/>
    <w:rsid w:val="00845C31"/>
    <w:rsid w:val="0084722B"/>
    <w:rsid w:val="008477CF"/>
    <w:rsid w:val="00850C34"/>
    <w:rsid w:val="00853899"/>
    <w:rsid w:val="008547C7"/>
    <w:rsid w:val="00855DCF"/>
    <w:rsid w:val="00856D6C"/>
    <w:rsid w:val="00860102"/>
    <w:rsid w:val="00860A6E"/>
    <w:rsid w:val="008610E8"/>
    <w:rsid w:val="00861EDF"/>
    <w:rsid w:val="00862040"/>
    <w:rsid w:val="00863C06"/>
    <w:rsid w:val="00865A23"/>
    <w:rsid w:val="00865A3E"/>
    <w:rsid w:val="00865DDA"/>
    <w:rsid w:val="00866E3C"/>
    <w:rsid w:val="0086703F"/>
    <w:rsid w:val="00867FEC"/>
    <w:rsid w:val="00872AFE"/>
    <w:rsid w:val="00872E7C"/>
    <w:rsid w:val="00873CF8"/>
    <w:rsid w:val="00874158"/>
    <w:rsid w:val="00874C57"/>
    <w:rsid w:val="0088061A"/>
    <w:rsid w:val="00880D04"/>
    <w:rsid w:val="00881704"/>
    <w:rsid w:val="0088258B"/>
    <w:rsid w:val="008829C3"/>
    <w:rsid w:val="008839E3"/>
    <w:rsid w:val="008842C9"/>
    <w:rsid w:val="00884492"/>
    <w:rsid w:val="00887AAF"/>
    <w:rsid w:val="00890548"/>
    <w:rsid w:val="00890B8E"/>
    <w:rsid w:val="00893C11"/>
    <w:rsid w:val="00895431"/>
    <w:rsid w:val="008959BD"/>
    <w:rsid w:val="00896156"/>
    <w:rsid w:val="008968C6"/>
    <w:rsid w:val="00897230"/>
    <w:rsid w:val="0089743F"/>
    <w:rsid w:val="00897A26"/>
    <w:rsid w:val="00897AC7"/>
    <w:rsid w:val="008A0B72"/>
    <w:rsid w:val="008A1FEA"/>
    <w:rsid w:val="008A4357"/>
    <w:rsid w:val="008A4869"/>
    <w:rsid w:val="008A7704"/>
    <w:rsid w:val="008A791D"/>
    <w:rsid w:val="008A7A25"/>
    <w:rsid w:val="008B193C"/>
    <w:rsid w:val="008B28A9"/>
    <w:rsid w:val="008B4069"/>
    <w:rsid w:val="008B6A65"/>
    <w:rsid w:val="008B7F0B"/>
    <w:rsid w:val="008C0676"/>
    <w:rsid w:val="008C39D7"/>
    <w:rsid w:val="008C3DFB"/>
    <w:rsid w:val="008C75BC"/>
    <w:rsid w:val="008D1B20"/>
    <w:rsid w:val="008D2741"/>
    <w:rsid w:val="008D2C8F"/>
    <w:rsid w:val="008D6645"/>
    <w:rsid w:val="008E3B14"/>
    <w:rsid w:val="008E48C5"/>
    <w:rsid w:val="008E4A26"/>
    <w:rsid w:val="008E4C01"/>
    <w:rsid w:val="008E52BD"/>
    <w:rsid w:val="008F1C97"/>
    <w:rsid w:val="008F1EA3"/>
    <w:rsid w:val="008F2B2E"/>
    <w:rsid w:val="008F3053"/>
    <w:rsid w:val="008F348B"/>
    <w:rsid w:val="008F44F5"/>
    <w:rsid w:val="008F633D"/>
    <w:rsid w:val="008F7C4A"/>
    <w:rsid w:val="008F7F32"/>
    <w:rsid w:val="009014D6"/>
    <w:rsid w:val="0090318D"/>
    <w:rsid w:val="0090537D"/>
    <w:rsid w:val="0090577B"/>
    <w:rsid w:val="00906943"/>
    <w:rsid w:val="00910BC8"/>
    <w:rsid w:val="0091213D"/>
    <w:rsid w:val="00915419"/>
    <w:rsid w:val="00922CD7"/>
    <w:rsid w:val="009233DD"/>
    <w:rsid w:val="00923619"/>
    <w:rsid w:val="00923D1F"/>
    <w:rsid w:val="0092603B"/>
    <w:rsid w:val="0092776D"/>
    <w:rsid w:val="009307F5"/>
    <w:rsid w:val="00930FEB"/>
    <w:rsid w:val="00931888"/>
    <w:rsid w:val="00933821"/>
    <w:rsid w:val="00933A16"/>
    <w:rsid w:val="00933F8E"/>
    <w:rsid w:val="0093516D"/>
    <w:rsid w:val="00935454"/>
    <w:rsid w:val="00935A0A"/>
    <w:rsid w:val="00936926"/>
    <w:rsid w:val="00940B2A"/>
    <w:rsid w:val="009426AE"/>
    <w:rsid w:val="00943076"/>
    <w:rsid w:val="00947A3C"/>
    <w:rsid w:val="0095039D"/>
    <w:rsid w:val="009517FB"/>
    <w:rsid w:val="00951BF5"/>
    <w:rsid w:val="00952A2F"/>
    <w:rsid w:val="009535C6"/>
    <w:rsid w:val="009537B2"/>
    <w:rsid w:val="00953CA9"/>
    <w:rsid w:val="00955263"/>
    <w:rsid w:val="0095547F"/>
    <w:rsid w:val="009579ED"/>
    <w:rsid w:val="009645F7"/>
    <w:rsid w:val="00964ECB"/>
    <w:rsid w:val="009660B1"/>
    <w:rsid w:val="00970B45"/>
    <w:rsid w:val="00972DBF"/>
    <w:rsid w:val="00975608"/>
    <w:rsid w:val="009805A8"/>
    <w:rsid w:val="00980AAA"/>
    <w:rsid w:val="00982D69"/>
    <w:rsid w:val="00987F48"/>
    <w:rsid w:val="00990C70"/>
    <w:rsid w:val="00992AC5"/>
    <w:rsid w:val="00992C29"/>
    <w:rsid w:val="009A0B27"/>
    <w:rsid w:val="009A15EA"/>
    <w:rsid w:val="009A36B2"/>
    <w:rsid w:val="009A3E86"/>
    <w:rsid w:val="009A4945"/>
    <w:rsid w:val="009A5B07"/>
    <w:rsid w:val="009A63D5"/>
    <w:rsid w:val="009B01E3"/>
    <w:rsid w:val="009B2007"/>
    <w:rsid w:val="009B2CCF"/>
    <w:rsid w:val="009B3A70"/>
    <w:rsid w:val="009B5C88"/>
    <w:rsid w:val="009B7E99"/>
    <w:rsid w:val="009C35D1"/>
    <w:rsid w:val="009C445B"/>
    <w:rsid w:val="009C5D57"/>
    <w:rsid w:val="009C68D8"/>
    <w:rsid w:val="009D42E0"/>
    <w:rsid w:val="009D599F"/>
    <w:rsid w:val="009D6A65"/>
    <w:rsid w:val="009D78BD"/>
    <w:rsid w:val="009D7C30"/>
    <w:rsid w:val="009E088A"/>
    <w:rsid w:val="009E171D"/>
    <w:rsid w:val="009E282A"/>
    <w:rsid w:val="009E344E"/>
    <w:rsid w:val="009E44E4"/>
    <w:rsid w:val="009E4796"/>
    <w:rsid w:val="009E736B"/>
    <w:rsid w:val="009F014A"/>
    <w:rsid w:val="009F2345"/>
    <w:rsid w:val="009F306B"/>
    <w:rsid w:val="009F30B9"/>
    <w:rsid w:val="00A03DBA"/>
    <w:rsid w:val="00A04841"/>
    <w:rsid w:val="00A06405"/>
    <w:rsid w:val="00A104CC"/>
    <w:rsid w:val="00A118D2"/>
    <w:rsid w:val="00A11E2B"/>
    <w:rsid w:val="00A13D5A"/>
    <w:rsid w:val="00A149CB"/>
    <w:rsid w:val="00A1785B"/>
    <w:rsid w:val="00A21848"/>
    <w:rsid w:val="00A21D76"/>
    <w:rsid w:val="00A22945"/>
    <w:rsid w:val="00A23559"/>
    <w:rsid w:val="00A2561B"/>
    <w:rsid w:val="00A3006E"/>
    <w:rsid w:val="00A3012D"/>
    <w:rsid w:val="00A30852"/>
    <w:rsid w:val="00A30ADF"/>
    <w:rsid w:val="00A32923"/>
    <w:rsid w:val="00A32EDE"/>
    <w:rsid w:val="00A346C7"/>
    <w:rsid w:val="00A34733"/>
    <w:rsid w:val="00A34B8C"/>
    <w:rsid w:val="00A34F2B"/>
    <w:rsid w:val="00A35F24"/>
    <w:rsid w:val="00A40481"/>
    <w:rsid w:val="00A41413"/>
    <w:rsid w:val="00A42106"/>
    <w:rsid w:val="00A43141"/>
    <w:rsid w:val="00A43179"/>
    <w:rsid w:val="00A469A0"/>
    <w:rsid w:val="00A46C9E"/>
    <w:rsid w:val="00A51726"/>
    <w:rsid w:val="00A527B6"/>
    <w:rsid w:val="00A5308D"/>
    <w:rsid w:val="00A5402D"/>
    <w:rsid w:val="00A54E44"/>
    <w:rsid w:val="00A54F24"/>
    <w:rsid w:val="00A54F50"/>
    <w:rsid w:val="00A5703D"/>
    <w:rsid w:val="00A57C29"/>
    <w:rsid w:val="00A57D37"/>
    <w:rsid w:val="00A612F3"/>
    <w:rsid w:val="00A615FC"/>
    <w:rsid w:val="00A61C75"/>
    <w:rsid w:val="00A62A7E"/>
    <w:rsid w:val="00A7056C"/>
    <w:rsid w:val="00A72B53"/>
    <w:rsid w:val="00A759E8"/>
    <w:rsid w:val="00A75AA0"/>
    <w:rsid w:val="00A76678"/>
    <w:rsid w:val="00A76BC7"/>
    <w:rsid w:val="00A82D45"/>
    <w:rsid w:val="00A83092"/>
    <w:rsid w:val="00A8336D"/>
    <w:rsid w:val="00A86367"/>
    <w:rsid w:val="00A87191"/>
    <w:rsid w:val="00A87FA9"/>
    <w:rsid w:val="00A91E74"/>
    <w:rsid w:val="00A92F33"/>
    <w:rsid w:val="00A94038"/>
    <w:rsid w:val="00A94582"/>
    <w:rsid w:val="00A94970"/>
    <w:rsid w:val="00A955F9"/>
    <w:rsid w:val="00A97BAE"/>
    <w:rsid w:val="00AA0C8A"/>
    <w:rsid w:val="00AA25A2"/>
    <w:rsid w:val="00AA35E1"/>
    <w:rsid w:val="00AA37FA"/>
    <w:rsid w:val="00AA735D"/>
    <w:rsid w:val="00AA7908"/>
    <w:rsid w:val="00AB5AE4"/>
    <w:rsid w:val="00AB7A0E"/>
    <w:rsid w:val="00AC1F45"/>
    <w:rsid w:val="00AC2BD1"/>
    <w:rsid w:val="00AC3400"/>
    <w:rsid w:val="00AC7CCB"/>
    <w:rsid w:val="00AD447C"/>
    <w:rsid w:val="00AD4632"/>
    <w:rsid w:val="00AD491D"/>
    <w:rsid w:val="00AD6798"/>
    <w:rsid w:val="00AD7089"/>
    <w:rsid w:val="00AE12B7"/>
    <w:rsid w:val="00AE18AB"/>
    <w:rsid w:val="00AE23BA"/>
    <w:rsid w:val="00AE241D"/>
    <w:rsid w:val="00AE36BB"/>
    <w:rsid w:val="00AE78C6"/>
    <w:rsid w:val="00AE7A8E"/>
    <w:rsid w:val="00AF1851"/>
    <w:rsid w:val="00AF21E4"/>
    <w:rsid w:val="00AF282E"/>
    <w:rsid w:val="00AF3530"/>
    <w:rsid w:val="00AF6DDB"/>
    <w:rsid w:val="00AF6F8E"/>
    <w:rsid w:val="00AF79F0"/>
    <w:rsid w:val="00AF7FD8"/>
    <w:rsid w:val="00B00B21"/>
    <w:rsid w:val="00B02237"/>
    <w:rsid w:val="00B028BA"/>
    <w:rsid w:val="00B03F9B"/>
    <w:rsid w:val="00B04D50"/>
    <w:rsid w:val="00B06067"/>
    <w:rsid w:val="00B07B44"/>
    <w:rsid w:val="00B10240"/>
    <w:rsid w:val="00B10FA3"/>
    <w:rsid w:val="00B110C9"/>
    <w:rsid w:val="00B127AB"/>
    <w:rsid w:val="00B1384C"/>
    <w:rsid w:val="00B14D86"/>
    <w:rsid w:val="00B16DD5"/>
    <w:rsid w:val="00B20666"/>
    <w:rsid w:val="00B21796"/>
    <w:rsid w:val="00B21839"/>
    <w:rsid w:val="00B22662"/>
    <w:rsid w:val="00B23EC3"/>
    <w:rsid w:val="00B24A7A"/>
    <w:rsid w:val="00B25A12"/>
    <w:rsid w:val="00B25A1E"/>
    <w:rsid w:val="00B266E0"/>
    <w:rsid w:val="00B26CCF"/>
    <w:rsid w:val="00B277B5"/>
    <w:rsid w:val="00B30C78"/>
    <w:rsid w:val="00B3128A"/>
    <w:rsid w:val="00B32C3F"/>
    <w:rsid w:val="00B36F10"/>
    <w:rsid w:val="00B36F86"/>
    <w:rsid w:val="00B377F3"/>
    <w:rsid w:val="00B37D14"/>
    <w:rsid w:val="00B42CA0"/>
    <w:rsid w:val="00B43F40"/>
    <w:rsid w:val="00B44D4F"/>
    <w:rsid w:val="00B4509D"/>
    <w:rsid w:val="00B45D19"/>
    <w:rsid w:val="00B46735"/>
    <w:rsid w:val="00B469AB"/>
    <w:rsid w:val="00B47426"/>
    <w:rsid w:val="00B54F58"/>
    <w:rsid w:val="00B55122"/>
    <w:rsid w:val="00B55E8C"/>
    <w:rsid w:val="00B56A29"/>
    <w:rsid w:val="00B56B6B"/>
    <w:rsid w:val="00B56DEA"/>
    <w:rsid w:val="00B62F34"/>
    <w:rsid w:val="00B674C0"/>
    <w:rsid w:val="00B703CD"/>
    <w:rsid w:val="00B731D1"/>
    <w:rsid w:val="00B73F11"/>
    <w:rsid w:val="00B74138"/>
    <w:rsid w:val="00B74570"/>
    <w:rsid w:val="00B80336"/>
    <w:rsid w:val="00B80D4F"/>
    <w:rsid w:val="00B83701"/>
    <w:rsid w:val="00B83A1A"/>
    <w:rsid w:val="00B84A87"/>
    <w:rsid w:val="00B85FA7"/>
    <w:rsid w:val="00B873E3"/>
    <w:rsid w:val="00B90823"/>
    <w:rsid w:val="00B91C5C"/>
    <w:rsid w:val="00B97169"/>
    <w:rsid w:val="00BA0427"/>
    <w:rsid w:val="00BA113E"/>
    <w:rsid w:val="00BA2F13"/>
    <w:rsid w:val="00BA41B4"/>
    <w:rsid w:val="00BA493E"/>
    <w:rsid w:val="00BA6CFE"/>
    <w:rsid w:val="00BA7476"/>
    <w:rsid w:val="00BB0B6F"/>
    <w:rsid w:val="00BB3246"/>
    <w:rsid w:val="00BB5195"/>
    <w:rsid w:val="00BB6C4E"/>
    <w:rsid w:val="00BC0C0F"/>
    <w:rsid w:val="00BC0D77"/>
    <w:rsid w:val="00BC1837"/>
    <w:rsid w:val="00BC1F14"/>
    <w:rsid w:val="00BC2B4C"/>
    <w:rsid w:val="00BC2F93"/>
    <w:rsid w:val="00BC6662"/>
    <w:rsid w:val="00BD040C"/>
    <w:rsid w:val="00BD16F5"/>
    <w:rsid w:val="00BD1FF5"/>
    <w:rsid w:val="00BD2934"/>
    <w:rsid w:val="00BD4351"/>
    <w:rsid w:val="00BD4693"/>
    <w:rsid w:val="00BD498D"/>
    <w:rsid w:val="00BD5508"/>
    <w:rsid w:val="00BD55D9"/>
    <w:rsid w:val="00BE1179"/>
    <w:rsid w:val="00BE161F"/>
    <w:rsid w:val="00BE1712"/>
    <w:rsid w:val="00BE1D2F"/>
    <w:rsid w:val="00BE1F22"/>
    <w:rsid w:val="00BE206E"/>
    <w:rsid w:val="00BE20E8"/>
    <w:rsid w:val="00BE2E2E"/>
    <w:rsid w:val="00BE32C6"/>
    <w:rsid w:val="00BE3848"/>
    <w:rsid w:val="00BE559C"/>
    <w:rsid w:val="00BE5A88"/>
    <w:rsid w:val="00BE7410"/>
    <w:rsid w:val="00BE7A22"/>
    <w:rsid w:val="00BF1AB8"/>
    <w:rsid w:val="00BF30CA"/>
    <w:rsid w:val="00BF35F4"/>
    <w:rsid w:val="00BF36ED"/>
    <w:rsid w:val="00BF4FEF"/>
    <w:rsid w:val="00BF6910"/>
    <w:rsid w:val="00C00764"/>
    <w:rsid w:val="00C01448"/>
    <w:rsid w:val="00C014AA"/>
    <w:rsid w:val="00C01C08"/>
    <w:rsid w:val="00C01D4B"/>
    <w:rsid w:val="00C0301F"/>
    <w:rsid w:val="00C040FE"/>
    <w:rsid w:val="00C057BE"/>
    <w:rsid w:val="00C06DCD"/>
    <w:rsid w:val="00C06E9B"/>
    <w:rsid w:val="00C07789"/>
    <w:rsid w:val="00C07804"/>
    <w:rsid w:val="00C07BCF"/>
    <w:rsid w:val="00C102A6"/>
    <w:rsid w:val="00C10528"/>
    <w:rsid w:val="00C1223D"/>
    <w:rsid w:val="00C128BC"/>
    <w:rsid w:val="00C13D31"/>
    <w:rsid w:val="00C13E63"/>
    <w:rsid w:val="00C13FB0"/>
    <w:rsid w:val="00C14E9B"/>
    <w:rsid w:val="00C21C15"/>
    <w:rsid w:val="00C21C2D"/>
    <w:rsid w:val="00C21F82"/>
    <w:rsid w:val="00C228E6"/>
    <w:rsid w:val="00C23202"/>
    <w:rsid w:val="00C23CEE"/>
    <w:rsid w:val="00C24ED6"/>
    <w:rsid w:val="00C24FFC"/>
    <w:rsid w:val="00C2647A"/>
    <w:rsid w:val="00C27F06"/>
    <w:rsid w:val="00C312FD"/>
    <w:rsid w:val="00C33472"/>
    <w:rsid w:val="00C35399"/>
    <w:rsid w:val="00C35B10"/>
    <w:rsid w:val="00C3752A"/>
    <w:rsid w:val="00C40919"/>
    <w:rsid w:val="00C40E0B"/>
    <w:rsid w:val="00C40F84"/>
    <w:rsid w:val="00C42368"/>
    <w:rsid w:val="00C423D6"/>
    <w:rsid w:val="00C43144"/>
    <w:rsid w:val="00C4367F"/>
    <w:rsid w:val="00C438A2"/>
    <w:rsid w:val="00C45FCD"/>
    <w:rsid w:val="00C46C46"/>
    <w:rsid w:val="00C5012F"/>
    <w:rsid w:val="00C5028B"/>
    <w:rsid w:val="00C5265B"/>
    <w:rsid w:val="00C527E6"/>
    <w:rsid w:val="00C54623"/>
    <w:rsid w:val="00C56013"/>
    <w:rsid w:val="00C5672C"/>
    <w:rsid w:val="00C60DF3"/>
    <w:rsid w:val="00C631B9"/>
    <w:rsid w:val="00C63AE6"/>
    <w:rsid w:val="00C63F00"/>
    <w:rsid w:val="00C63F7E"/>
    <w:rsid w:val="00C65046"/>
    <w:rsid w:val="00C67DC3"/>
    <w:rsid w:val="00C7566A"/>
    <w:rsid w:val="00C76590"/>
    <w:rsid w:val="00C765E1"/>
    <w:rsid w:val="00C80C23"/>
    <w:rsid w:val="00C80DDF"/>
    <w:rsid w:val="00C81F61"/>
    <w:rsid w:val="00C83087"/>
    <w:rsid w:val="00C834D9"/>
    <w:rsid w:val="00C84A59"/>
    <w:rsid w:val="00C8580C"/>
    <w:rsid w:val="00C871DE"/>
    <w:rsid w:val="00C87FE0"/>
    <w:rsid w:val="00C923C4"/>
    <w:rsid w:val="00C93467"/>
    <w:rsid w:val="00C93CBC"/>
    <w:rsid w:val="00C95143"/>
    <w:rsid w:val="00C9677E"/>
    <w:rsid w:val="00C973F8"/>
    <w:rsid w:val="00C97507"/>
    <w:rsid w:val="00CA066B"/>
    <w:rsid w:val="00CA1E64"/>
    <w:rsid w:val="00CA2693"/>
    <w:rsid w:val="00CA3EAF"/>
    <w:rsid w:val="00CA4A8D"/>
    <w:rsid w:val="00CA7D5C"/>
    <w:rsid w:val="00CB27A1"/>
    <w:rsid w:val="00CB321D"/>
    <w:rsid w:val="00CB4266"/>
    <w:rsid w:val="00CB508E"/>
    <w:rsid w:val="00CB6AFC"/>
    <w:rsid w:val="00CC259E"/>
    <w:rsid w:val="00CC557F"/>
    <w:rsid w:val="00CC5ACC"/>
    <w:rsid w:val="00CD0930"/>
    <w:rsid w:val="00CD14A1"/>
    <w:rsid w:val="00CD36B8"/>
    <w:rsid w:val="00CD5BA4"/>
    <w:rsid w:val="00CD6FCD"/>
    <w:rsid w:val="00CD7344"/>
    <w:rsid w:val="00CD7B77"/>
    <w:rsid w:val="00CD7BA1"/>
    <w:rsid w:val="00CE5364"/>
    <w:rsid w:val="00CE6DB7"/>
    <w:rsid w:val="00CE745C"/>
    <w:rsid w:val="00CE79C0"/>
    <w:rsid w:val="00CF0224"/>
    <w:rsid w:val="00CF208B"/>
    <w:rsid w:val="00CF2D02"/>
    <w:rsid w:val="00CF31BA"/>
    <w:rsid w:val="00D01151"/>
    <w:rsid w:val="00D01BF5"/>
    <w:rsid w:val="00D01D11"/>
    <w:rsid w:val="00D02DCA"/>
    <w:rsid w:val="00D05312"/>
    <w:rsid w:val="00D05D9E"/>
    <w:rsid w:val="00D0627E"/>
    <w:rsid w:val="00D065DB"/>
    <w:rsid w:val="00D07774"/>
    <w:rsid w:val="00D103D6"/>
    <w:rsid w:val="00D10E4C"/>
    <w:rsid w:val="00D15A35"/>
    <w:rsid w:val="00D2113D"/>
    <w:rsid w:val="00D2184C"/>
    <w:rsid w:val="00D256F0"/>
    <w:rsid w:val="00D2598B"/>
    <w:rsid w:val="00D260A2"/>
    <w:rsid w:val="00D26A74"/>
    <w:rsid w:val="00D306A1"/>
    <w:rsid w:val="00D3142E"/>
    <w:rsid w:val="00D32111"/>
    <w:rsid w:val="00D3267A"/>
    <w:rsid w:val="00D326A8"/>
    <w:rsid w:val="00D33CD3"/>
    <w:rsid w:val="00D34208"/>
    <w:rsid w:val="00D367D6"/>
    <w:rsid w:val="00D369A1"/>
    <w:rsid w:val="00D40E74"/>
    <w:rsid w:val="00D4140B"/>
    <w:rsid w:val="00D4148B"/>
    <w:rsid w:val="00D42BEC"/>
    <w:rsid w:val="00D454D7"/>
    <w:rsid w:val="00D4608E"/>
    <w:rsid w:val="00D471CA"/>
    <w:rsid w:val="00D47C8F"/>
    <w:rsid w:val="00D5063C"/>
    <w:rsid w:val="00D5127D"/>
    <w:rsid w:val="00D5145F"/>
    <w:rsid w:val="00D52296"/>
    <w:rsid w:val="00D54D25"/>
    <w:rsid w:val="00D55C90"/>
    <w:rsid w:val="00D5623F"/>
    <w:rsid w:val="00D56774"/>
    <w:rsid w:val="00D6135B"/>
    <w:rsid w:val="00D61469"/>
    <w:rsid w:val="00D619EB"/>
    <w:rsid w:val="00D63FC5"/>
    <w:rsid w:val="00D64641"/>
    <w:rsid w:val="00D64D93"/>
    <w:rsid w:val="00D66709"/>
    <w:rsid w:val="00D67FA1"/>
    <w:rsid w:val="00D70277"/>
    <w:rsid w:val="00D70BAB"/>
    <w:rsid w:val="00D72221"/>
    <w:rsid w:val="00D77184"/>
    <w:rsid w:val="00D7735B"/>
    <w:rsid w:val="00D77988"/>
    <w:rsid w:val="00D818D8"/>
    <w:rsid w:val="00D8372F"/>
    <w:rsid w:val="00D844FA"/>
    <w:rsid w:val="00D84CCF"/>
    <w:rsid w:val="00D8507B"/>
    <w:rsid w:val="00D86EE1"/>
    <w:rsid w:val="00D87BB6"/>
    <w:rsid w:val="00D91AE7"/>
    <w:rsid w:val="00D91E0A"/>
    <w:rsid w:val="00D91E2C"/>
    <w:rsid w:val="00D945E0"/>
    <w:rsid w:val="00D94B09"/>
    <w:rsid w:val="00D9524C"/>
    <w:rsid w:val="00D952DA"/>
    <w:rsid w:val="00D95575"/>
    <w:rsid w:val="00D965CC"/>
    <w:rsid w:val="00D96F7C"/>
    <w:rsid w:val="00D97A58"/>
    <w:rsid w:val="00DA03A0"/>
    <w:rsid w:val="00DA06A7"/>
    <w:rsid w:val="00DA1C57"/>
    <w:rsid w:val="00DA24F3"/>
    <w:rsid w:val="00DA36E9"/>
    <w:rsid w:val="00DA4DE3"/>
    <w:rsid w:val="00DA5659"/>
    <w:rsid w:val="00DB224B"/>
    <w:rsid w:val="00DB27FD"/>
    <w:rsid w:val="00DB2E53"/>
    <w:rsid w:val="00DB4D6C"/>
    <w:rsid w:val="00DC017E"/>
    <w:rsid w:val="00DC0C21"/>
    <w:rsid w:val="00DC5111"/>
    <w:rsid w:val="00DC5B5C"/>
    <w:rsid w:val="00DC5FE2"/>
    <w:rsid w:val="00DD3E4B"/>
    <w:rsid w:val="00DE00AF"/>
    <w:rsid w:val="00DE16D8"/>
    <w:rsid w:val="00DE1724"/>
    <w:rsid w:val="00DE17E0"/>
    <w:rsid w:val="00DE4099"/>
    <w:rsid w:val="00DE6A51"/>
    <w:rsid w:val="00DF1E41"/>
    <w:rsid w:val="00DF67E2"/>
    <w:rsid w:val="00DF693C"/>
    <w:rsid w:val="00DF7709"/>
    <w:rsid w:val="00E00434"/>
    <w:rsid w:val="00E01624"/>
    <w:rsid w:val="00E01AA7"/>
    <w:rsid w:val="00E0257E"/>
    <w:rsid w:val="00E02A24"/>
    <w:rsid w:val="00E02D25"/>
    <w:rsid w:val="00E03655"/>
    <w:rsid w:val="00E040D3"/>
    <w:rsid w:val="00E05D2C"/>
    <w:rsid w:val="00E07F2E"/>
    <w:rsid w:val="00E103ED"/>
    <w:rsid w:val="00E10407"/>
    <w:rsid w:val="00E128E1"/>
    <w:rsid w:val="00E139A8"/>
    <w:rsid w:val="00E142B8"/>
    <w:rsid w:val="00E21DF3"/>
    <w:rsid w:val="00E2341F"/>
    <w:rsid w:val="00E3005A"/>
    <w:rsid w:val="00E30D00"/>
    <w:rsid w:val="00E32CE0"/>
    <w:rsid w:val="00E33086"/>
    <w:rsid w:val="00E36277"/>
    <w:rsid w:val="00E406FB"/>
    <w:rsid w:val="00E40A26"/>
    <w:rsid w:val="00E41CC7"/>
    <w:rsid w:val="00E42151"/>
    <w:rsid w:val="00E44288"/>
    <w:rsid w:val="00E4753F"/>
    <w:rsid w:val="00E475BF"/>
    <w:rsid w:val="00E502E3"/>
    <w:rsid w:val="00E50425"/>
    <w:rsid w:val="00E51259"/>
    <w:rsid w:val="00E517C2"/>
    <w:rsid w:val="00E52421"/>
    <w:rsid w:val="00E524E7"/>
    <w:rsid w:val="00E52CE9"/>
    <w:rsid w:val="00E5478B"/>
    <w:rsid w:val="00E54A06"/>
    <w:rsid w:val="00E57944"/>
    <w:rsid w:val="00E57EF7"/>
    <w:rsid w:val="00E60E71"/>
    <w:rsid w:val="00E61730"/>
    <w:rsid w:val="00E61797"/>
    <w:rsid w:val="00E61A9A"/>
    <w:rsid w:val="00E61B64"/>
    <w:rsid w:val="00E6400C"/>
    <w:rsid w:val="00E64A66"/>
    <w:rsid w:val="00E651AA"/>
    <w:rsid w:val="00E6749B"/>
    <w:rsid w:val="00E67A61"/>
    <w:rsid w:val="00E722EA"/>
    <w:rsid w:val="00E72D5E"/>
    <w:rsid w:val="00E764DA"/>
    <w:rsid w:val="00E76AF6"/>
    <w:rsid w:val="00E77454"/>
    <w:rsid w:val="00E80FDD"/>
    <w:rsid w:val="00E8140D"/>
    <w:rsid w:val="00E8194A"/>
    <w:rsid w:val="00E829F9"/>
    <w:rsid w:val="00E83D66"/>
    <w:rsid w:val="00E841AF"/>
    <w:rsid w:val="00E84558"/>
    <w:rsid w:val="00E8561C"/>
    <w:rsid w:val="00E86476"/>
    <w:rsid w:val="00E8744F"/>
    <w:rsid w:val="00E876A1"/>
    <w:rsid w:val="00E901C3"/>
    <w:rsid w:val="00E92F6C"/>
    <w:rsid w:val="00E9516F"/>
    <w:rsid w:val="00E95C23"/>
    <w:rsid w:val="00E9632E"/>
    <w:rsid w:val="00E9650D"/>
    <w:rsid w:val="00EA1275"/>
    <w:rsid w:val="00EA160F"/>
    <w:rsid w:val="00EA19A7"/>
    <w:rsid w:val="00EA3390"/>
    <w:rsid w:val="00EA7D4C"/>
    <w:rsid w:val="00EB0180"/>
    <w:rsid w:val="00EB036A"/>
    <w:rsid w:val="00EB284B"/>
    <w:rsid w:val="00EB6A4E"/>
    <w:rsid w:val="00EB7D54"/>
    <w:rsid w:val="00EC01FA"/>
    <w:rsid w:val="00EC0D13"/>
    <w:rsid w:val="00EC0F97"/>
    <w:rsid w:val="00EC1A5A"/>
    <w:rsid w:val="00EC2A4C"/>
    <w:rsid w:val="00EC35DA"/>
    <w:rsid w:val="00EC534E"/>
    <w:rsid w:val="00EC71E7"/>
    <w:rsid w:val="00ED1CC9"/>
    <w:rsid w:val="00ED2339"/>
    <w:rsid w:val="00ED391E"/>
    <w:rsid w:val="00ED548B"/>
    <w:rsid w:val="00ED5A7A"/>
    <w:rsid w:val="00ED6ACC"/>
    <w:rsid w:val="00EE0FB5"/>
    <w:rsid w:val="00EE141C"/>
    <w:rsid w:val="00EE2A3B"/>
    <w:rsid w:val="00EE2F19"/>
    <w:rsid w:val="00EE4A83"/>
    <w:rsid w:val="00EF1CBC"/>
    <w:rsid w:val="00EF3F69"/>
    <w:rsid w:val="00EF4F59"/>
    <w:rsid w:val="00EF68C0"/>
    <w:rsid w:val="00EF73AA"/>
    <w:rsid w:val="00F00E84"/>
    <w:rsid w:val="00F02050"/>
    <w:rsid w:val="00F0228A"/>
    <w:rsid w:val="00F05D54"/>
    <w:rsid w:val="00F06B3F"/>
    <w:rsid w:val="00F10171"/>
    <w:rsid w:val="00F12756"/>
    <w:rsid w:val="00F13208"/>
    <w:rsid w:val="00F13B24"/>
    <w:rsid w:val="00F14A8F"/>
    <w:rsid w:val="00F14FAB"/>
    <w:rsid w:val="00F15265"/>
    <w:rsid w:val="00F15EA5"/>
    <w:rsid w:val="00F16082"/>
    <w:rsid w:val="00F160CB"/>
    <w:rsid w:val="00F16CDA"/>
    <w:rsid w:val="00F23C4F"/>
    <w:rsid w:val="00F23CFF"/>
    <w:rsid w:val="00F26877"/>
    <w:rsid w:val="00F30DF3"/>
    <w:rsid w:val="00F36FD2"/>
    <w:rsid w:val="00F4115F"/>
    <w:rsid w:val="00F41446"/>
    <w:rsid w:val="00F41862"/>
    <w:rsid w:val="00F42E91"/>
    <w:rsid w:val="00F43F4E"/>
    <w:rsid w:val="00F45A7B"/>
    <w:rsid w:val="00F47C9F"/>
    <w:rsid w:val="00F51766"/>
    <w:rsid w:val="00F51C43"/>
    <w:rsid w:val="00F51D00"/>
    <w:rsid w:val="00F53F4F"/>
    <w:rsid w:val="00F540CE"/>
    <w:rsid w:val="00F5483A"/>
    <w:rsid w:val="00F550D7"/>
    <w:rsid w:val="00F55B50"/>
    <w:rsid w:val="00F55CAE"/>
    <w:rsid w:val="00F55D17"/>
    <w:rsid w:val="00F609BB"/>
    <w:rsid w:val="00F61495"/>
    <w:rsid w:val="00F61531"/>
    <w:rsid w:val="00F621C8"/>
    <w:rsid w:val="00F631C5"/>
    <w:rsid w:val="00F64BAD"/>
    <w:rsid w:val="00F65FF0"/>
    <w:rsid w:val="00F66223"/>
    <w:rsid w:val="00F66245"/>
    <w:rsid w:val="00F66704"/>
    <w:rsid w:val="00F67A49"/>
    <w:rsid w:val="00F67EBD"/>
    <w:rsid w:val="00F75035"/>
    <w:rsid w:val="00F774FE"/>
    <w:rsid w:val="00F778B2"/>
    <w:rsid w:val="00F77B17"/>
    <w:rsid w:val="00F8021C"/>
    <w:rsid w:val="00F80713"/>
    <w:rsid w:val="00F83032"/>
    <w:rsid w:val="00F842AA"/>
    <w:rsid w:val="00F84B35"/>
    <w:rsid w:val="00F84FC6"/>
    <w:rsid w:val="00F87C80"/>
    <w:rsid w:val="00F87EB5"/>
    <w:rsid w:val="00F9054F"/>
    <w:rsid w:val="00F9255C"/>
    <w:rsid w:val="00F93837"/>
    <w:rsid w:val="00F93E9C"/>
    <w:rsid w:val="00F947FE"/>
    <w:rsid w:val="00F9504B"/>
    <w:rsid w:val="00F96588"/>
    <w:rsid w:val="00FA0986"/>
    <w:rsid w:val="00FA1803"/>
    <w:rsid w:val="00FA2665"/>
    <w:rsid w:val="00FA447F"/>
    <w:rsid w:val="00FA46A6"/>
    <w:rsid w:val="00FA4F64"/>
    <w:rsid w:val="00FA582E"/>
    <w:rsid w:val="00FA6D9F"/>
    <w:rsid w:val="00FA6DCB"/>
    <w:rsid w:val="00FB1534"/>
    <w:rsid w:val="00FB24BC"/>
    <w:rsid w:val="00FB3367"/>
    <w:rsid w:val="00FB399F"/>
    <w:rsid w:val="00FB445E"/>
    <w:rsid w:val="00FB6A84"/>
    <w:rsid w:val="00FB7CFB"/>
    <w:rsid w:val="00FB7EAE"/>
    <w:rsid w:val="00FC018E"/>
    <w:rsid w:val="00FC05FF"/>
    <w:rsid w:val="00FC2259"/>
    <w:rsid w:val="00FC4820"/>
    <w:rsid w:val="00FC501A"/>
    <w:rsid w:val="00FC5BF4"/>
    <w:rsid w:val="00FC6F35"/>
    <w:rsid w:val="00FD20D3"/>
    <w:rsid w:val="00FD5EC4"/>
    <w:rsid w:val="00FD6CD1"/>
    <w:rsid w:val="00FD7B97"/>
    <w:rsid w:val="00FE119B"/>
    <w:rsid w:val="00FE1679"/>
    <w:rsid w:val="00FE1A55"/>
    <w:rsid w:val="00FE1B0F"/>
    <w:rsid w:val="00FE3053"/>
    <w:rsid w:val="00FE41BE"/>
    <w:rsid w:val="00FE4A0B"/>
    <w:rsid w:val="00FE760D"/>
    <w:rsid w:val="00FE7EBA"/>
    <w:rsid w:val="00FF1DC9"/>
    <w:rsid w:val="00FF262E"/>
    <w:rsid w:val="00FF2F94"/>
    <w:rsid w:val="00FF38BE"/>
    <w:rsid w:val="00FF4C02"/>
    <w:rsid w:val="00FF6377"/>
    <w:rsid w:val="00FF643D"/>
    <w:rsid w:val="00FF72A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7E3EAE"/>
  <w15:docId w15:val="{A99CC7F1-388C-445F-AE1E-10AF7010C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C48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E1179"/>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871D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71DE"/>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FC4820"/>
    <w:rPr>
      <w:rFonts w:asciiTheme="majorHAnsi" w:eastAsiaTheme="majorEastAsia" w:hAnsiTheme="majorHAnsi" w:cstheme="majorBidi"/>
      <w:color w:val="2E74B5" w:themeColor="accent1" w:themeShade="BF"/>
      <w:sz w:val="32"/>
      <w:szCs w:val="32"/>
    </w:rPr>
  </w:style>
  <w:style w:type="paragraph" w:styleId="ListParagraph">
    <w:name w:val="List Paragraph"/>
    <w:aliases w:val="Akapit z listą BS,Outlines a.b.c.,List_Paragraph,Multilevel para_II,Akapit z lista BS,List Paragraph1"/>
    <w:basedOn w:val="Normal"/>
    <w:link w:val="ListParagraphChar"/>
    <w:uiPriority w:val="34"/>
    <w:qFormat/>
    <w:rsid w:val="00CD0930"/>
    <w:pPr>
      <w:ind w:left="720"/>
      <w:contextualSpacing/>
    </w:pPr>
  </w:style>
  <w:style w:type="table" w:styleId="TableGrid">
    <w:name w:val="Table Grid"/>
    <w:basedOn w:val="TableNormal"/>
    <w:uiPriority w:val="39"/>
    <w:rsid w:val="008419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93EEC"/>
    <w:rPr>
      <w:sz w:val="16"/>
      <w:szCs w:val="16"/>
    </w:rPr>
  </w:style>
  <w:style w:type="paragraph" w:styleId="CommentText">
    <w:name w:val="annotation text"/>
    <w:basedOn w:val="Normal"/>
    <w:link w:val="CommentTextChar"/>
    <w:uiPriority w:val="99"/>
    <w:semiHidden/>
    <w:unhideWhenUsed/>
    <w:rsid w:val="00593EEC"/>
    <w:pPr>
      <w:spacing w:line="240" w:lineRule="auto"/>
    </w:pPr>
    <w:rPr>
      <w:sz w:val="20"/>
      <w:szCs w:val="20"/>
    </w:rPr>
  </w:style>
  <w:style w:type="character" w:customStyle="1" w:styleId="CommentTextChar">
    <w:name w:val="Comment Text Char"/>
    <w:basedOn w:val="DefaultParagraphFont"/>
    <w:link w:val="CommentText"/>
    <w:uiPriority w:val="99"/>
    <w:semiHidden/>
    <w:rsid w:val="00593EEC"/>
    <w:rPr>
      <w:sz w:val="20"/>
      <w:szCs w:val="20"/>
    </w:rPr>
  </w:style>
  <w:style w:type="paragraph" w:styleId="CommentSubject">
    <w:name w:val="annotation subject"/>
    <w:basedOn w:val="CommentText"/>
    <w:next w:val="CommentText"/>
    <w:link w:val="CommentSubjectChar"/>
    <w:uiPriority w:val="99"/>
    <w:semiHidden/>
    <w:unhideWhenUsed/>
    <w:rsid w:val="00593EEC"/>
    <w:rPr>
      <w:b/>
      <w:bCs/>
    </w:rPr>
  </w:style>
  <w:style w:type="character" w:customStyle="1" w:styleId="CommentSubjectChar">
    <w:name w:val="Comment Subject Char"/>
    <w:basedOn w:val="CommentTextChar"/>
    <w:link w:val="CommentSubject"/>
    <w:uiPriority w:val="99"/>
    <w:semiHidden/>
    <w:rsid w:val="00593EEC"/>
    <w:rPr>
      <w:b/>
      <w:bCs/>
      <w:sz w:val="20"/>
      <w:szCs w:val="20"/>
    </w:rPr>
  </w:style>
  <w:style w:type="paragraph" w:styleId="BalloonText">
    <w:name w:val="Balloon Text"/>
    <w:basedOn w:val="Normal"/>
    <w:link w:val="BalloonTextChar"/>
    <w:uiPriority w:val="99"/>
    <w:semiHidden/>
    <w:unhideWhenUsed/>
    <w:rsid w:val="00593E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3EEC"/>
    <w:rPr>
      <w:rFonts w:ascii="Tahoma" w:hAnsi="Tahoma" w:cs="Tahoma"/>
      <w:sz w:val="16"/>
      <w:szCs w:val="16"/>
    </w:rPr>
  </w:style>
  <w:style w:type="character" w:customStyle="1" w:styleId="Heading2Char">
    <w:name w:val="Heading 2 Char"/>
    <w:basedOn w:val="DefaultParagraphFont"/>
    <w:link w:val="Heading2"/>
    <w:uiPriority w:val="9"/>
    <w:rsid w:val="00BE1179"/>
    <w:rPr>
      <w:rFonts w:asciiTheme="majorHAnsi" w:eastAsiaTheme="majorEastAsia" w:hAnsiTheme="majorHAnsi" w:cstheme="majorBidi"/>
      <w:b/>
      <w:bCs/>
      <w:color w:val="5B9BD5" w:themeColor="accent1"/>
      <w:sz w:val="26"/>
      <w:szCs w:val="26"/>
    </w:rPr>
  </w:style>
  <w:style w:type="paragraph" w:styleId="Revision">
    <w:name w:val="Revision"/>
    <w:hidden/>
    <w:uiPriority w:val="99"/>
    <w:semiHidden/>
    <w:rsid w:val="00D66709"/>
    <w:pPr>
      <w:spacing w:after="0" w:line="240" w:lineRule="auto"/>
    </w:pPr>
  </w:style>
  <w:style w:type="paragraph" w:styleId="FootnoteText">
    <w:name w:val="footnote text"/>
    <w:basedOn w:val="Normal"/>
    <w:link w:val="FootnoteTextChar"/>
    <w:uiPriority w:val="99"/>
    <w:unhideWhenUsed/>
    <w:rsid w:val="00840912"/>
    <w:pPr>
      <w:spacing w:after="0" w:line="240" w:lineRule="auto"/>
    </w:pPr>
    <w:rPr>
      <w:sz w:val="20"/>
      <w:szCs w:val="20"/>
    </w:rPr>
  </w:style>
  <w:style w:type="character" w:customStyle="1" w:styleId="FootnoteTextChar">
    <w:name w:val="Footnote Text Char"/>
    <w:basedOn w:val="DefaultParagraphFont"/>
    <w:link w:val="FootnoteText"/>
    <w:uiPriority w:val="99"/>
    <w:rsid w:val="00840912"/>
    <w:rPr>
      <w:sz w:val="20"/>
      <w:szCs w:val="20"/>
    </w:rPr>
  </w:style>
  <w:style w:type="character" w:styleId="FootnoteReference">
    <w:name w:val="footnote reference"/>
    <w:basedOn w:val="DefaultParagraphFont"/>
    <w:uiPriority w:val="99"/>
    <w:semiHidden/>
    <w:unhideWhenUsed/>
    <w:rsid w:val="00840912"/>
    <w:rPr>
      <w:vertAlign w:val="superscript"/>
    </w:rPr>
  </w:style>
  <w:style w:type="paragraph" w:styleId="Header">
    <w:name w:val="header"/>
    <w:basedOn w:val="Normal"/>
    <w:link w:val="HeaderChar"/>
    <w:uiPriority w:val="99"/>
    <w:unhideWhenUsed/>
    <w:rsid w:val="004464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648E"/>
  </w:style>
  <w:style w:type="paragraph" w:styleId="Footer">
    <w:name w:val="footer"/>
    <w:basedOn w:val="Normal"/>
    <w:link w:val="FooterChar"/>
    <w:uiPriority w:val="99"/>
    <w:unhideWhenUsed/>
    <w:rsid w:val="004464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648E"/>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rsid w:val="00A13D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776700">
      <w:bodyDiv w:val="1"/>
      <w:marLeft w:val="0"/>
      <w:marRight w:val="0"/>
      <w:marTop w:val="0"/>
      <w:marBottom w:val="0"/>
      <w:divBdr>
        <w:top w:val="none" w:sz="0" w:space="0" w:color="auto"/>
        <w:left w:val="none" w:sz="0" w:space="0" w:color="auto"/>
        <w:bottom w:val="none" w:sz="0" w:space="0" w:color="auto"/>
        <w:right w:val="none" w:sz="0" w:space="0" w:color="auto"/>
      </w:divBdr>
    </w:div>
    <w:div w:id="1716195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E7939A-F028-4320-8EB6-DB2CB1EC1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3453</Words>
  <Characters>19684</Characters>
  <Application>Microsoft Office Word</Application>
  <DocSecurity>0</DocSecurity>
  <Lines>164</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HP</Company>
  <LinksUpToDate>false</LinksUpToDate>
  <CharactersWithSpaces>23091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BM</dc:creator>
  <cp:keywords/>
  <dc:description/>
  <cp:lastModifiedBy>Silvia Pintilii</cp:lastModifiedBy>
  <cp:revision>11</cp:revision>
  <cp:lastPrinted>2018-08-20T06:23:00Z</cp:lastPrinted>
  <dcterms:created xsi:type="dcterms:W3CDTF">2020-06-26T09:05:00Z</dcterms:created>
  <dcterms:modified xsi:type="dcterms:W3CDTF">2020-07-07T21:11:00Z</dcterms:modified>
</cp:coreProperties>
</file>