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031" w:rsidRPr="002C6B6D" w:rsidRDefault="0022587A" w:rsidP="0022587A">
      <w:pPr>
        <w:jc w:val="both"/>
        <w:rPr>
          <w:b/>
          <w:color w:val="000000"/>
          <w:sz w:val="22"/>
          <w:szCs w:val="22"/>
          <w:shd w:val="clear" w:color="auto" w:fill="FFFFFF"/>
        </w:rPr>
      </w:pPr>
      <w:r w:rsidRPr="002C6B6D">
        <w:rPr>
          <w:b/>
          <w:sz w:val="22"/>
          <w:szCs w:val="22"/>
        </w:rPr>
        <w:t xml:space="preserve">Către: </w:t>
      </w:r>
      <w:r w:rsidR="00A40980" w:rsidRPr="002C6B6D">
        <w:rPr>
          <w:b/>
          <w:color w:val="000000"/>
          <w:sz w:val="22"/>
          <w:szCs w:val="22"/>
          <w:shd w:val="clear" w:color="auto" w:fill="FFFFFF"/>
        </w:rPr>
        <w:t xml:space="preserve"> </w:t>
      </w:r>
      <w:r w:rsidR="002C6B6D" w:rsidRPr="002C6B6D">
        <w:rPr>
          <w:b/>
          <w:color w:val="000000"/>
          <w:sz w:val="22"/>
          <w:szCs w:val="22"/>
          <w:shd w:val="clear" w:color="auto" w:fill="FFFFFF"/>
        </w:rPr>
        <w:t>fonduri-structurale.ro</w:t>
      </w:r>
      <w:bookmarkStart w:id="0" w:name="_GoBack"/>
      <w:bookmarkEnd w:id="0"/>
    </w:p>
    <w:p w:rsidR="0022587A" w:rsidRPr="002C6B6D" w:rsidRDefault="002C6B6D" w:rsidP="0022587A">
      <w:pPr>
        <w:jc w:val="both"/>
        <w:rPr>
          <w:b/>
          <w:sz w:val="22"/>
          <w:szCs w:val="22"/>
        </w:rPr>
      </w:pPr>
      <w:r w:rsidRPr="002C6B6D">
        <w:rPr>
          <w:b/>
          <w:color w:val="000000"/>
          <w:sz w:val="22"/>
          <w:szCs w:val="22"/>
          <w:shd w:val="clear" w:color="auto" w:fill="FFFFFF"/>
        </w:rPr>
        <w:t xml:space="preserve">În atenția: doamnei </w:t>
      </w:r>
      <w:r w:rsidRPr="002C6B6D">
        <w:rPr>
          <w:b/>
          <w:sz w:val="22"/>
          <w:szCs w:val="22"/>
        </w:rPr>
        <w:t>Ana-Maria Radu</w:t>
      </w:r>
      <w:r w:rsidRPr="002C6B6D">
        <w:rPr>
          <w:b/>
          <w:sz w:val="22"/>
          <w:szCs w:val="22"/>
        </w:rPr>
        <w:t xml:space="preserve"> - editor</w:t>
      </w:r>
    </w:p>
    <w:p w:rsidR="0022587A" w:rsidRPr="001D1240" w:rsidRDefault="0022587A" w:rsidP="00EE21A2">
      <w:pPr>
        <w:jc w:val="both"/>
        <w:rPr>
          <w:sz w:val="22"/>
          <w:szCs w:val="22"/>
        </w:rPr>
      </w:pPr>
    </w:p>
    <w:p w:rsidR="002F19E2" w:rsidRPr="001D1240" w:rsidRDefault="002C6B6D" w:rsidP="00EE21A2">
      <w:pPr>
        <w:jc w:val="both"/>
        <w:rPr>
          <w:sz w:val="22"/>
          <w:szCs w:val="22"/>
        </w:rPr>
      </w:pPr>
      <w:r>
        <w:rPr>
          <w:sz w:val="22"/>
          <w:szCs w:val="22"/>
        </w:rPr>
        <w:t>Stimată doamnă</w:t>
      </w:r>
      <w:r w:rsidR="002F19E2" w:rsidRPr="001D1240">
        <w:rPr>
          <w:sz w:val="22"/>
          <w:szCs w:val="22"/>
        </w:rPr>
        <w:t xml:space="preserve">, </w:t>
      </w:r>
    </w:p>
    <w:p w:rsidR="002C6B6D" w:rsidRPr="002C6B6D" w:rsidRDefault="002C6B6D" w:rsidP="002C6B6D">
      <w:pPr>
        <w:jc w:val="both"/>
        <w:rPr>
          <w:sz w:val="22"/>
          <w:szCs w:val="22"/>
        </w:rPr>
      </w:pPr>
      <w:r>
        <w:rPr>
          <w:sz w:val="22"/>
          <w:szCs w:val="22"/>
        </w:rPr>
        <w:t>În urma solicitării dvs.</w:t>
      </w:r>
      <w:r w:rsidRPr="002C6B6D">
        <w:rPr>
          <w:sz w:val="22"/>
          <w:szCs w:val="22"/>
        </w:rPr>
        <w:t xml:space="preserve"> transmisă Ministerului Agriculturii și Dezvoltării Rurale prin intermediul poștei electronice în data de 3 martie 2021, prin care solicita</w:t>
      </w:r>
      <w:r>
        <w:rPr>
          <w:sz w:val="22"/>
          <w:szCs w:val="22"/>
        </w:rPr>
        <w:t>ți</w:t>
      </w:r>
      <w:r w:rsidRPr="002C6B6D">
        <w:rPr>
          <w:sz w:val="22"/>
          <w:szCs w:val="22"/>
        </w:rPr>
        <w:t xml:space="preserve"> informații referitoare la lansarea, pe parcursul anului 2021, a sesiunilor de depunere proiecte în cadrul submăsurilor 6.2 „Sprijin pentru înființarea de activități neagricole în zone rurale” și 6.4 „Investiții în crearea şi dezvoltarea de activități neagrico</w:t>
      </w:r>
      <w:r>
        <w:rPr>
          <w:sz w:val="22"/>
          <w:szCs w:val="22"/>
        </w:rPr>
        <w:t xml:space="preserve">le”, vă comunicăm următoarele: </w:t>
      </w:r>
    </w:p>
    <w:p w:rsidR="002C6B6D" w:rsidRPr="002C6B6D" w:rsidRDefault="002C6B6D" w:rsidP="002C6B6D">
      <w:pPr>
        <w:jc w:val="both"/>
        <w:rPr>
          <w:sz w:val="22"/>
          <w:szCs w:val="22"/>
        </w:rPr>
      </w:pPr>
      <w:r w:rsidRPr="002C6B6D">
        <w:rPr>
          <w:sz w:val="22"/>
          <w:szCs w:val="22"/>
        </w:rPr>
        <w:t>În anul 2021, MADR intenționează lansarea atât a sesiunilor de depunere proiecte în cadrul submăsurilor din PNDR 2014-2020, cât și procesul de pregătire și lansare a măsurilor pe care MADR le va implementa în perioada de tranziție (2021-2022) până la aplicarea P</w:t>
      </w:r>
      <w:r>
        <w:rPr>
          <w:sz w:val="22"/>
          <w:szCs w:val="22"/>
        </w:rPr>
        <w:t>lanurilor Strategice 2023-2027.</w:t>
      </w:r>
    </w:p>
    <w:p w:rsidR="002C6B6D" w:rsidRPr="002C6B6D" w:rsidRDefault="002C6B6D" w:rsidP="002C6B6D">
      <w:pPr>
        <w:jc w:val="both"/>
        <w:rPr>
          <w:sz w:val="22"/>
          <w:szCs w:val="22"/>
        </w:rPr>
      </w:pPr>
      <w:r w:rsidRPr="002C6B6D">
        <w:rPr>
          <w:sz w:val="22"/>
          <w:szCs w:val="22"/>
        </w:rPr>
        <w:t>Astfel, în contextul în care noua reformă a Politicii Agricole Comune (PAC) post 2020 prin intermediul Planurilor Strategice nu a putut fi aplicată de la 1 ianuarie 2021, iar regulamentele care vor sta la baza viitoarei PAC sunt încă în proces de negociere în trialog, pentru asigurarea continuității de către statele membre a sprijinului din FEADR pentru fermieri, prin măsurile de dezvoltare rurală, Comisia Europeană a publicat Regulamentul (UE) nr. 2220/2020 care stipulează extinderea aplicabilității cadrului legal existent în anii 2021-2022 și suplimentarea bugetului aferent PNDR cu resurse aferente anilor 2021 și 2022 din noul Cadrul Financ</w:t>
      </w:r>
      <w:r>
        <w:rPr>
          <w:sz w:val="22"/>
          <w:szCs w:val="22"/>
        </w:rPr>
        <w:t>iar Multianual (CFM 2021-2027).</w:t>
      </w:r>
    </w:p>
    <w:p w:rsidR="002C6B6D" w:rsidRPr="002C6B6D" w:rsidRDefault="002C6B6D" w:rsidP="002C6B6D">
      <w:pPr>
        <w:jc w:val="both"/>
        <w:rPr>
          <w:sz w:val="22"/>
          <w:szCs w:val="22"/>
        </w:rPr>
      </w:pPr>
      <w:r w:rsidRPr="002C6B6D">
        <w:rPr>
          <w:sz w:val="22"/>
          <w:szCs w:val="22"/>
        </w:rPr>
        <w:t>Resursele financiare provin din noul Cadru Financiar Multianual, dar pe lângă fondurile provenite din CFM 2021-2027, Statele Membre beneficiază în actualele programe de dezvoltare rurală (PDR) 2014-2020 de fonduri suplimentare provenite din instrumentul Next Generation EU, instrumentul de redresare al Uniunii Europene (EURI) ca urmare a crizei prov</w:t>
      </w:r>
      <w:r>
        <w:rPr>
          <w:sz w:val="22"/>
          <w:szCs w:val="22"/>
        </w:rPr>
        <w:t xml:space="preserve">ocate de pandemia de COVID-19. </w:t>
      </w:r>
    </w:p>
    <w:p w:rsidR="002C6B6D" w:rsidRPr="002C6B6D" w:rsidRDefault="002C6B6D" w:rsidP="002C6B6D">
      <w:pPr>
        <w:jc w:val="both"/>
        <w:rPr>
          <w:sz w:val="22"/>
          <w:szCs w:val="22"/>
        </w:rPr>
      </w:pPr>
      <w:r w:rsidRPr="002C6B6D">
        <w:rPr>
          <w:sz w:val="22"/>
          <w:szCs w:val="22"/>
        </w:rPr>
        <w:t>Astfel că, pentru cei doi ani de tranziție, cumulat România are la dispoziție un buget de 2,84 mld. euro (UE) din care 2,15 mld. euro FEADR și 692,1 mil. euro EURI, la care se adaugă cofinanțarea națională astfel încât alocarea publică totală estima</w:t>
      </w:r>
      <w:r>
        <w:rPr>
          <w:sz w:val="22"/>
          <w:szCs w:val="22"/>
        </w:rPr>
        <w:t>tă este de cca. 3,26 mld. euro.</w:t>
      </w:r>
    </w:p>
    <w:p w:rsidR="002C6B6D" w:rsidRPr="002C6B6D" w:rsidRDefault="002C6B6D" w:rsidP="002C6B6D">
      <w:pPr>
        <w:jc w:val="both"/>
        <w:rPr>
          <w:sz w:val="22"/>
          <w:szCs w:val="22"/>
        </w:rPr>
      </w:pPr>
      <w:r w:rsidRPr="002C6B6D">
        <w:rPr>
          <w:sz w:val="22"/>
          <w:szCs w:val="22"/>
        </w:rPr>
        <w:t>Regulamentele europene prevăd că fondurile disponibile aferente actualului program trebuie cheltuite până cel târziu la data de 31 decembrie 2025 (proiecte fina</w:t>
      </w:r>
      <w:r>
        <w:rPr>
          <w:sz w:val="22"/>
          <w:szCs w:val="22"/>
        </w:rPr>
        <w:t>lizate ultima plată efectuată).</w:t>
      </w:r>
    </w:p>
    <w:p w:rsidR="002C6B6D" w:rsidRPr="002C6B6D" w:rsidRDefault="002C6B6D" w:rsidP="002C6B6D">
      <w:pPr>
        <w:jc w:val="both"/>
        <w:rPr>
          <w:sz w:val="22"/>
          <w:szCs w:val="22"/>
        </w:rPr>
      </w:pPr>
      <w:r w:rsidRPr="002C6B6D">
        <w:rPr>
          <w:sz w:val="22"/>
          <w:szCs w:val="22"/>
        </w:rPr>
        <w:t>În vederea aplicării măsurilor în perioada de tranziție, inclusiv alocarea financiară, actualul PNDR necesită modificare, care presupune mai multe etape, respectiv consultarea partenerilor din cadrul grupurilor de lucru și a Comitetului de Monitorizare (CM), negocieri informale cu structurile Comisiei Europene (CE), definitivare propunere de modificare și avizarea CM, transmiterea oficială către CE a pr</w:t>
      </w:r>
      <w:r>
        <w:rPr>
          <w:sz w:val="22"/>
          <w:szCs w:val="22"/>
        </w:rPr>
        <w:t xml:space="preserve">opunerii de modificare a PNDR. </w:t>
      </w:r>
    </w:p>
    <w:p w:rsidR="002C6B6D" w:rsidRPr="002C6B6D" w:rsidRDefault="002C6B6D" w:rsidP="002C6B6D">
      <w:pPr>
        <w:jc w:val="both"/>
        <w:rPr>
          <w:sz w:val="22"/>
          <w:szCs w:val="22"/>
        </w:rPr>
      </w:pPr>
      <w:r w:rsidRPr="002C6B6D">
        <w:rPr>
          <w:sz w:val="22"/>
          <w:szCs w:val="22"/>
        </w:rPr>
        <w:t>În acest sens, au avut loc consultări informale cu reprezentanții DG AGRI și cu partenerii din cadrul Comitetului de Monitorizare pentru PNDR și cu cei ai grupurilor/subgrupurilor de lucru din marja acestuia cu privire la propunerile AM PNDR privind alocările financiare precum și propunerile de modificare a fișelor submăsurilor din cadrul PNDR 2014-2020 care vor continua în perioada de tranziție, respectiv stabilirea acțiunilor eligibile și prioritizarea activităților care urmează a fi fina</w:t>
      </w:r>
      <w:r>
        <w:rPr>
          <w:sz w:val="22"/>
          <w:szCs w:val="22"/>
        </w:rPr>
        <w:t>nțate în perioada de tranziție.</w:t>
      </w:r>
    </w:p>
    <w:p w:rsidR="002C6B6D" w:rsidRPr="002C6B6D" w:rsidRDefault="002C6B6D" w:rsidP="002C6B6D">
      <w:pPr>
        <w:jc w:val="both"/>
        <w:rPr>
          <w:sz w:val="22"/>
          <w:szCs w:val="22"/>
        </w:rPr>
      </w:pPr>
      <w:r w:rsidRPr="002C6B6D">
        <w:rPr>
          <w:sz w:val="22"/>
          <w:szCs w:val="22"/>
        </w:rPr>
        <w:t xml:space="preserve">În stabilirea măsurilor care se vor continua în perioada de tranziție 2021-2022, reprezentanții MADR au avut în vedere rigorile prevăzute de legislația UE privind tranziția care impune păstrarea procentului de cheltuieli destinate măsurilor de mediu şi climă precum </w:t>
      </w:r>
      <w:r>
        <w:rPr>
          <w:sz w:val="22"/>
          <w:szCs w:val="22"/>
        </w:rPr>
        <w:t>şi atingerea obiectivelor PNDR.</w:t>
      </w:r>
    </w:p>
    <w:p w:rsidR="002C6B6D" w:rsidRPr="002C6B6D" w:rsidRDefault="002C6B6D" w:rsidP="002C6B6D">
      <w:pPr>
        <w:jc w:val="both"/>
        <w:rPr>
          <w:sz w:val="22"/>
          <w:szCs w:val="22"/>
        </w:rPr>
      </w:pPr>
      <w:r w:rsidRPr="002C6B6D">
        <w:rPr>
          <w:sz w:val="22"/>
          <w:szCs w:val="22"/>
        </w:rPr>
        <w:t xml:space="preserve">Totodată, precizăm că Ministerul Agriculturii și Dezvoltării Rurale analizează repartizarea resurselor financiare pentru fiecare sub-măsură în parte și urmează a planifica calendarul lansării sesiunilor de depunere proiecte pentru anul 2021, după transmiterea oficială a propunerilor de modificare a PNDR. </w:t>
      </w:r>
    </w:p>
    <w:p w:rsidR="002C6B6D" w:rsidRPr="002C6B6D" w:rsidRDefault="002C6B6D" w:rsidP="002C6B6D">
      <w:pPr>
        <w:jc w:val="both"/>
        <w:rPr>
          <w:sz w:val="22"/>
          <w:szCs w:val="22"/>
        </w:rPr>
      </w:pPr>
      <w:r w:rsidRPr="002C6B6D">
        <w:rPr>
          <w:sz w:val="22"/>
          <w:szCs w:val="22"/>
        </w:rPr>
        <w:t>Lansarea submăsurilor va fi posibilă după parcurgerea tuturor etapelor menționate anterior și aprobarea PN</w:t>
      </w:r>
      <w:r>
        <w:rPr>
          <w:sz w:val="22"/>
          <w:szCs w:val="22"/>
        </w:rPr>
        <w:t xml:space="preserve">DR de către Comisia Europeană. </w:t>
      </w:r>
    </w:p>
    <w:p w:rsidR="002C6B6D" w:rsidRPr="002C6B6D" w:rsidRDefault="002C6B6D" w:rsidP="002C6B6D">
      <w:pPr>
        <w:jc w:val="both"/>
        <w:rPr>
          <w:sz w:val="22"/>
          <w:szCs w:val="22"/>
        </w:rPr>
      </w:pPr>
      <w:r w:rsidRPr="002C6B6D">
        <w:rPr>
          <w:sz w:val="22"/>
          <w:szCs w:val="22"/>
        </w:rPr>
        <w:t>Menționăm că printre submăsurile care vor fi lansate din fondurile de tranziție aferente perioadei 2021-2022 se regăsesc și submăsura 6.2 „Sprijin pentru înființarea de activități neagricole în zone rurale” (cu o alocare publică de aprox. 50 mil. euro) și submăsura 6.4  „Investiții în crearea şi dezvoltarea de activități neagricole” (cu o alocare publică de aprox. 100 mil. euro).</w:t>
      </w:r>
    </w:p>
    <w:p w:rsidR="002C6B6D" w:rsidRPr="002C6B6D" w:rsidRDefault="002C6B6D" w:rsidP="002C6B6D">
      <w:pPr>
        <w:jc w:val="both"/>
        <w:rPr>
          <w:sz w:val="22"/>
          <w:szCs w:val="22"/>
        </w:rPr>
      </w:pPr>
    </w:p>
    <w:p w:rsidR="002C6B6D" w:rsidRPr="002C6B6D" w:rsidRDefault="002C6B6D" w:rsidP="002C6B6D">
      <w:pPr>
        <w:jc w:val="both"/>
        <w:rPr>
          <w:sz w:val="22"/>
          <w:szCs w:val="22"/>
        </w:rPr>
      </w:pPr>
      <w:r w:rsidRPr="002C6B6D">
        <w:rPr>
          <w:sz w:val="22"/>
          <w:szCs w:val="22"/>
        </w:rPr>
        <w:t>MADR estimează că cel mai probabil submăsurile vor fi lansate în cea</w:t>
      </w:r>
      <w:r>
        <w:rPr>
          <w:sz w:val="22"/>
          <w:szCs w:val="22"/>
        </w:rPr>
        <w:t xml:space="preserve"> de-a doua parte a anului 2021.</w:t>
      </w:r>
    </w:p>
    <w:p w:rsidR="002C6B6D" w:rsidRPr="002C6B6D" w:rsidRDefault="002C6B6D" w:rsidP="002C6B6D">
      <w:pPr>
        <w:jc w:val="both"/>
        <w:rPr>
          <w:sz w:val="22"/>
          <w:szCs w:val="22"/>
        </w:rPr>
      </w:pPr>
      <w:r w:rsidRPr="002C6B6D">
        <w:rPr>
          <w:sz w:val="22"/>
          <w:szCs w:val="22"/>
        </w:rPr>
        <w:t>Vă adresăm rugămintea de a urmări informațiile oficiale publicate pe site-urile www.madr.ro    și www.afir.info, inclusiv pe conturile oficiale de Social Media, unde vor fi publicate atât calendarul estimativ, cât și variantele consultative ale Ghidurilor Solicitantului pentr</w:t>
      </w:r>
      <w:r>
        <w:rPr>
          <w:sz w:val="22"/>
          <w:szCs w:val="22"/>
        </w:rPr>
        <w:t>u submăsurile care vor lansate.</w:t>
      </w:r>
    </w:p>
    <w:p w:rsidR="0027226E" w:rsidRPr="001D1240" w:rsidRDefault="002C6B6D" w:rsidP="002C6B6D">
      <w:pPr>
        <w:jc w:val="both"/>
        <w:rPr>
          <w:sz w:val="22"/>
          <w:szCs w:val="22"/>
        </w:rPr>
      </w:pPr>
      <w:r w:rsidRPr="002C6B6D">
        <w:rPr>
          <w:sz w:val="22"/>
          <w:szCs w:val="22"/>
        </w:rPr>
        <w:t>Pe această cale, vă mulțumim pentru interesul manifestat față de Programul Național de Dezvoltare Rurală, asigurându-vă totodată că MADR analizează aspectele semnalate de partenerii economici și sociali, preocupându-se permanent de îmbunătățirea și simplificarea condițiilor de accesare și implementare a măsurilor de dezvoltare rurală, precum și de asigurarea unei cât mai bune informări a potențialilor beneficiari.</w:t>
      </w:r>
    </w:p>
    <w:sectPr w:rsidR="0027226E" w:rsidRPr="001D1240" w:rsidSect="00BA1781">
      <w:headerReference w:type="default" r:id="rId8"/>
      <w:footerReference w:type="default" r:id="rId9"/>
      <w:pgSz w:w="11906" w:h="16838"/>
      <w:pgMar w:top="2786" w:right="1196" w:bottom="1440" w:left="1260" w:header="63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2C6" w:rsidRDefault="009C62C6" w:rsidP="000D4562">
      <w:pPr>
        <w:spacing w:after="0" w:line="240" w:lineRule="auto"/>
      </w:pPr>
      <w:r>
        <w:separator/>
      </w:r>
    </w:p>
  </w:endnote>
  <w:endnote w:type="continuationSeparator" w:id="0">
    <w:p w:rsidR="009C62C6" w:rsidRDefault="009C62C6" w:rsidP="000D4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472835"/>
      <w:docPartObj>
        <w:docPartGallery w:val="Page Numbers (Bottom of Page)"/>
        <w:docPartUnique/>
      </w:docPartObj>
    </w:sdtPr>
    <w:sdtEndPr/>
    <w:sdtContent>
      <w:sdt>
        <w:sdtPr>
          <w:id w:val="1105153527"/>
          <w:docPartObj>
            <w:docPartGallery w:val="Page Numbers (Top of Page)"/>
            <w:docPartUnique/>
          </w:docPartObj>
        </w:sdtPr>
        <w:sdtEndPr/>
        <w:sdtContent>
          <w:bookmarkStart w:id="1" w:name="_Hlk31795492" w:displacedByCustomXml="prev"/>
          <w:p w:rsidR="000C523B" w:rsidRDefault="000C523B" w:rsidP="00871D9A">
            <w:pPr>
              <w:pStyle w:val="Footer"/>
              <w:rPr>
                <w:sz w:val="20"/>
                <w:szCs w:val="20"/>
              </w:rPr>
            </w:pPr>
          </w:p>
          <w:p w:rsidR="000C523B" w:rsidRDefault="000C523B" w:rsidP="000C523B">
            <w:pPr>
              <w:pStyle w:val="Footer"/>
              <w:rPr>
                <w:sz w:val="20"/>
                <w:szCs w:val="20"/>
              </w:rPr>
            </w:pPr>
          </w:p>
          <w:p w:rsidR="000C523B" w:rsidRPr="00067681" w:rsidRDefault="000C523B" w:rsidP="000C523B">
            <w:pPr>
              <w:pStyle w:val="Footer"/>
              <w:rPr>
                <w:sz w:val="20"/>
                <w:szCs w:val="20"/>
              </w:rPr>
            </w:pPr>
            <w:bookmarkStart w:id="2" w:name="_Hlk31795505"/>
            <w:r w:rsidRPr="00067681">
              <w:rPr>
                <w:sz w:val="20"/>
                <w:szCs w:val="20"/>
              </w:rPr>
              <w:t xml:space="preserve">T +40 (21) </w:t>
            </w:r>
            <w:r>
              <w:rPr>
                <w:sz w:val="20"/>
                <w:szCs w:val="20"/>
              </w:rPr>
              <w:t xml:space="preserve"> </w:t>
            </w:r>
            <w:r w:rsidR="009A69FD">
              <w:rPr>
                <w:sz w:val="20"/>
                <w:szCs w:val="20"/>
              </w:rPr>
              <w:t>3078682</w:t>
            </w:r>
          </w:p>
          <w:p w:rsidR="000C523B" w:rsidRPr="00067681" w:rsidRDefault="002C6B6D" w:rsidP="000C523B">
            <w:pPr>
              <w:pStyle w:val="Footer"/>
              <w:ind w:right="1080"/>
              <w:rPr>
                <w:sz w:val="20"/>
                <w:szCs w:val="20"/>
              </w:rPr>
            </w:pPr>
            <w:hyperlink r:id="rId1" w:history="1">
              <w:r w:rsidR="009A69FD" w:rsidRPr="00A3529C">
                <w:rPr>
                  <w:rStyle w:val="Hyperlink"/>
                  <w:sz w:val="20"/>
                  <w:szCs w:val="20"/>
                </w:rPr>
                <w:t>comunicare@madr.ro</w:t>
              </w:r>
            </w:hyperlink>
            <w:bookmarkEnd w:id="2"/>
            <w:r w:rsidR="000C523B">
              <w:rPr>
                <w:sz w:val="20"/>
                <w:szCs w:val="20"/>
              </w:rPr>
              <w:t xml:space="preserve">                                                                                                                                               </w:t>
            </w:r>
          </w:p>
          <w:bookmarkEnd w:id="1"/>
          <w:p w:rsidR="000C523B" w:rsidRDefault="000C523B" w:rsidP="000C523B">
            <w:pPr>
              <w:pStyle w:val="Footer"/>
              <w:ind w:right="1080"/>
              <w:jc w:val="right"/>
            </w:pPr>
            <w:r>
              <w:t xml:space="preserve">Pagina </w:t>
            </w:r>
            <w:r>
              <w:rPr>
                <w:b/>
                <w:bCs/>
              </w:rPr>
              <w:fldChar w:fldCharType="begin"/>
            </w:r>
            <w:r>
              <w:rPr>
                <w:b/>
                <w:bCs/>
              </w:rPr>
              <w:instrText xml:space="preserve"> PAGE </w:instrText>
            </w:r>
            <w:r>
              <w:rPr>
                <w:b/>
                <w:bCs/>
              </w:rPr>
              <w:fldChar w:fldCharType="separate"/>
            </w:r>
            <w:r w:rsidR="002C6B6D">
              <w:rPr>
                <w:b/>
                <w:bCs/>
                <w:noProof/>
              </w:rPr>
              <w:t>2</w:t>
            </w:r>
            <w:r>
              <w:rPr>
                <w:b/>
                <w:bCs/>
              </w:rPr>
              <w:fldChar w:fldCharType="end"/>
            </w:r>
            <w:r>
              <w:t xml:space="preserve"> / </w:t>
            </w:r>
            <w:r>
              <w:rPr>
                <w:b/>
                <w:bCs/>
              </w:rPr>
              <w:fldChar w:fldCharType="begin"/>
            </w:r>
            <w:r>
              <w:rPr>
                <w:b/>
                <w:bCs/>
              </w:rPr>
              <w:instrText xml:space="preserve"> NUMPAGES  </w:instrText>
            </w:r>
            <w:r>
              <w:rPr>
                <w:b/>
                <w:bCs/>
              </w:rPr>
              <w:fldChar w:fldCharType="separate"/>
            </w:r>
            <w:r w:rsidR="002C6B6D">
              <w:rPr>
                <w:b/>
                <w:bCs/>
                <w:noProof/>
              </w:rPr>
              <w:t>2</w:t>
            </w:r>
            <w:r>
              <w:rPr>
                <w:b/>
                <w:bCs/>
              </w:rPr>
              <w:fldChar w:fldCharType="end"/>
            </w:r>
          </w:p>
        </w:sdtContent>
      </w:sdt>
    </w:sdtContent>
  </w:sdt>
  <w:p w:rsidR="007B2FC5" w:rsidRPr="007B2FC5" w:rsidRDefault="007B2FC5" w:rsidP="007B2FC5">
    <w:pPr>
      <w:pStyle w:val="Footer"/>
      <w:ind w:right="10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2C6" w:rsidRDefault="009C62C6" w:rsidP="000D4562">
      <w:pPr>
        <w:spacing w:after="0" w:line="240" w:lineRule="auto"/>
      </w:pPr>
      <w:r>
        <w:separator/>
      </w:r>
    </w:p>
  </w:footnote>
  <w:footnote w:type="continuationSeparator" w:id="0">
    <w:p w:rsidR="009C62C6" w:rsidRDefault="009C62C6" w:rsidP="000D4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562" w:rsidRDefault="00665031" w:rsidP="000D4562">
    <w:pPr>
      <w:pStyle w:val="Header"/>
      <w:ind w:hanging="1440"/>
    </w:pPr>
    <w:r>
      <w:rPr>
        <w:noProof/>
        <w:lang w:val="en-US"/>
      </w:rPr>
      <w:drawing>
        <wp:inline distT="0" distB="0" distL="0" distR="0">
          <wp:extent cx="7524750" cy="952500"/>
          <wp:effectExtent l="0" t="0" r="0" b="0"/>
          <wp:docPr id="8" name="Picture 8" descr="header-ORDIN-logo-pe-1-rand-cu albastru-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ORDIN-logo-pe-1-rand-cu albastru-2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804"/>
    <w:multiLevelType w:val="hybridMultilevel"/>
    <w:tmpl w:val="E5D0F0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200BF"/>
    <w:multiLevelType w:val="hybridMultilevel"/>
    <w:tmpl w:val="7F7EAB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723FB2"/>
    <w:multiLevelType w:val="multilevel"/>
    <w:tmpl w:val="C0F889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EE23A3"/>
    <w:multiLevelType w:val="hybridMultilevel"/>
    <w:tmpl w:val="C23E4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5F3FE5"/>
    <w:multiLevelType w:val="hybridMultilevel"/>
    <w:tmpl w:val="0EE4A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0D7B45"/>
    <w:multiLevelType w:val="multilevel"/>
    <w:tmpl w:val="BD807F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54615A"/>
    <w:multiLevelType w:val="multilevel"/>
    <w:tmpl w:val="EDE2A3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265A42"/>
    <w:multiLevelType w:val="multilevel"/>
    <w:tmpl w:val="CC880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D47"/>
    <w:rsid w:val="000851CB"/>
    <w:rsid w:val="00091620"/>
    <w:rsid w:val="000C523B"/>
    <w:rsid w:val="000D4562"/>
    <w:rsid w:val="001110F1"/>
    <w:rsid w:val="00145A18"/>
    <w:rsid w:val="001D1240"/>
    <w:rsid w:val="0022587A"/>
    <w:rsid w:val="0027226E"/>
    <w:rsid w:val="002C6B6D"/>
    <w:rsid w:val="002F19E2"/>
    <w:rsid w:val="003326E3"/>
    <w:rsid w:val="003730AB"/>
    <w:rsid w:val="003E0CEA"/>
    <w:rsid w:val="003E1BA1"/>
    <w:rsid w:val="003E3E0E"/>
    <w:rsid w:val="004410C6"/>
    <w:rsid w:val="004912D4"/>
    <w:rsid w:val="004A0ACF"/>
    <w:rsid w:val="00530A1E"/>
    <w:rsid w:val="00552DE5"/>
    <w:rsid w:val="005E3692"/>
    <w:rsid w:val="0060269F"/>
    <w:rsid w:val="00620939"/>
    <w:rsid w:val="00646863"/>
    <w:rsid w:val="00665031"/>
    <w:rsid w:val="00695160"/>
    <w:rsid w:val="0070394E"/>
    <w:rsid w:val="007878CE"/>
    <w:rsid w:val="007B2FC5"/>
    <w:rsid w:val="00871D9A"/>
    <w:rsid w:val="009A69FD"/>
    <w:rsid w:val="009B4D47"/>
    <w:rsid w:val="009C62C6"/>
    <w:rsid w:val="009E294F"/>
    <w:rsid w:val="009E4404"/>
    <w:rsid w:val="00A35EBE"/>
    <w:rsid w:val="00A40980"/>
    <w:rsid w:val="00A54451"/>
    <w:rsid w:val="00AC39FA"/>
    <w:rsid w:val="00B30D7F"/>
    <w:rsid w:val="00BA1781"/>
    <w:rsid w:val="00C16307"/>
    <w:rsid w:val="00CA1427"/>
    <w:rsid w:val="00D70387"/>
    <w:rsid w:val="00EE21A2"/>
    <w:rsid w:val="00F57BA4"/>
    <w:rsid w:val="00FA0F38"/>
    <w:rsid w:val="00FC0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05441E"/>
  <w15:chartTrackingRefBased/>
  <w15:docId w15:val="{7EEEAF16-820F-43E1-9D2D-8CB17049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BA1"/>
    <w:rPr>
      <w:rFonts w:ascii="Trebuchet MS" w:hAnsi="Trebuchet M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562"/>
    <w:pPr>
      <w:tabs>
        <w:tab w:val="center" w:pos="4513"/>
        <w:tab w:val="right" w:pos="9026"/>
      </w:tabs>
      <w:spacing w:after="0" w:line="240" w:lineRule="auto"/>
    </w:pPr>
    <w:rPr>
      <w:rFonts w:asciiTheme="minorHAnsi" w:hAnsiTheme="minorHAnsi"/>
      <w:sz w:val="22"/>
      <w:szCs w:val="22"/>
      <w:lang w:val="en-GB"/>
    </w:rPr>
  </w:style>
  <w:style w:type="character" w:customStyle="1" w:styleId="HeaderChar">
    <w:name w:val="Header Char"/>
    <w:basedOn w:val="DefaultParagraphFont"/>
    <w:link w:val="Header"/>
    <w:uiPriority w:val="99"/>
    <w:rsid w:val="000D4562"/>
  </w:style>
  <w:style w:type="paragraph" w:styleId="Footer">
    <w:name w:val="footer"/>
    <w:basedOn w:val="Normal"/>
    <w:link w:val="FooterChar"/>
    <w:uiPriority w:val="99"/>
    <w:unhideWhenUsed/>
    <w:rsid w:val="000D45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562"/>
  </w:style>
  <w:style w:type="table" w:styleId="TableGrid">
    <w:name w:val="Table Grid"/>
    <w:basedOn w:val="TableNormal"/>
    <w:uiPriority w:val="39"/>
    <w:rsid w:val="003E1BA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2FC5"/>
    <w:rPr>
      <w:color w:val="0563C1" w:themeColor="hyperlink"/>
      <w:u w:val="single"/>
    </w:rPr>
  </w:style>
  <w:style w:type="character" w:customStyle="1" w:styleId="UnresolvedMention">
    <w:name w:val="Unresolved Mention"/>
    <w:basedOn w:val="DefaultParagraphFont"/>
    <w:uiPriority w:val="99"/>
    <w:semiHidden/>
    <w:unhideWhenUsed/>
    <w:rsid w:val="00871D9A"/>
    <w:rPr>
      <w:color w:val="605E5C"/>
      <w:shd w:val="clear" w:color="auto" w:fill="E1DFDD"/>
    </w:rPr>
  </w:style>
  <w:style w:type="character" w:customStyle="1" w:styleId="do1">
    <w:name w:val="do1"/>
    <w:qFormat/>
    <w:rsid w:val="00665031"/>
    <w:rPr>
      <w:b/>
      <w:bCs/>
      <w:sz w:val="26"/>
      <w:szCs w:val="26"/>
    </w:rPr>
  </w:style>
  <w:style w:type="paragraph" w:styleId="ListParagraph">
    <w:name w:val="List Paragraph"/>
    <w:aliases w:val="Antes de enumeración,Header bold,body 2,lp1,Heading x1,Lista 1,lp11,Lettre d'introduction,1st level - Bullet List Paragraph,Paragrafo elenco,List Paragraph11,Normal bullet 2,Akapit z listą BS,List Paragraph1,Outlines a.b.c.,List_Paragraph"/>
    <w:basedOn w:val="Normal"/>
    <w:link w:val="ListParagraphChar"/>
    <w:uiPriority w:val="34"/>
    <w:qFormat/>
    <w:rsid w:val="00665031"/>
    <w:pPr>
      <w:spacing w:after="0" w:line="240" w:lineRule="auto"/>
      <w:ind w:left="720"/>
      <w:contextualSpacing/>
    </w:pPr>
    <w:rPr>
      <w:rFonts w:ascii="Times New Roman" w:eastAsia="Times New Roman" w:hAnsi="Times New Roman" w:cs="Times New Roman"/>
      <w:lang w:eastAsia="ro-RO"/>
    </w:rPr>
  </w:style>
  <w:style w:type="paragraph" w:styleId="NormalWeb">
    <w:name w:val="Normal (Web)"/>
    <w:basedOn w:val="Normal"/>
    <w:uiPriority w:val="99"/>
    <w:unhideWhenUsed/>
    <w:rsid w:val="0022587A"/>
    <w:pPr>
      <w:spacing w:before="100" w:beforeAutospacing="1" w:after="100" w:afterAutospacing="1" w:line="240" w:lineRule="auto"/>
    </w:pPr>
    <w:rPr>
      <w:rFonts w:ascii="Times New Roman" w:eastAsia="Times New Roman" w:hAnsi="Times New Roman" w:cs="Times New Roman"/>
      <w:lang w:val="en-US"/>
    </w:rPr>
  </w:style>
  <w:style w:type="paragraph" w:styleId="NoSpacing">
    <w:name w:val="No Spacing"/>
    <w:link w:val="NoSpacingChar"/>
    <w:uiPriority w:val="1"/>
    <w:qFormat/>
    <w:rsid w:val="003730A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NoSpacingChar">
    <w:name w:val="No Spacing Char"/>
    <w:basedOn w:val="DefaultParagraphFont"/>
    <w:link w:val="NoSpacing"/>
    <w:uiPriority w:val="1"/>
    <w:locked/>
    <w:rsid w:val="003730AB"/>
    <w:rPr>
      <w:rFonts w:ascii="Times New Roman" w:eastAsia="Arial Unicode MS" w:hAnsi="Times New Roman" w:cs="Times New Roman"/>
      <w:sz w:val="24"/>
      <w:szCs w:val="24"/>
      <w:bdr w:val="nil"/>
      <w:lang w:val="en-US"/>
    </w:rPr>
  </w:style>
  <w:style w:type="paragraph" w:styleId="FootnoteText">
    <w:name w:val="footnote text"/>
    <w:basedOn w:val="Normal"/>
    <w:link w:val="FootnoteTextChar"/>
    <w:uiPriority w:val="99"/>
    <w:semiHidden/>
    <w:rsid w:val="00A35EBE"/>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A35EBE"/>
    <w:rPr>
      <w:rFonts w:ascii="Calibri" w:eastAsia="Calibri" w:hAnsi="Calibri" w:cs="Times New Roman"/>
      <w:sz w:val="20"/>
      <w:szCs w:val="20"/>
      <w:lang w:val="en-US"/>
    </w:rPr>
  </w:style>
  <w:style w:type="character" w:styleId="FootnoteReference">
    <w:name w:val="footnote reference"/>
    <w:uiPriority w:val="99"/>
    <w:semiHidden/>
    <w:rsid w:val="00A35EBE"/>
    <w:rPr>
      <w:rFonts w:cs="Times New Roman"/>
      <w:vertAlign w:val="superscript"/>
    </w:rPr>
  </w:style>
  <w:style w:type="character" w:customStyle="1" w:styleId="ListParagraphChar">
    <w:name w:val="List Paragraph Char"/>
    <w:aliases w:val="Antes de enumeración Char,Header bold Char,body 2 Char,lp1 Char,Heading x1 Char,Lista 1 Char,lp11 Char,Lettre d'introduction Char,1st level - Bullet List Paragraph Char,Paragrafo elenco Char,List Paragraph11 Char,Normal bullet 2 Char"/>
    <w:link w:val="ListParagraph"/>
    <w:uiPriority w:val="34"/>
    <w:qFormat/>
    <w:locked/>
    <w:rsid w:val="00A35EBE"/>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69529">
      <w:bodyDiv w:val="1"/>
      <w:marLeft w:val="0"/>
      <w:marRight w:val="0"/>
      <w:marTop w:val="0"/>
      <w:marBottom w:val="0"/>
      <w:divBdr>
        <w:top w:val="none" w:sz="0" w:space="0" w:color="auto"/>
        <w:left w:val="none" w:sz="0" w:space="0" w:color="auto"/>
        <w:bottom w:val="none" w:sz="0" w:space="0" w:color="auto"/>
        <w:right w:val="none" w:sz="0" w:space="0" w:color="auto"/>
      </w:divBdr>
    </w:div>
    <w:div w:id="365983552">
      <w:bodyDiv w:val="1"/>
      <w:marLeft w:val="0"/>
      <w:marRight w:val="0"/>
      <w:marTop w:val="0"/>
      <w:marBottom w:val="0"/>
      <w:divBdr>
        <w:top w:val="none" w:sz="0" w:space="0" w:color="auto"/>
        <w:left w:val="none" w:sz="0" w:space="0" w:color="auto"/>
        <w:bottom w:val="none" w:sz="0" w:space="0" w:color="auto"/>
        <w:right w:val="none" w:sz="0" w:space="0" w:color="auto"/>
      </w:divBdr>
    </w:div>
    <w:div w:id="826169876">
      <w:bodyDiv w:val="1"/>
      <w:marLeft w:val="0"/>
      <w:marRight w:val="0"/>
      <w:marTop w:val="0"/>
      <w:marBottom w:val="0"/>
      <w:divBdr>
        <w:top w:val="none" w:sz="0" w:space="0" w:color="auto"/>
        <w:left w:val="none" w:sz="0" w:space="0" w:color="auto"/>
        <w:bottom w:val="none" w:sz="0" w:space="0" w:color="auto"/>
        <w:right w:val="none" w:sz="0" w:space="0" w:color="auto"/>
      </w:divBdr>
    </w:div>
    <w:div w:id="134008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municare@madr.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luca.panait\AppData\Local\Microsoft\Windows\INetCache\Content.Outlook\5U3YNUUC\TEMPLATE-adresa-interna-SPR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034C4-E410-4183-9ED8-1881314DE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TEMPLATE-adresa-interna-SPRP</Template>
  <TotalTime>0</TotalTime>
  <Pages>2</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Panait</dc:creator>
  <cp:keywords/>
  <dc:description/>
  <cp:lastModifiedBy>Alina Tone</cp:lastModifiedBy>
  <cp:revision>2</cp:revision>
  <dcterms:created xsi:type="dcterms:W3CDTF">2021-03-11T09:48:00Z</dcterms:created>
  <dcterms:modified xsi:type="dcterms:W3CDTF">2021-03-11T09:48:00Z</dcterms:modified>
</cp:coreProperties>
</file>