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679" w:rsidRPr="00E221B8" w:rsidRDefault="00D23BEA" w:rsidP="00E221B8">
      <w:pPr>
        <w:ind w:left="142" w:hanging="142"/>
        <w:jc w:val="center"/>
        <w:rPr>
          <w:b/>
        </w:rPr>
      </w:pPr>
      <w:r>
        <w:rPr>
          <w:b/>
        </w:rPr>
        <w:t>Centralizare observații</w:t>
      </w:r>
      <w:r w:rsidR="00101855" w:rsidRPr="00445A39">
        <w:rPr>
          <w:b/>
        </w:rPr>
        <w:t xml:space="preserve"> exprimate în cadrul procesului de consultare publică privind Ghidul Solicitantului aferent Acțiunii 1.1.1 Mari</w:t>
      </w:r>
      <w:r w:rsidR="000F0B3E">
        <w:rPr>
          <w:b/>
        </w:rPr>
        <w:t xml:space="preserve"> infrastructuri de CD, P</w:t>
      </w:r>
      <w:r w:rsidR="00445A39" w:rsidRPr="00445A39">
        <w:rPr>
          <w:b/>
        </w:rPr>
        <w:t xml:space="preserve">roiecte </w:t>
      </w:r>
      <w:r w:rsidR="00101855" w:rsidRPr="00445A39">
        <w:rPr>
          <w:b/>
        </w:rPr>
        <w:t xml:space="preserve">pentru clustere de </w:t>
      </w:r>
      <w:r w:rsidR="00445A39" w:rsidRPr="00445A39">
        <w:rPr>
          <w:b/>
        </w:rPr>
        <w:t>inovare</w:t>
      </w:r>
      <w:r w:rsidR="007E6F69">
        <w:rPr>
          <w:b/>
        </w:rPr>
        <w:t>, apel 3</w:t>
      </w:r>
    </w:p>
    <w:p w:rsidR="00631679" w:rsidRDefault="00631679"/>
    <w:tbl>
      <w:tblPr>
        <w:tblStyle w:val="TableGrid"/>
        <w:tblW w:w="14832" w:type="dxa"/>
        <w:tblLayout w:type="fixed"/>
        <w:tblLook w:val="04A0" w:firstRow="1" w:lastRow="0" w:firstColumn="1" w:lastColumn="0" w:noHBand="0" w:noVBand="1"/>
      </w:tblPr>
      <w:tblGrid>
        <w:gridCol w:w="546"/>
        <w:gridCol w:w="1292"/>
        <w:gridCol w:w="3355"/>
        <w:gridCol w:w="4536"/>
        <w:gridCol w:w="5103"/>
      </w:tblGrid>
      <w:tr w:rsidR="00F24D21" w:rsidTr="006F2E05">
        <w:tc>
          <w:tcPr>
            <w:tcW w:w="546" w:type="dxa"/>
            <w:shd w:val="clear" w:color="auto" w:fill="FFF2CC" w:themeFill="accent4" w:themeFillTint="33"/>
          </w:tcPr>
          <w:p w:rsidR="00F24D21" w:rsidRPr="00A83568" w:rsidRDefault="00F24D21" w:rsidP="00A83568">
            <w:pPr>
              <w:jc w:val="center"/>
              <w:rPr>
                <w:b/>
              </w:rPr>
            </w:pPr>
            <w:r w:rsidRPr="00A83568">
              <w:rPr>
                <w:b/>
              </w:rPr>
              <w:t>Nr. Crt.</w:t>
            </w:r>
          </w:p>
        </w:tc>
        <w:tc>
          <w:tcPr>
            <w:tcW w:w="1292" w:type="dxa"/>
            <w:shd w:val="clear" w:color="auto" w:fill="FFF2CC" w:themeFill="accent4" w:themeFillTint="33"/>
          </w:tcPr>
          <w:p w:rsidR="00F24D21" w:rsidRPr="00A83568" w:rsidRDefault="00F24D21" w:rsidP="00631679">
            <w:pPr>
              <w:ind w:right="-102"/>
              <w:jc w:val="center"/>
              <w:rPr>
                <w:b/>
              </w:rPr>
            </w:pPr>
            <w:r w:rsidRPr="00A83568">
              <w:rPr>
                <w:b/>
              </w:rPr>
              <w:t>Observaț</w:t>
            </w:r>
            <w:r w:rsidR="006F2E05">
              <w:rPr>
                <w:b/>
              </w:rPr>
              <w:t>ie/propunere/ întrebare primită</w:t>
            </w:r>
            <w:r w:rsidRPr="00A83568">
              <w:rPr>
                <w:b/>
              </w:rPr>
              <w:t xml:space="preserve"> de la</w:t>
            </w:r>
          </w:p>
        </w:tc>
        <w:tc>
          <w:tcPr>
            <w:tcW w:w="3355" w:type="dxa"/>
            <w:shd w:val="clear" w:color="auto" w:fill="FFF2CC" w:themeFill="accent4" w:themeFillTint="33"/>
          </w:tcPr>
          <w:p w:rsidR="00F24D21" w:rsidRPr="00A83568" w:rsidRDefault="0058367B" w:rsidP="00A83568">
            <w:pPr>
              <w:jc w:val="center"/>
              <w:rPr>
                <w:b/>
              </w:rPr>
            </w:pPr>
            <w:r>
              <w:rPr>
                <w:b/>
              </w:rPr>
              <w:t>Textul supus discuției</w:t>
            </w:r>
          </w:p>
        </w:tc>
        <w:tc>
          <w:tcPr>
            <w:tcW w:w="4536" w:type="dxa"/>
            <w:shd w:val="clear" w:color="auto" w:fill="FFF2CC" w:themeFill="accent4" w:themeFillTint="33"/>
          </w:tcPr>
          <w:p w:rsidR="00F24D21" w:rsidRPr="00A83568" w:rsidRDefault="00F24D21" w:rsidP="00A83568">
            <w:pPr>
              <w:jc w:val="center"/>
              <w:rPr>
                <w:b/>
              </w:rPr>
            </w:pPr>
            <w:r w:rsidRPr="00A83568">
              <w:rPr>
                <w:b/>
              </w:rPr>
              <w:t>Observație/propunere/ întrebare</w:t>
            </w:r>
          </w:p>
        </w:tc>
        <w:tc>
          <w:tcPr>
            <w:tcW w:w="5103" w:type="dxa"/>
            <w:shd w:val="clear" w:color="auto" w:fill="FFF2CC" w:themeFill="accent4" w:themeFillTint="33"/>
          </w:tcPr>
          <w:p w:rsidR="00F24D21" w:rsidRPr="00A83568" w:rsidRDefault="0058367B" w:rsidP="00A83568">
            <w:pPr>
              <w:jc w:val="center"/>
              <w:rPr>
                <w:b/>
              </w:rPr>
            </w:pPr>
            <w:r w:rsidRPr="00A83568">
              <w:rPr>
                <w:b/>
              </w:rPr>
              <w:t>Răspuns</w:t>
            </w:r>
          </w:p>
        </w:tc>
      </w:tr>
      <w:tr w:rsidR="00F24D21" w:rsidTr="006F2E05">
        <w:tc>
          <w:tcPr>
            <w:tcW w:w="546" w:type="dxa"/>
          </w:tcPr>
          <w:p w:rsidR="00F24D21" w:rsidRDefault="00F24D21" w:rsidP="00A83568">
            <w:pPr>
              <w:jc w:val="both"/>
              <w:rPr>
                <w:rFonts w:ascii="Calibri" w:hAnsi="Calibri" w:cs="Calibri"/>
                <w:color w:val="000000"/>
              </w:rPr>
            </w:pPr>
            <w:r>
              <w:rPr>
                <w:rFonts w:ascii="Calibri" w:hAnsi="Calibri" w:cs="Calibri"/>
                <w:color w:val="000000"/>
              </w:rPr>
              <w:t>1</w:t>
            </w:r>
          </w:p>
        </w:tc>
        <w:tc>
          <w:tcPr>
            <w:tcW w:w="1292" w:type="dxa"/>
          </w:tcPr>
          <w:p w:rsidR="00F24D21" w:rsidRDefault="00A03EA6" w:rsidP="00CE2976">
            <w:r>
              <w:t>Persoană fizică</w:t>
            </w:r>
            <w:r w:rsidR="00F24D21">
              <w:t xml:space="preserve"> </w:t>
            </w:r>
          </w:p>
          <w:p w:rsidR="00F24D21" w:rsidRPr="00A83568" w:rsidRDefault="00F24D21" w:rsidP="0078408F">
            <w:pPr>
              <w:ind w:left="-475" w:right="483" w:firstLine="399"/>
              <w:jc w:val="right"/>
              <w:rPr>
                <w:b/>
                <w:i/>
              </w:rPr>
            </w:pPr>
          </w:p>
        </w:tc>
        <w:tc>
          <w:tcPr>
            <w:tcW w:w="3355" w:type="dxa"/>
          </w:tcPr>
          <w:p w:rsidR="00F24D21" w:rsidRDefault="00F24D21" w:rsidP="00A83568">
            <w:pPr>
              <w:jc w:val="both"/>
            </w:pPr>
          </w:p>
        </w:tc>
        <w:tc>
          <w:tcPr>
            <w:tcW w:w="4536" w:type="dxa"/>
          </w:tcPr>
          <w:p w:rsidR="00F24D21" w:rsidRDefault="00F24D21" w:rsidP="00BE10D4">
            <w:pPr>
              <w:jc w:val="both"/>
            </w:pPr>
            <w:r>
              <w:t xml:space="preserve">Un </w:t>
            </w:r>
            <w:r w:rsidR="00540FE1">
              <w:t>cluster care are sediul social î</w:t>
            </w:r>
            <w:r>
              <w:t>n </w:t>
            </w:r>
            <w:r w:rsidR="00540FE1">
              <w:t>m</w:t>
            </w:r>
            <w:r>
              <w:t>un</w:t>
            </w:r>
            <w:r w:rsidR="00BE10D4">
              <w:t>icipiul București poate aplica î</w:t>
            </w:r>
            <w:r>
              <w:t>n cadrul acestui apel de proiecte pentru un p</w:t>
            </w:r>
            <w:r w:rsidR="00BE10D4">
              <w:t>unct de lucru care este situat î</w:t>
            </w:r>
            <w:r>
              <w:t xml:space="preserve">n regiunile </w:t>
            </w:r>
            <w:r w:rsidR="00BE10D4">
              <w:t>eligibile specificate î</w:t>
            </w:r>
            <w:r>
              <w:t>n ghid? </w:t>
            </w:r>
          </w:p>
        </w:tc>
        <w:tc>
          <w:tcPr>
            <w:tcW w:w="5103" w:type="dxa"/>
          </w:tcPr>
          <w:p w:rsidR="00A550F6" w:rsidRPr="005F5C5B" w:rsidRDefault="00A550F6" w:rsidP="00A823B2">
            <w:pPr>
              <w:jc w:val="both"/>
              <w:rPr>
                <w:b/>
              </w:rPr>
            </w:pPr>
            <w:r w:rsidRPr="005F5C5B">
              <w:rPr>
                <w:b/>
              </w:rPr>
              <w:t>Clarificat</w:t>
            </w:r>
          </w:p>
          <w:p w:rsidR="00F24D21" w:rsidRDefault="00AA1AA9" w:rsidP="00A823B2">
            <w:pPr>
              <w:jc w:val="both"/>
            </w:pPr>
            <w:r>
              <w:t>Da, cu condiția ca locația de implementare a proiectului (desfășurarea activităților) să fie în regiunile mai puțin dezvoltate.</w:t>
            </w:r>
            <w:r w:rsidR="00AC7A05">
              <w:t xml:space="preserve"> Beneficiarul va trece </w:t>
            </w:r>
            <w:r w:rsidR="002A7CD4">
              <w:t>atât</w:t>
            </w:r>
            <w:r w:rsidR="00AC7A05">
              <w:t xml:space="preserve"> adresa sediului social cu personalitate juridi</w:t>
            </w:r>
            <w:r w:rsidR="002A7CD4">
              <w:t>că</w:t>
            </w:r>
            <w:r w:rsidR="00AC7A05">
              <w:t xml:space="preserve"> c</w:t>
            </w:r>
            <w:r w:rsidR="002A7CD4">
              <w:t>ât ş</w:t>
            </w:r>
            <w:r w:rsidR="00AC7A05">
              <w:t>i adresa de implementare a proiectului.</w:t>
            </w:r>
            <w:r>
              <w:t xml:space="preserve"> În etapa de contractare a proiectului, aplicantul va trebui să depună </w:t>
            </w:r>
            <w:r w:rsidRPr="00DE78B2">
              <w:t xml:space="preserve">Ante-contract de vânzare/cumpărare pentru </w:t>
            </w:r>
            <w:r w:rsidR="002A7CD4" w:rsidRPr="00DE78B2">
              <w:t>clădirea</w:t>
            </w:r>
            <w:r w:rsidR="002A7CD4">
              <w:t xml:space="preserve"> în cauză, titlu de proprietate/</w:t>
            </w:r>
            <w:r w:rsidRPr="00DE78B2">
              <w:t>contract de vânzare-cumpărare pentru situaţia în care la depunere a fost anexat ante-contractul de vânzare-cumparare / contract de concesiune / contract de închiriere) (după caz)  (în cazul închirierii de la o persoană fizică, contractul să fie înregistrat la organele fiscale din subordinea Agenţiei Naţionale de Administrare fiscală).</w:t>
            </w:r>
          </w:p>
          <w:p w:rsidR="00832947" w:rsidRDefault="00832947" w:rsidP="00A823B2">
            <w:pPr>
              <w:jc w:val="both"/>
            </w:pPr>
          </w:p>
        </w:tc>
      </w:tr>
      <w:tr w:rsidR="004A201A" w:rsidTr="006F2E05">
        <w:tc>
          <w:tcPr>
            <w:tcW w:w="546" w:type="dxa"/>
            <w:vMerge w:val="restart"/>
          </w:tcPr>
          <w:p w:rsidR="004A201A" w:rsidRDefault="004A201A" w:rsidP="00A83568">
            <w:pPr>
              <w:jc w:val="both"/>
              <w:rPr>
                <w:rFonts w:ascii="Calibri" w:hAnsi="Calibri" w:cs="Calibri"/>
                <w:color w:val="000000"/>
              </w:rPr>
            </w:pPr>
            <w:r>
              <w:rPr>
                <w:rFonts w:ascii="Calibri" w:hAnsi="Calibri" w:cs="Calibri"/>
                <w:color w:val="000000"/>
              </w:rPr>
              <w:t>2</w:t>
            </w:r>
          </w:p>
        </w:tc>
        <w:tc>
          <w:tcPr>
            <w:tcW w:w="1292" w:type="dxa"/>
            <w:vMerge w:val="restart"/>
          </w:tcPr>
          <w:p w:rsidR="004A201A" w:rsidRDefault="00A03EA6" w:rsidP="00CE2976">
            <w:r>
              <w:t>Persoană fizică</w:t>
            </w:r>
            <w:r w:rsidR="004A201A">
              <w:t xml:space="preserve"> </w:t>
            </w:r>
          </w:p>
        </w:tc>
        <w:tc>
          <w:tcPr>
            <w:tcW w:w="3355" w:type="dxa"/>
            <w:vMerge w:val="restart"/>
          </w:tcPr>
          <w:p w:rsidR="004A201A" w:rsidRDefault="004A201A" w:rsidP="00A83568">
            <w:pPr>
              <w:jc w:val="both"/>
            </w:pPr>
          </w:p>
        </w:tc>
        <w:tc>
          <w:tcPr>
            <w:tcW w:w="4536" w:type="dxa"/>
          </w:tcPr>
          <w:p w:rsidR="004A201A" w:rsidRDefault="004A201A" w:rsidP="00FF64BF">
            <w:pPr>
              <w:jc w:val="both"/>
            </w:pPr>
            <w:r>
              <w:t>Revizuirea neconcordantelor privind solicitarea Situațiilor</w:t>
            </w:r>
            <w:r w:rsidR="00FF64BF">
              <w:t xml:space="preserve"> financiare ( </w:t>
            </w:r>
            <w:r>
              <w:t>Pag. 28 - Situații financi</w:t>
            </w:r>
            <w:r w:rsidR="00BE10D4">
              <w:t>are oficiale pe ultimii 3 ani…</w:t>
            </w:r>
            <w:r>
              <w:t>, Pag. 97 – Observații – Situații financi</w:t>
            </w:r>
            <w:r w:rsidR="00BE10D4">
              <w:t>are oficiale pe ultimii 2 ani …</w:t>
            </w:r>
            <w:r>
              <w:t>, Pag. 98, Criterii – Situații financiare oficiale pe ultimii 3 ani…..).</w:t>
            </w:r>
          </w:p>
        </w:tc>
        <w:tc>
          <w:tcPr>
            <w:tcW w:w="5103" w:type="dxa"/>
          </w:tcPr>
          <w:p w:rsidR="008F43C9" w:rsidRPr="005F5C5B" w:rsidRDefault="005F5C5B" w:rsidP="005F5C5B">
            <w:pPr>
              <w:jc w:val="both"/>
              <w:rPr>
                <w:b/>
              </w:rPr>
            </w:pPr>
            <w:r>
              <w:rPr>
                <w:b/>
              </w:rPr>
              <w:t>Admis şi c</w:t>
            </w:r>
            <w:r w:rsidRPr="005F5C5B">
              <w:rPr>
                <w:b/>
              </w:rPr>
              <w:t>larificat</w:t>
            </w:r>
          </w:p>
          <w:p w:rsidR="009B7AEB" w:rsidRDefault="008F43C9" w:rsidP="009B7AEB">
            <w:r>
              <w:t>Se va detalia pentru cele 3 tipuri de clustere:</w:t>
            </w:r>
          </w:p>
          <w:p w:rsidR="008F43C9" w:rsidRDefault="008F43C9" w:rsidP="008F43C9">
            <w:pPr>
              <w:pStyle w:val="ListParagraph"/>
              <w:numPr>
                <w:ilvl w:val="0"/>
                <w:numId w:val="4"/>
              </w:numPr>
              <w:spacing w:after="0" w:line="240" w:lineRule="auto"/>
              <w:rPr>
                <w:rFonts w:asciiTheme="minorHAnsi" w:eastAsiaTheme="minorHAnsi" w:hAnsiTheme="minorHAnsi" w:cstheme="minorBidi"/>
                <w:sz w:val="22"/>
                <w:szCs w:val="22"/>
              </w:rPr>
            </w:pPr>
            <w:r w:rsidRPr="008F43C9">
              <w:rPr>
                <w:rFonts w:asciiTheme="minorHAnsi" w:eastAsiaTheme="minorHAnsi" w:hAnsiTheme="minorHAnsi" w:cstheme="minorBidi"/>
                <w:sz w:val="22"/>
                <w:szCs w:val="22"/>
              </w:rPr>
              <w:t xml:space="preserve">Clustere nou înființare </w:t>
            </w:r>
            <w:r>
              <w:rPr>
                <w:rFonts w:asciiTheme="minorHAnsi" w:eastAsiaTheme="minorHAnsi" w:hAnsiTheme="minorHAnsi" w:cstheme="minorBidi"/>
                <w:sz w:val="22"/>
                <w:szCs w:val="22"/>
              </w:rPr>
              <w:t>(nu este cazul de depunere a s</w:t>
            </w:r>
            <w:r w:rsidRPr="008F43C9">
              <w:rPr>
                <w:rFonts w:asciiTheme="minorHAnsi" w:eastAsiaTheme="minorHAnsi" w:hAnsiTheme="minorHAnsi" w:cstheme="minorBidi"/>
                <w:sz w:val="22"/>
                <w:szCs w:val="22"/>
              </w:rPr>
              <w:t>ituațiilor financiare oficiale</w:t>
            </w:r>
            <w:r>
              <w:rPr>
                <w:rFonts w:asciiTheme="minorHAnsi" w:eastAsiaTheme="minorHAnsi" w:hAnsiTheme="minorHAnsi" w:cstheme="minorBidi"/>
                <w:sz w:val="22"/>
                <w:szCs w:val="22"/>
              </w:rPr>
              <w:t>)</w:t>
            </w:r>
          </w:p>
          <w:p w:rsidR="008F43C9" w:rsidRDefault="008F43C9" w:rsidP="008F43C9">
            <w:pPr>
              <w:pStyle w:val="ListParagraph"/>
              <w:numPr>
                <w:ilvl w:val="0"/>
                <w:numId w:val="4"/>
              </w:numPr>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Clustere cu vechime mai mica de 2 ani (</w:t>
            </w:r>
            <w:r w:rsidRPr="008F43C9">
              <w:rPr>
                <w:rFonts w:asciiTheme="minorHAnsi" w:eastAsiaTheme="minorHAnsi" w:hAnsiTheme="minorHAnsi" w:cstheme="minorBidi"/>
                <w:sz w:val="22"/>
                <w:szCs w:val="22"/>
              </w:rPr>
              <w:t>Situații financiare oficiale pe ulti</w:t>
            </w:r>
            <w:r>
              <w:rPr>
                <w:rFonts w:asciiTheme="minorHAnsi" w:eastAsiaTheme="minorHAnsi" w:hAnsiTheme="minorHAnsi" w:cstheme="minorBidi"/>
                <w:sz w:val="22"/>
                <w:szCs w:val="22"/>
              </w:rPr>
              <w:t>mul an)</w:t>
            </w:r>
          </w:p>
          <w:p w:rsidR="008F43C9" w:rsidRPr="008F43C9" w:rsidRDefault="008F43C9" w:rsidP="008F43C9">
            <w:pPr>
              <w:pStyle w:val="ListParagraph"/>
              <w:numPr>
                <w:ilvl w:val="0"/>
                <w:numId w:val="4"/>
              </w:numPr>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Clustere cu vechime mai mare de 2 ani (</w:t>
            </w:r>
            <w:r w:rsidRPr="008F43C9">
              <w:rPr>
                <w:rFonts w:asciiTheme="minorHAnsi" w:eastAsiaTheme="minorHAnsi" w:hAnsiTheme="minorHAnsi" w:cstheme="minorBidi"/>
                <w:sz w:val="22"/>
                <w:szCs w:val="22"/>
              </w:rPr>
              <w:t>Situații financiare oficiale pe ultimii</w:t>
            </w:r>
            <w:r>
              <w:rPr>
                <w:rFonts w:asciiTheme="minorHAnsi" w:eastAsiaTheme="minorHAnsi" w:hAnsiTheme="minorHAnsi" w:cstheme="minorBidi"/>
                <w:sz w:val="22"/>
                <w:szCs w:val="22"/>
              </w:rPr>
              <w:t xml:space="preserve"> 2 ani)</w:t>
            </w:r>
          </w:p>
          <w:p w:rsidR="004A201A" w:rsidRPr="009B7AEB" w:rsidRDefault="009B7AEB" w:rsidP="009B7AEB">
            <w:pPr>
              <w:tabs>
                <w:tab w:val="left" w:pos="1155"/>
              </w:tabs>
            </w:pPr>
            <w:r>
              <w:tab/>
            </w:r>
          </w:p>
        </w:tc>
      </w:tr>
      <w:tr w:rsidR="00AB62AE" w:rsidTr="006F2E05">
        <w:tc>
          <w:tcPr>
            <w:tcW w:w="546" w:type="dxa"/>
            <w:vMerge/>
          </w:tcPr>
          <w:p w:rsidR="00AB62AE" w:rsidRDefault="00AB62AE" w:rsidP="00A83568">
            <w:pPr>
              <w:jc w:val="both"/>
              <w:rPr>
                <w:rFonts w:ascii="Calibri" w:hAnsi="Calibri" w:cs="Calibri"/>
                <w:color w:val="000000"/>
              </w:rPr>
            </w:pPr>
          </w:p>
        </w:tc>
        <w:tc>
          <w:tcPr>
            <w:tcW w:w="1292" w:type="dxa"/>
            <w:vMerge/>
          </w:tcPr>
          <w:p w:rsidR="00AB62AE" w:rsidRDefault="00AB62AE" w:rsidP="00CE2976"/>
        </w:tc>
        <w:tc>
          <w:tcPr>
            <w:tcW w:w="3355" w:type="dxa"/>
            <w:vMerge/>
          </w:tcPr>
          <w:p w:rsidR="00AB62AE" w:rsidRDefault="00AB62AE" w:rsidP="00A83568">
            <w:pPr>
              <w:jc w:val="both"/>
            </w:pPr>
          </w:p>
        </w:tc>
        <w:tc>
          <w:tcPr>
            <w:tcW w:w="4536" w:type="dxa"/>
          </w:tcPr>
          <w:p w:rsidR="00AB62AE" w:rsidRDefault="00AB62AE" w:rsidP="00A92BCC">
            <w:pPr>
              <w:jc w:val="both"/>
            </w:pPr>
            <w:r>
              <w:t xml:space="preserve">De asemenea, vă rugăm să aveți în vedere propunerea noastră de a solicita </w:t>
            </w:r>
            <w:r w:rsidRPr="00A92BCC">
              <w:t xml:space="preserve">o vechime de cel puțin 1 an a organizației clusterului </w:t>
            </w:r>
            <w:r>
              <w:t>astfel încât să existe posibilitatea de accesare și de către clustere mai nou înființate.</w:t>
            </w:r>
          </w:p>
        </w:tc>
        <w:tc>
          <w:tcPr>
            <w:tcW w:w="5103" w:type="dxa"/>
          </w:tcPr>
          <w:p w:rsidR="008F43C9" w:rsidRDefault="008F43C9" w:rsidP="008F43C9"/>
          <w:p w:rsidR="00AB62AE" w:rsidRPr="008F43C9" w:rsidRDefault="008F43C9" w:rsidP="008F43C9">
            <w:r>
              <w:t xml:space="preserve">A se vedea </w:t>
            </w:r>
            <w:r w:rsidR="00ED7EB3">
              <w:t>răspunsul</w:t>
            </w:r>
            <w:r>
              <w:t xml:space="preserve"> de mai sus</w:t>
            </w:r>
            <w:r w:rsidR="00ED7EB3">
              <w:t>.</w:t>
            </w:r>
          </w:p>
        </w:tc>
      </w:tr>
      <w:tr w:rsidR="004A201A" w:rsidTr="006F2E05">
        <w:tc>
          <w:tcPr>
            <w:tcW w:w="546" w:type="dxa"/>
            <w:vMerge/>
          </w:tcPr>
          <w:p w:rsidR="004A201A" w:rsidRDefault="004A201A" w:rsidP="00A83568">
            <w:pPr>
              <w:jc w:val="both"/>
              <w:rPr>
                <w:rFonts w:ascii="Calibri" w:hAnsi="Calibri" w:cs="Calibri"/>
                <w:color w:val="000000"/>
              </w:rPr>
            </w:pPr>
          </w:p>
        </w:tc>
        <w:tc>
          <w:tcPr>
            <w:tcW w:w="1292" w:type="dxa"/>
            <w:vMerge/>
          </w:tcPr>
          <w:p w:rsidR="004A201A" w:rsidRPr="004A201A" w:rsidRDefault="004A201A" w:rsidP="004A201A"/>
        </w:tc>
        <w:tc>
          <w:tcPr>
            <w:tcW w:w="3355" w:type="dxa"/>
            <w:vMerge/>
          </w:tcPr>
          <w:p w:rsidR="004A201A" w:rsidRDefault="004A201A" w:rsidP="00A83568">
            <w:pPr>
              <w:jc w:val="both"/>
            </w:pPr>
          </w:p>
        </w:tc>
        <w:tc>
          <w:tcPr>
            <w:tcW w:w="4536" w:type="dxa"/>
          </w:tcPr>
          <w:p w:rsidR="004A201A" w:rsidRDefault="004A201A" w:rsidP="00A92BCC">
            <w:pPr>
              <w:jc w:val="both"/>
            </w:pPr>
            <w:r>
              <w:t>Conform</w:t>
            </w:r>
            <w:r w:rsidR="00EC1B1E">
              <w:t xml:space="preserve"> regulamentului, î</w:t>
            </w:r>
            <w:r>
              <w:t xml:space="preserve">n </w:t>
            </w:r>
            <w:r w:rsidR="00EC1B1E">
              <w:t>definiția</w:t>
            </w:r>
            <w:r>
              <w:t xml:space="preserve"> clusterului de inovare nu se impune un </w:t>
            </w:r>
            <w:r w:rsidR="00EC1B1E">
              <w:t>număr</w:t>
            </w:r>
            <w:r>
              <w:t xml:space="preserve"> de </w:t>
            </w:r>
            <w:r w:rsidR="00EC1B1E">
              <w:t>părți</w:t>
            </w:r>
            <w:r w:rsidR="0085614C">
              <w:t xml:space="preserve"> independente. </w:t>
            </w:r>
            <w:r w:rsidR="00EC1B1E">
              <w:t>Având î</w:t>
            </w:r>
            <w:r>
              <w:t xml:space="preserve">n vedere </w:t>
            </w:r>
            <w:r w:rsidR="00EC1B1E">
              <w:t>afirmația</w:t>
            </w:r>
            <w:r>
              <w:t>  “Solicitanți/Beneficiari eligibili în cadrul acestei competiții sunt entitățile juridice care administrează structuri de tip cluster inovativ (organizația clust</w:t>
            </w:r>
            <w:r w:rsidR="00EA6E08">
              <w:t>erului)</w:t>
            </w:r>
            <w:r>
              <w:t>. Organizația clusterului va conține cel puțin 10 părți independente organizate ca societăți comerciale, care se încadrează în categoria IM</w:t>
            </w:r>
            <w:r w:rsidR="00AB62AE">
              <w:t>M-urilor conform Legii 346/2004</w:t>
            </w:r>
            <w:r>
              <w:t xml:space="preserve">, și cel puțin o parte independentă de tip </w:t>
            </w:r>
            <w:r w:rsidR="00086E51">
              <w:t>organizație</w:t>
            </w:r>
            <w:r>
              <w:t xml:space="preserve"> de cercetare  (univers</w:t>
            </w:r>
            <w:r w:rsidR="00AB62AE">
              <w:t>itate sau institut CD)”, vă rugăm să</w:t>
            </w:r>
            <w:r>
              <w:t xml:space="preserve"> </w:t>
            </w:r>
            <w:r w:rsidR="00086E51">
              <w:t>clarificați</w:t>
            </w:r>
            <w:r w:rsidR="00AB62AE">
              <w:t xml:space="preserve"> de ce clusterul trebuie să</w:t>
            </w:r>
            <w:r>
              <w:t xml:space="preserve"> </w:t>
            </w:r>
            <w:r w:rsidR="00086E51">
              <w:t>conțină</w:t>
            </w:r>
            <w:r>
              <w:t xml:space="preserve"> cel </w:t>
            </w:r>
            <w:r w:rsidR="00086E51">
              <w:t>puțin</w:t>
            </w:r>
            <w:r>
              <w:t xml:space="preserve"> 10 </w:t>
            </w:r>
            <w:r w:rsidR="00086E51">
              <w:t>părți</w:t>
            </w:r>
            <w:r>
              <w:t xml:space="preserve"> independente.</w:t>
            </w:r>
          </w:p>
        </w:tc>
        <w:tc>
          <w:tcPr>
            <w:tcW w:w="5103" w:type="dxa"/>
          </w:tcPr>
          <w:p w:rsidR="00CE2CB8" w:rsidRPr="005F5C5B" w:rsidRDefault="00CE2CB8" w:rsidP="00CE2CB8">
            <w:pPr>
              <w:jc w:val="both"/>
              <w:rPr>
                <w:b/>
              </w:rPr>
            </w:pPr>
            <w:r w:rsidRPr="005F5C5B">
              <w:rPr>
                <w:b/>
              </w:rPr>
              <w:t>Clarificat</w:t>
            </w:r>
          </w:p>
          <w:p w:rsidR="008F43C9" w:rsidRDefault="008F43C9" w:rsidP="009B7AEB">
            <w:pPr>
              <w:jc w:val="both"/>
            </w:pPr>
            <w:r>
              <w:t>Conform apelurilor an</w:t>
            </w:r>
            <w:r w:rsidR="002A7CD4">
              <w:t>terioare pentru a asigura coerenţa</w:t>
            </w:r>
            <w:r>
              <w:t xml:space="preserve"> interventiilor pe acelasi tip de apel</w:t>
            </w:r>
            <w:r w:rsidR="00A550F6">
              <w:t>.</w:t>
            </w:r>
          </w:p>
          <w:p w:rsidR="008F43C9" w:rsidRDefault="008F43C9" w:rsidP="009B7AEB">
            <w:pPr>
              <w:jc w:val="both"/>
            </w:pPr>
          </w:p>
          <w:p w:rsidR="0086589C" w:rsidRPr="0086589C" w:rsidRDefault="0086589C" w:rsidP="0086589C">
            <w:pPr>
              <w:jc w:val="both"/>
            </w:pPr>
            <w:r>
              <w:t xml:space="preserve">De asemenea, </w:t>
            </w:r>
            <w:r w:rsidRPr="0086589C">
              <w:t>Acțiunea 1.1.1 Mari infrastructuri de cercetare are ca scop valorificarea potențialului clusterelor existente/emergente prin conectarea instituțiilor publice CD/universităților care sunt sprijinite prin investiții, în vederea utilizării de către mediul economic a rezultatelor CD.</w:t>
            </w:r>
          </w:p>
          <w:p w:rsidR="0086589C" w:rsidRPr="0086589C" w:rsidRDefault="0086589C" w:rsidP="0086589C">
            <w:pPr>
              <w:jc w:val="both"/>
            </w:pPr>
          </w:p>
          <w:p w:rsidR="0086589C" w:rsidRPr="0086589C" w:rsidRDefault="0086589C" w:rsidP="0086589C">
            <w:pPr>
              <w:jc w:val="both"/>
            </w:pPr>
            <w:r w:rsidRPr="0086589C">
              <w:t xml:space="preserve">Astfel, numărul minim de 10 IMM-uri din cadrul organizației clusterului reprezintă o măsură prin care autoritatea finanțatoare se asigură că atât organizația clusterului are capacitatea de implementare adecvată pentru acest tip de proiecte, cât și că investiția va aduce beneficii directe unui număr cât mai mare de întreprinderi. </w:t>
            </w:r>
          </w:p>
          <w:p w:rsidR="0086589C" w:rsidRPr="0086589C" w:rsidRDefault="0086589C" w:rsidP="0086589C">
            <w:pPr>
              <w:jc w:val="both"/>
            </w:pPr>
          </w:p>
          <w:p w:rsidR="0086589C" w:rsidRPr="0086589C" w:rsidRDefault="0086589C" w:rsidP="0086589C">
            <w:pPr>
              <w:jc w:val="both"/>
            </w:pPr>
            <w:r w:rsidRPr="0086589C">
              <w:t xml:space="preserve">Prevederea din ghid rămâne neschimbată. </w:t>
            </w:r>
          </w:p>
          <w:p w:rsidR="004A201A" w:rsidRDefault="004A201A" w:rsidP="002A7CD4">
            <w:pPr>
              <w:jc w:val="both"/>
            </w:pPr>
          </w:p>
        </w:tc>
      </w:tr>
      <w:tr w:rsidR="0022353F" w:rsidTr="006F2E05">
        <w:tc>
          <w:tcPr>
            <w:tcW w:w="546" w:type="dxa"/>
          </w:tcPr>
          <w:p w:rsidR="0022353F" w:rsidRDefault="006B0C4C" w:rsidP="00A83568">
            <w:pPr>
              <w:jc w:val="both"/>
              <w:rPr>
                <w:rFonts w:ascii="Calibri" w:hAnsi="Calibri" w:cs="Calibri"/>
                <w:color w:val="000000"/>
              </w:rPr>
            </w:pPr>
            <w:r>
              <w:rPr>
                <w:rFonts w:ascii="Calibri" w:hAnsi="Calibri" w:cs="Calibri"/>
                <w:color w:val="000000"/>
              </w:rPr>
              <w:t>3</w:t>
            </w:r>
          </w:p>
        </w:tc>
        <w:tc>
          <w:tcPr>
            <w:tcW w:w="1292" w:type="dxa"/>
          </w:tcPr>
          <w:p w:rsidR="0022353F" w:rsidRPr="004A201A" w:rsidRDefault="00D313A1" w:rsidP="004A201A">
            <w:r>
              <w:t>Persoană fizică</w:t>
            </w:r>
          </w:p>
        </w:tc>
        <w:tc>
          <w:tcPr>
            <w:tcW w:w="3355" w:type="dxa"/>
          </w:tcPr>
          <w:p w:rsidR="0022353F" w:rsidRDefault="0022353F" w:rsidP="00A83568">
            <w:pPr>
              <w:jc w:val="both"/>
            </w:pPr>
          </w:p>
        </w:tc>
        <w:tc>
          <w:tcPr>
            <w:tcW w:w="4536" w:type="dxa"/>
          </w:tcPr>
          <w:p w:rsidR="0022353F" w:rsidRDefault="0022353F" w:rsidP="00D313A1">
            <w:pPr>
              <w:jc w:val="both"/>
            </w:pPr>
            <w:r>
              <w:t xml:space="preserve">Limitarea prevăzută la punctul 1.4 Tipuri de solicitanți referitoare la eligibilitatea exclusiv a clusterelor cu cel puțin 10 părți este surprinzătoare, chiar discriminatorie. Atât timp cât principalele tipuri de unități (universități, INCD-uri, agenți economici) se regăsesc in structura clusterului putem considera că acesta </w:t>
            </w:r>
            <w:r>
              <w:lastRenderedPageBreak/>
              <w:t>dovedește adresabilitatea necesară și îndeplinește rolul propus de către clustere. </w:t>
            </w:r>
          </w:p>
          <w:p w:rsidR="0022353F" w:rsidRDefault="0022353F" w:rsidP="00ED6977">
            <w:pPr>
              <w:jc w:val="both"/>
            </w:pPr>
            <w:r>
              <w:t>Propun eliminarea acestei limitări, sau înlocuirea cu o condiție care să nu limiteze înscrierea clusterelor care pot întruni</w:t>
            </w:r>
            <w:r w:rsidR="00ED6977">
              <w:t xml:space="preserve"> competenț</w:t>
            </w:r>
            <w:r>
              <w:t>ele necesare și cu mai puține părți</w:t>
            </w:r>
            <w:r w:rsidR="00ED6977">
              <w:t>. În ultimă</w:t>
            </w:r>
            <w:r>
              <w:t xml:space="preserve"> instanță</w:t>
            </w:r>
            <w:r w:rsidR="00ED6977">
              <w:t>, o limită</w:t>
            </w:r>
            <w:r>
              <w:t xml:space="preserve"> de 5 părți</w:t>
            </w:r>
            <w:r w:rsidR="00ED6977">
              <w:t xml:space="preserve"> - de exemplu-</w:t>
            </w:r>
            <w:r>
              <w:t>ar putea s</w:t>
            </w:r>
            <w:r w:rsidR="00ED6977">
              <w:t>ă</w:t>
            </w:r>
            <w:r>
              <w:t xml:space="preserve"> nu fie discriminatorie.</w:t>
            </w:r>
          </w:p>
        </w:tc>
        <w:tc>
          <w:tcPr>
            <w:tcW w:w="5103" w:type="dxa"/>
          </w:tcPr>
          <w:p w:rsidR="009E66D5" w:rsidRPr="009E66D5" w:rsidRDefault="009E66D5" w:rsidP="009B7AEB">
            <w:pPr>
              <w:jc w:val="both"/>
              <w:rPr>
                <w:b/>
              </w:rPr>
            </w:pPr>
            <w:r w:rsidRPr="009E66D5">
              <w:rPr>
                <w:b/>
              </w:rPr>
              <w:lastRenderedPageBreak/>
              <w:t>Respins</w:t>
            </w:r>
          </w:p>
          <w:p w:rsidR="0022353F" w:rsidRDefault="009B7AEB" w:rsidP="009B7AEB">
            <w:pPr>
              <w:jc w:val="both"/>
            </w:pPr>
            <w:r>
              <w:t xml:space="preserve"> </w:t>
            </w:r>
            <w:r w:rsidR="00ED7EB3">
              <w:t>A se vedea răspunsul de mai sus</w:t>
            </w:r>
            <w:r w:rsidR="00ED7EB3">
              <w:t>.</w:t>
            </w:r>
          </w:p>
        </w:tc>
      </w:tr>
      <w:tr w:rsidR="001157CF" w:rsidTr="006F2E05">
        <w:tc>
          <w:tcPr>
            <w:tcW w:w="546" w:type="dxa"/>
            <w:vMerge w:val="restart"/>
          </w:tcPr>
          <w:p w:rsidR="001157CF" w:rsidRDefault="001157CF" w:rsidP="00A83568">
            <w:pPr>
              <w:jc w:val="both"/>
              <w:rPr>
                <w:rFonts w:ascii="Calibri" w:hAnsi="Calibri" w:cs="Calibri"/>
                <w:color w:val="000000"/>
              </w:rPr>
            </w:pPr>
            <w:r>
              <w:rPr>
                <w:rFonts w:ascii="Calibri" w:hAnsi="Calibri" w:cs="Calibri"/>
                <w:color w:val="000000"/>
              </w:rPr>
              <w:lastRenderedPageBreak/>
              <w:t>4</w:t>
            </w:r>
          </w:p>
        </w:tc>
        <w:tc>
          <w:tcPr>
            <w:tcW w:w="1292" w:type="dxa"/>
            <w:vMerge w:val="restart"/>
          </w:tcPr>
          <w:p w:rsidR="001157CF" w:rsidRDefault="001157CF" w:rsidP="004A201A">
            <w:r>
              <w:t>ADI ITI</w:t>
            </w:r>
          </w:p>
        </w:tc>
        <w:tc>
          <w:tcPr>
            <w:tcW w:w="3355" w:type="dxa"/>
          </w:tcPr>
          <w:p w:rsidR="001157CF" w:rsidRDefault="001157CF" w:rsidP="00A83568">
            <w:pPr>
              <w:jc w:val="both"/>
            </w:pPr>
          </w:p>
        </w:tc>
        <w:tc>
          <w:tcPr>
            <w:tcW w:w="4536" w:type="dxa"/>
          </w:tcPr>
          <w:p w:rsidR="001157CF" w:rsidRDefault="00D77876" w:rsidP="00D77876">
            <w:pPr>
              <w:jc w:val="both"/>
            </w:pPr>
            <w:r>
              <w:t>I</w:t>
            </w:r>
            <w:r w:rsidR="001157CF">
              <w:t>ntroducerea la CAPITOLUL 10 ANEXE, respectiv 10.1 Lista de anexe necesare la depunerea propunerilor de proiecte/ înregistrarea în MySmis, pentru proiectele care se vor implementa în teritoriul ITI să se solicite AVIZUL DE CONFORMITATE cu SIDD DD eliberat de experții ADI ITI DD, având în vedere că în cadrul Programului Operațional Competitivitate 2014-2020 există alocare financiară indicativă dedicată zonei de Investiții Teritoriale Integrate Delta Dunării.</w:t>
            </w:r>
          </w:p>
          <w:p w:rsidR="001157CF" w:rsidRPr="00D77876" w:rsidRDefault="001157CF" w:rsidP="00D77876">
            <w:pPr>
              <w:jc w:val="both"/>
            </w:pPr>
            <w:r w:rsidRPr="00DF6B3C">
              <w:t xml:space="preserve">În cadrul prezentului apel se pot depune și </w:t>
            </w:r>
            <w:r w:rsidRPr="00974636">
              <w:rPr>
                <w:i/>
              </w:rPr>
              <w:t>"proiecte pentru investițiile localizate pe teritoriul acoperit de instrumentul Investiții Teritoriale Integrate (ITI) Delta Dunării. Zona Investiției Teritoriale Integrate Delta Dunării reprezintă arealul format din 38 de unități administrativ-teritoriale din cadrul Rezervației Biosfera Delta Dunării, Județul Tulcea și nordul Județului Constanța, în zonele identificate ca prioritare în cadrul Strategiei Integrate de Dezvoltare Durabilă a Deltei Dunării (aprobat prin HG nr. 602/2016), după cum urmează:</w:t>
            </w:r>
          </w:p>
          <w:p w:rsidR="001157CF" w:rsidRDefault="001157CF" w:rsidP="00830BF4">
            <w:pPr>
              <w:spacing w:before="4" w:line="252" w:lineRule="exact"/>
              <w:ind w:right="537"/>
              <w:jc w:val="both"/>
            </w:pPr>
          </w:p>
          <w:p w:rsidR="001157CF" w:rsidRPr="001935E8" w:rsidRDefault="001157CF" w:rsidP="00974636">
            <w:pPr>
              <w:jc w:val="both"/>
              <w:rPr>
                <w:i/>
              </w:rPr>
            </w:pPr>
            <w:r w:rsidRPr="001935E8">
              <w:rPr>
                <w:i/>
              </w:rPr>
              <w:lastRenderedPageBreak/>
              <w:t>a. „centrul Deltei, care cuprinde unitățile administrativ-teritoriale al căror teritoriu se afla integral în Rezervația Biosferei Delta Dunării, respectiv comunele Ceatalchioi, Pardina, Chilia Veche, C.A. Rosetti, Maliuc, Sfântu Gheorghe, orașul Sulina. Teritoriul acestor unități administrativ- teritoriale se afla integral sau preponderent în Delta Dunării propriu-zisa, între brațul Dunării;</w:t>
            </w:r>
          </w:p>
          <w:p w:rsidR="001157CF" w:rsidRPr="001935E8" w:rsidRDefault="001157CF" w:rsidP="00974636">
            <w:pPr>
              <w:jc w:val="both"/>
              <w:rPr>
                <w:i/>
              </w:rPr>
            </w:pPr>
            <w:r w:rsidRPr="001935E8">
              <w:rPr>
                <w:i/>
              </w:rPr>
              <w:t>b. unități administrativ-teritoriale aflate parțial pe teritoriul Rezervației Biosferei Delta Dunării: municipiul Tulcea, orașul Isaccea, orașul Babadag comunele Murighiol, Mahmudia, Beștepe, Nufăru, Somova, Niculițel, Luncavița, Grindu, Valea Nucarilor, Sarichioi, Jurilovca, Ceamurlia de Jos, Mihai Bravu, Baia (județul Tulcea) și Mihai Viteazu, Istria, Săcele și Corbu (Județul Constanta);</w:t>
            </w:r>
          </w:p>
          <w:p w:rsidR="001157CF" w:rsidRPr="0041104A" w:rsidRDefault="001157CF" w:rsidP="0041104A">
            <w:pPr>
              <w:jc w:val="both"/>
              <w:rPr>
                <w:i/>
              </w:rPr>
            </w:pPr>
            <w:r w:rsidRPr="007A6EC7">
              <w:rPr>
                <w:i/>
              </w:rPr>
              <w:t>c. unități administrativ-teritoriale aflate în vecinătatea teritoriului Rezervației Biosferei Delta Dunării, incluse pentru a asigura coeziunea teritoriala  și  coerența unor intervenții strategice: orașul Măcin și comunele LC. Brătianu, Smârdan, Jijila, Văcăreni, Greci, Frecatei, Mihail Kogălniceanu, Slava Cercheză" - extras din Strategia Integrată de Dezvoltare Durabilă a Deltei Dunării, cap. I. Contextul elaborării Strategiei, subcapitolul I.1 Contextul.</w:t>
            </w:r>
          </w:p>
        </w:tc>
        <w:tc>
          <w:tcPr>
            <w:tcW w:w="5103" w:type="dxa"/>
          </w:tcPr>
          <w:p w:rsidR="009E66D5" w:rsidRPr="00935274" w:rsidRDefault="009E66D5" w:rsidP="00AD4840">
            <w:pPr>
              <w:spacing w:before="240" w:after="240"/>
              <w:rPr>
                <w:b/>
              </w:rPr>
            </w:pPr>
            <w:r w:rsidRPr="00935274">
              <w:rPr>
                <w:b/>
              </w:rPr>
              <w:lastRenderedPageBreak/>
              <w:t xml:space="preserve">Admis </w:t>
            </w:r>
          </w:p>
          <w:p w:rsidR="009E66D5" w:rsidRDefault="0008627F" w:rsidP="0008627F">
            <w:pPr>
              <w:spacing w:before="240" w:after="240"/>
              <w:jc w:val="both"/>
            </w:pPr>
            <w:r>
              <w:t>Î</w:t>
            </w:r>
            <w:r w:rsidR="009E66D5">
              <w:t xml:space="preserve">n contextul </w:t>
            </w:r>
            <w:r>
              <w:t>agreării</w:t>
            </w:r>
            <w:r w:rsidR="009E66D5">
              <w:t xml:space="preserve"> </w:t>
            </w:r>
            <w:r>
              <w:t>solicitării avizului, este necesară identificarea clară</w:t>
            </w:r>
            <w:r w:rsidR="009E66D5">
              <w:t xml:space="preserve"> a </w:t>
            </w:r>
            <w:r>
              <w:t>alocării</w:t>
            </w:r>
            <w:r w:rsidR="009E66D5">
              <w:t xml:space="preserve">, la nivel de apel, pentru proiectele cu </w:t>
            </w:r>
            <w:r>
              <w:t>locația</w:t>
            </w:r>
            <w:r w:rsidR="009E66D5">
              <w:t xml:space="preserve"> de implementare</w:t>
            </w:r>
            <w:r>
              <w:t xml:space="preserve"> </w:t>
            </w:r>
            <w:r w:rsidR="009E66D5">
              <w:t xml:space="preserve">a proiectului </w:t>
            </w:r>
            <w:r>
              <w:t>î</w:t>
            </w:r>
            <w:r w:rsidR="009E66D5">
              <w:t>n zona ITI</w:t>
            </w:r>
          </w:p>
          <w:p w:rsidR="00AE04AE" w:rsidRDefault="00AD4840" w:rsidP="0008627F">
            <w:pPr>
              <w:spacing w:before="240" w:after="240"/>
              <w:jc w:val="both"/>
            </w:pPr>
            <w:r>
              <w:t xml:space="preserve">În conformitate cu prevederile Reg. 1301/2013: ” FEDR ar trebui să contribuie la Strategia Uniunii pentru o creștere inteligentă, durabilă și favorabilă incluziunii, asigurând astfel o mai mare concentrare a ajutorului acordat în temeiul FEDR asupra priorităților Uniunii. În funcție de categoria de regiuni susținută, sprijinul FEDR acordat în cadrul obiectivului privind investițiile pentru creștere economică și locuri de muncă ar trebui să se concentreze pe cercetare și inovare, pe tehnologiile informației și comunicațiilor (TIC), pe întreprinderile mici și mijlocii (IMM-uri) și pe promovarea unei economii cu emisii scăzute de carbon. Respectiva concentrare tematică ar trebui să se realizeze la nivel național </w:t>
            </w:r>
            <w:r w:rsidRPr="00AD4840">
              <w:rPr>
                <w:b/>
              </w:rPr>
              <w:t>permițând totodată condiții flexibile la nivelul programelor operaționale și între diferitele categorii de regiuni.</w:t>
            </w:r>
            <w:r>
              <w:t xml:space="preserve"> ” </w:t>
            </w:r>
          </w:p>
          <w:p w:rsidR="00AD4840" w:rsidRPr="00AD4840" w:rsidRDefault="00AD4840" w:rsidP="0008627F">
            <w:pPr>
              <w:spacing w:before="240" w:after="240"/>
              <w:jc w:val="both"/>
              <w:rPr>
                <w:b/>
              </w:rPr>
            </w:pPr>
            <w:r>
              <w:lastRenderedPageBreak/>
              <w:t xml:space="preserve">Astfel, în cadrul Programului Operațional Competitivitate se precizează </w:t>
            </w:r>
            <w:r w:rsidR="00AE04AE">
              <w:t>următoarele</w:t>
            </w:r>
            <w:r>
              <w:t>: „</w:t>
            </w:r>
            <w:r w:rsidRPr="00AD4840">
              <w:t xml:space="preserve">România va folosi instrumentul ITI în Rezervația Biosferei Delta Dunării (un teritoriu unic cu funcții foarte specifice: populație rară și izolată, specializare și vulnerabilitate economică, acces nesatisfăcător la servicii etc.). Elaborarea strategiei integrate pentru această zonă a început cu ajutorul Băncii Mondiale și al autorităților locale competente. Strategia va fi implementată printr-un plan de acțiune elaborat tot cu ajutorul Băncii Mondiale, ce va include intervențiile propuse și mecanismele de implementare. Astfel abordarea ITI în Rezervația Biosferei Delta Dunării urmează </w:t>
            </w:r>
            <w:r w:rsidRPr="00AD4840">
              <w:rPr>
                <w:b/>
              </w:rPr>
              <w:t>obiectivele și țintele stabilite în planul de acțiuni construit prin SUERD.”</w:t>
            </w:r>
            <w:r>
              <w:rPr>
                <w:b/>
              </w:rPr>
              <w:t xml:space="preserve"> </w:t>
            </w:r>
            <w:r w:rsidRPr="00E22384">
              <w:t xml:space="preserve">Astfel, pentru a se asigura </w:t>
            </w:r>
            <w:r w:rsidR="00AE04AE" w:rsidRPr="00E22384">
              <w:t>finanțarea</w:t>
            </w:r>
            <w:r w:rsidR="00AE04AE">
              <w:t xml:space="preserve"> unui proiect din suma alocată</w:t>
            </w:r>
            <w:r w:rsidRPr="00E22384">
              <w:t xml:space="preserve"> ITI DD, este obligatorie </w:t>
            </w:r>
            <w:r w:rsidR="00AE04AE" w:rsidRPr="00E22384">
              <w:t>îndeplinirea</w:t>
            </w:r>
            <w:r w:rsidRPr="00E22384">
              <w:t xml:space="preserve"> </w:t>
            </w:r>
            <w:r w:rsidR="00AE04AE" w:rsidRPr="00E22384">
              <w:t>condiției</w:t>
            </w:r>
            <w:r w:rsidRPr="00E22384">
              <w:t xml:space="preserve"> </w:t>
            </w:r>
            <w:r w:rsidR="00AE04AE" w:rsidRPr="00E22384">
              <w:t>menționate</w:t>
            </w:r>
            <w:r w:rsidRPr="00E22384">
              <w:t xml:space="preserve"> din cadrul POC.</w:t>
            </w:r>
            <w:r>
              <w:rPr>
                <w:b/>
              </w:rPr>
              <w:t xml:space="preserve"> </w:t>
            </w:r>
          </w:p>
          <w:p w:rsidR="001157CF" w:rsidRDefault="001157CF" w:rsidP="00740F56">
            <w:pPr>
              <w:jc w:val="both"/>
            </w:pPr>
          </w:p>
        </w:tc>
      </w:tr>
      <w:tr w:rsidR="001157CF" w:rsidTr="00E25E5C">
        <w:tc>
          <w:tcPr>
            <w:tcW w:w="546" w:type="dxa"/>
            <w:vMerge/>
          </w:tcPr>
          <w:p w:rsidR="001157CF" w:rsidRDefault="001157CF" w:rsidP="00A83568">
            <w:pPr>
              <w:jc w:val="both"/>
              <w:rPr>
                <w:rFonts w:ascii="Calibri" w:hAnsi="Calibri" w:cs="Calibri"/>
                <w:color w:val="000000"/>
              </w:rPr>
            </w:pPr>
          </w:p>
        </w:tc>
        <w:tc>
          <w:tcPr>
            <w:tcW w:w="1292" w:type="dxa"/>
            <w:vMerge/>
          </w:tcPr>
          <w:p w:rsidR="001157CF" w:rsidRDefault="001157CF" w:rsidP="004A201A"/>
        </w:tc>
        <w:tc>
          <w:tcPr>
            <w:tcW w:w="3355" w:type="dxa"/>
          </w:tcPr>
          <w:p w:rsidR="001157CF" w:rsidRDefault="001157CF" w:rsidP="00A83568">
            <w:pPr>
              <w:jc w:val="both"/>
            </w:pPr>
          </w:p>
        </w:tc>
        <w:tc>
          <w:tcPr>
            <w:tcW w:w="4536" w:type="dxa"/>
          </w:tcPr>
          <w:p w:rsidR="001157CF" w:rsidRDefault="001157CF" w:rsidP="00760F2B">
            <w:pPr>
              <w:jc w:val="both"/>
            </w:pPr>
            <w:r w:rsidRPr="007A6EC7">
              <w:t xml:space="preserve">Nivelul de cofinanțare menționat în Ghidul Solicitantului la </w:t>
            </w:r>
            <w:r w:rsidRPr="007A6EC7">
              <w:rPr>
                <w:b/>
              </w:rPr>
              <w:t>capitolul 2.4 Modul de finanțare a proiectelor</w:t>
            </w:r>
            <w:r w:rsidRPr="007A6EC7">
              <w:t xml:space="preserve">, care precizează, în acest sens, un procent de 35 — 50%, în funcției de tipul activității finanțate. Propunerea constă în </w:t>
            </w:r>
            <w:r w:rsidRPr="007A6EC7">
              <w:lastRenderedPageBreak/>
              <w:t>inserarea unei excepții de la această regulă pentru instituțiile cu capital de stat (cum este și INCDDD) care nu dețin fonduri speciale pentru cofinanțare. O variantă pentru această instituție ar putea fi accesarea schemei de minimis (până la 200 000 euro) însă aceasta este restricționată doar la servicii de consultanță și servicii pentru sprijinirea inovării.</w:t>
            </w:r>
          </w:p>
        </w:tc>
        <w:tc>
          <w:tcPr>
            <w:tcW w:w="5103" w:type="dxa"/>
          </w:tcPr>
          <w:p w:rsidR="002C6CCA" w:rsidRPr="00935274" w:rsidRDefault="002C6CCA" w:rsidP="00AE04AE">
            <w:pPr>
              <w:jc w:val="both"/>
              <w:rPr>
                <w:b/>
              </w:rPr>
            </w:pPr>
            <w:r w:rsidRPr="00935274">
              <w:rPr>
                <w:b/>
              </w:rPr>
              <w:lastRenderedPageBreak/>
              <w:t>Respins</w:t>
            </w:r>
          </w:p>
          <w:p w:rsidR="00105F8A" w:rsidRDefault="002C6CCA" w:rsidP="00AE04AE">
            <w:pPr>
              <w:jc w:val="both"/>
            </w:pPr>
            <w:r>
              <w:t xml:space="preserve">Solicitantul/Beneficiarul eligibil este </w:t>
            </w:r>
            <w:r w:rsidR="00AE04AE">
              <w:t>organizația</w:t>
            </w:r>
            <w:r>
              <w:t xml:space="preserve">  clusterului</w:t>
            </w:r>
            <w:r w:rsidR="009E66D5">
              <w:t xml:space="preserve"> de inovare </w:t>
            </w:r>
            <w:r w:rsidR="00AE04AE">
              <w:t>ş</w:t>
            </w:r>
            <w:r w:rsidR="009E66D5">
              <w:t>i nu membrii acest</w:t>
            </w:r>
            <w:r>
              <w:t>e</w:t>
            </w:r>
            <w:r w:rsidR="009E66D5">
              <w:t xml:space="preserve">ia individual, </w:t>
            </w:r>
            <w:r w:rsidR="00AE04AE">
              <w:t>așadar</w:t>
            </w:r>
            <w:r w:rsidR="009E66D5">
              <w:t xml:space="preserve"> nu pot fi beneficiare instituțiile cu capital de stat. </w:t>
            </w:r>
          </w:p>
          <w:p w:rsidR="009E66D5" w:rsidRDefault="009E66D5" w:rsidP="000C5CBF">
            <w:pPr>
              <w:jc w:val="both"/>
            </w:pPr>
            <w:r>
              <w:lastRenderedPageBreak/>
              <w:t xml:space="preserve">Mai mult, apelul este dedicat </w:t>
            </w:r>
            <w:r>
              <w:rPr>
                <w:b/>
                <w:bCs/>
              </w:rPr>
              <w:t>Marilor infrastructuri</w:t>
            </w:r>
            <w:r>
              <w:t xml:space="preserve"> de CD (OS 1.1), un ajutor de tip </w:t>
            </w:r>
            <w:r>
              <w:rPr>
                <w:i/>
                <w:iCs/>
              </w:rPr>
              <w:t>de minimis</w:t>
            </w:r>
            <w:r>
              <w:t xml:space="preserve"> fiind insuficient pentru a putea satisface scopul principal al apelului si anume de a sprijini marile </w:t>
            </w:r>
            <w:r w:rsidR="000C5CBF">
              <w:t>investiții î</w:t>
            </w:r>
            <w:r>
              <w:t xml:space="preserve">n clusterele de inovare. </w:t>
            </w:r>
          </w:p>
          <w:p w:rsidR="001157CF" w:rsidRDefault="001157CF" w:rsidP="00065824">
            <w:pPr>
              <w:jc w:val="both"/>
            </w:pPr>
          </w:p>
        </w:tc>
      </w:tr>
      <w:tr w:rsidR="001157CF" w:rsidTr="00E25E5C">
        <w:tc>
          <w:tcPr>
            <w:tcW w:w="546" w:type="dxa"/>
            <w:vMerge/>
          </w:tcPr>
          <w:p w:rsidR="001157CF" w:rsidRDefault="001157CF" w:rsidP="00A83568">
            <w:pPr>
              <w:jc w:val="both"/>
              <w:rPr>
                <w:rFonts w:ascii="Calibri" w:hAnsi="Calibri" w:cs="Calibri"/>
                <w:color w:val="000000"/>
              </w:rPr>
            </w:pPr>
          </w:p>
        </w:tc>
        <w:tc>
          <w:tcPr>
            <w:tcW w:w="1292" w:type="dxa"/>
            <w:vMerge/>
          </w:tcPr>
          <w:p w:rsidR="001157CF" w:rsidRDefault="001157CF" w:rsidP="004A201A"/>
        </w:tc>
        <w:tc>
          <w:tcPr>
            <w:tcW w:w="3355" w:type="dxa"/>
          </w:tcPr>
          <w:p w:rsidR="001157CF" w:rsidRDefault="001157CF" w:rsidP="00A83568">
            <w:pPr>
              <w:jc w:val="both"/>
            </w:pPr>
          </w:p>
        </w:tc>
        <w:tc>
          <w:tcPr>
            <w:tcW w:w="4536" w:type="dxa"/>
          </w:tcPr>
          <w:p w:rsidR="001157CF" w:rsidRPr="00760F2B" w:rsidRDefault="001157CF" w:rsidP="00760F2B">
            <w:pPr>
              <w:jc w:val="both"/>
            </w:pPr>
            <w:r w:rsidRPr="007A6EC7">
              <w:t>Lărgirea spectrului de activități eligibile prin Schema de minimis, în sensul extinderii acesteia la toate activitățile de investiții și inovare.</w:t>
            </w:r>
          </w:p>
        </w:tc>
        <w:tc>
          <w:tcPr>
            <w:tcW w:w="5103" w:type="dxa"/>
          </w:tcPr>
          <w:p w:rsidR="000904D7" w:rsidRPr="00935274" w:rsidRDefault="000904D7" w:rsidP="00065824">
            <w:pPr>
              <w:jc w:val="both"/>
              <w:rPr>
                <w:b/>
              </w:rPr>
            </w:pPr>
            <w:r w:rsidRPr="00935274">
              <w:rPr>
                <w:b/>
              </w:rPr>
              <w:t>Respins</w:t>
            </w:r>
          </w:p>
          <w:p w:rsidR="00033BC8" w:rsidRDefault="009F7602" w:rsidP="00065824">
            <w:pPr>
              <w:jc w:val="both"/>
            </w:pPr>
            <w:r>
              <w:t xml:space="preserve">Regulamentul (UE) nr. 651/2014 specifica cu exactitate care sunt </w:t>
            </w:r>
            <w:r w:rsidR="00C450C5">
              <w:t>activitățile eligibile î</w:t>
            </w:r>
            <w:r>
              <w:t>n cazul clusterelor de ino</w:t>
            </w:r>
            <w:r w:rsidR="00C450C5">
              <w:t>vare. Acestea au fost preluate î</w:t>
            </w:r>
            <w:r>
              <w:t>n integralitate in cadrul GS.</w:t>
            </w:r>
            <w:r w:rsidR="00033BC8">
              <w:t xml:space="preserve"> </w:t>
            </w:r>
          </w:p>
          <w:p w:rsidR="001157CF" w:rsidRDefault="00033BC8" w:rsidP="00065824">
            <w:pPr>
              <w:jc w:val="both"/>
            </w:pPr>
            <w:r>
              <w:t xml:space="preserve">Apelul este dedicat </w:t>
            </w:r>
            <w:r w:rsidRPr="00033BC8">
              <w:rPr>
                <w:b/>
              </w:rPr>
              <w:t>Marilor infrastructuri</w:t>
            </w:r>
            <w:r>
              <w:t xml:space="preserve"> de CD (OS 1.1), un ajutor de tip </w:t>
            </w:r>
            <w:r w:rsidRPr="00740F56">
              <w:rPr>
                <w:i/>
              </w:rPr>
              <w:t>de minimis</w:t>
            </w:r>
            <w:r>
              <w:t xml:space="preserve"> fiind insuficient pentru a putea satisface scopul principal al apelului si anume de a sprijini marile </w:t>
            </w:r>
            <w:r w:rsidR="00C450C5">
              <w:t>investiții î</w:t>
            </w:r>
            <w:r>
              <w:t>n clusterele de inovare.</w:t>
            </w:r>
          </w:p>
        </w:tc>
      </w:tr>
      <w:tr w:rsidR="00F24D21" w:rsidTr="006F2E05">
        <w:tc>
          <w:tcPr>
            <w:tcW w:w="546" w:type="dxa"/>
            <w:vMerge w:val="restart"/>
          </w:tcPr>
          <w:p w:rsidR="00F24D21" w:rsidRDefault="00A338EA" w:rsidP="00A83568">
            <w:pPr>
              <w:jc w:val="both"/>
              <w:rPr>
                <w:rFonts w:ascii="Calibri" w:hAnsi="Calibri" w:cs="Calibri"/>
                <w:color w:val="000000"/>
              </w:rPr>
            </w:pPr>
            <w:r>
              <w:rPr>
                <w:rFonts w:ascii="Calibri" w:hAnsi="Calibri" w:cs="Calibri"/>
                <w:color w:val="000000"/>
              </w:rPr>
              <w:t>5</w:t>
            </w:r>
          </w:p>
        </w:tc>
        <w:tc>
          <w:tcPr>
            <w:tcW w:w="1292" w:type="dxa"/>
            <w:vMerge w:val="restart"/>
          </w:tcPr>
          <w:p w:rsidR="00F24D21" w:rsidRPr="00712825" w:rsidRDefault="00F24D21" w:rsidP="00712825">
            <w:r w:rsidRPr="00712825">
              <w:t>CLUSTERO</w:t>
            </w:r>
          </w:p>
        </w:tc>
        <w:tc>
          <w:tcPr>
            <w:tcW w:w="3355" w:type="dxa"/>
          </w:tcPr>
          <w:p w:rsidR="009B4E51" w:rsidRDefault="004E4636" w:rsidP="007B6966">
            <w:pPr>
              <w:jc w:val="both"/>
            </w:pPr>
            <w:r>
              <w:t>Pct. 1.2</w:t>
            </w:r>
          </w:p>
          <w:p w:rsidR="00F24D21" w:rsidRDefault="004E4636" w:rsidP="007B6966">
            <w:pPr>
              <w:jc w:val="both"/>
            </w:pPr>
            <w:r w:rsidRPr="004E4636">
              <w:t>În conformitate cu regulile GDPR, în echipa de implementare a proiectului trebuie să fie desemnat un responsabil cu protecția datelor cu caracter personal</w:t>
            </w:r>
          </w:p>
        </w:tc>
        <w:tc>
          <w:tcPr>
            <w:tcW w:w="4536" w:type="dxa"/>
          </w:tcPr>
          <w:p w:rsidR="00F90551" w:rsidRDefault="00F90551" w:rsidP="00A83568">
            <w:pPr>
              <w:jc w:val="both"/>
            </w:pPr>
            <w:r>
              <w:t>De clari</w:t>
            </w:r>
            <w:r w:rsidR="006A1244">
              <w:t>ficat daca persoana responsabilă va putea fi încadrată î</w:t>
            </w:r>
            <w:r>
              <w:t>n echi</w:t>
            </w:r>
            <w:r w:rsidR="006A1244">
              <w:t>pa de exploatare a clusterului ș</w:t>
            </w:r>
            <w:r>
              <w:t>i/sau echipa de management de proiect.</w:t>
            </w:r>
          </w:p>
          <w:p w:rsidR="00F24D21" w:rsidRDefault="00F24D21" w:rsidP="00A83568">
            <w:pPr>
              <w:jc w:val="both"/>
            </w:pPr>
            <w:r>
              <w:t xml:space="preserve">Se are </w:t>
            </w:r>
            <w:r w:rsidR="006A1244">
              <w:t>î</w:t>
            </w:r>
            <w:r>
              <w:t>n vedere un responsabil certificat?</w:t>
            </w:r>
          </w:p>
        </w:tc>
        <w:tc>
          <w:tcPr>
            <w:tcW w:w="5103" w:type="dxa"/>
          </w:tcPr>
          <w:p w:rsidR="00935274" w:rsidRPr="005F5C5B" w:rsidRDefault="00935274" w:rsidP="00935274">
            <w:pPr>
              <w:jc w:val="both"/>
              <w:rPr>
                <w:b/>
              </w:rPr>
            </w:pPr>
            <w:r w:rsidRPr="005F5C5B">
              <w:rPr>
                <w:b/>
              </w:rPr>
              <w:t>Clarificat</w:t>
            </w:r>
          </w:p>
          <w:p w:rsidR="00E67686" w:rsidRDefault="00E67686" w:rsidP="00E67686">
            <w:pPr>
              <w:jc w:val="both"/>
            </w:pPr>
            <w:r>
              <w:t>În conformitate cu regulile GDPR, în echipa de management/implementare a proiectului trebuie să fie desemnat un responsabil cu protecția datelor cu caracter personal</w:t>
            </w:r>
            <w:r w:rsidRPr="00E67686">
              <w:t xml:space="preserve"> </w:t>
            </w:r>
            <w:r>
              <w:t xml:space="preserve">(DPO) , care va avea stabilite, prin fișa postului, atribuții în acest sens. </w:t>
            </w:r>
          </w:p>
          <w:p w:rsidR="00F24D21" w:rsidRPr="004C067E" w:rsidRDefault="00CD3B85" w:rsidP="00CD3B85">
            <w:pPr>
              <w:jc w:val="both"/>
            </w:pPr>
            <w:r>
              <w:t>Nu se are in vedere un responsabil certificat</w:t>
            </w:r>
            <w:r>
              <w:t xml:space="preserve">. </w:t>
            </w:r>
            <w:r w:rsidR="00E67686">
              <w:t xml:space="preserve">Solicitantul se va asigura că persoana desemnată ca responsabil cu protecția datelor cu caracter personal deține cunoștințele de specialitate în dreptul și practicile din domeniul protecției datelor și că a absolvit un curs de instruire în domeniul GDPR (certificat/diplomă de participare, absolvire etc). </w:t>
            </w:r>
          </w:p>
        </w:tc>
      </w:tr>
      <w:tr w:rsidR="009B4E51" w:rsidTr="006F2E05">
        <w:tc>
          <w:tcPr>
            <w:tcW w:w="546" w:type="dxa"/>
            <w:vMerge/>
          </w:tcPr>
          <w:p w:rsidR="009B4E51" w:rsidRDefault="009B4E51" w:rsidP="00A83568">
            <w:pPr>
              <w:jc w:val="both"/>
              <w:rPr>
                <w:rFonts w:ascii="Calibri" w:hAnsi="Calibri" w:cs="Calibri"/>
                <w:color w:val="000000"/>
              </w:rPr>
            </w:pPr>
          </w:p>
        </w:tc>
        <w:tc>
          <w:tcPr>
            <w:tcW w:w="1292" w:type="dxa"/>
            <w:vMerge/>
          </w:tcPr>
          <w:p w:rsidR="009B4E51" w:rsidRPr="00712825" w:rsidRDefault="009B4E51" w:rsidP="00712825"/>
        </w:tc>
        <w:tc>
          <w:tcPr>
            <w:tcW w:w="3355" w:type="dxa"/>
          </w:tcPr>
          <w:p w:rsidR="006F2E05" w:rsidRDefault="006F2E05" w:rsidP="009B4E51">
            <w:pPr>
              <w:jc w:val="both"/>
            </w:pPr>
            <w:r>
              <w:t xml:space="preserve">Pct. 1.3 </w:t>
            </w:r>
          </w:p>
          <w:p w:rsidR="009B4E51" w:rsidRDefault="006F2E05" w:rsidP="009B4E51">
            <w:pPr>
              <w:jc w:val="both"/>
            </w:pPr>
            <w:r w:rsidRPr="006F2E05">
              <w:t xml:space="preserve">Clusterul de inovare trebuie să fie constituit într-o entitate juridică </w:t>
            </w:r>
            <w:r w:rsidRPr="006F2E05">
              <w:lastRenderedPageBreak/>
              <w:t xml:space="preserve">unică (denumită organizația clusterului) definită astfel: „Asociație legal constituită care desfășoară activități economice îndeplinește atribuțiile de management şi coordonare a activităților și a proiectelor întreprinse la nivelul clusterului, care promovează imaginea clusterului ca întreg și care sprijină întărirea cooperării dintre membrii acestuia și atragerea de noi membri”. </w:t>
            </w:r>
          </w:p>
        </w:tc>
        <w:tc>
          <w:tcPr>
            <w:tcW w:w="4536" w:type="dxa"/>
          </w:tcPr>
          <w:p w:rsidR="009B4E51" w:rsidRDefault="009B4E51" w:rsidP="007B6966">
            <w:pPr>
              <w:jc w:val="both"/>
            </w:pPr>
            <w:r>
              <w:lastRenderedPageBreak/>
              <w:t>Clusterul de inovare este reprezentat de o entitate jur</w:t>
            </w:r>
            <w:r w:rsidR="007D0811">
              <w:t>idica unică</w:t>
            </w:r>
            <w:r>
              <w:t>, nu este obligatoriu s</w:t>
            </w:r>
            <w:r w:rsidR="007D0811">
              <w:t>ă</w:t>
            </w:r>
            <w:r>
              <w:t xml:space="preserve"> fie </w:t>
            </w:r>
            <w:r>
              <w:lastRenderedPageBreak/>
              <w:t>constituit i</w:t>
            </w:r>
            <w:r w:rsidR="007D0811">
              <w:t>ntegral într-o entitate juridică (corelare cu ultima frază</w:t>
            </w:r>
            <w:r>
              <w:t xml:space="preserve"> din acest paragraf).</w:t>
            </w:r>
          </w:p>
          <w:p w:rsidR="009B4E51" w:rsidRDefault="009B4E51" w:rsidP="007B6966">
            <w:pPr>
              <w:jc w:val="both"/>
            </w:pPr>
          </w:p>
          <w:p w:rsidR="009B4E51" w:rsidRDefault="00A72DF1" w:rsidP="00A72DF1">
            <w:pPr>
              <w:jc w:val="both"/>
            </w:pPr>
            <w:r>
              <w:rPr>
                <w:lang w:val="en-US"/>
              </w:rPr>
              <w:t>“</w:t>
            </w:r>
            <w:r>
              <w:t>Asociație legal constituită</w:t>
            </w:r>
            <w:r w:rsidR="009B4E51">
              <w:t xml:space="preserve"> care </w:t>
            </w:r>
            <w:r w:rsidR="009B4E51" w:rsidRPr="00A72DF1">
              <w:rPr>
                <w:b/>
              </w:rPr>
              <w:t>poate</w:t>
            </w:r>
            <w:r w:rsidR="009B4E51">
              <w:t xml:space="preserve"> desfășura activități economice ....</w:t>
            </w:r>
            <w:r>
              <w:t>”</w:t>
            </w:r>
            <w:r w:rsidR="009B4E51">
              <w:t>, deoarece nu activitățile economice sunt scopul principal al organizației clusterului, fiind doar condiție de eligibilitate p</w:t>
            </w:r>
            <w:r w:rsidR="00C6643B">
              <w:t>en</w:t>
            </w:r>
            <w:r w:rsidR="009B4E51">
              <w:t>t</w:t>
            </w:r>
            <w:r w:rsidR="00C6643B">
              <w:t>ru</w:t>
            </w:r>
            <w:r>
              <w:t xml:space="preserve"> acest apel î</w:t>
            </w:r>
            <w:r w:rsidR="009B4E51">
              <w:t>n cadrul componentei B</w:t>
            </w:r>
            <w:r>
              <w:t>.</w:t>
            </w:r>
          </w:p>
        </w:tc>
        <w:tc>
          <w:tcPr>
            <w:tcW w:w="5103" w:type="dxa"/>
          </w:tcPr>
          <w:p w:rsidR="003E1D38" w:rsidRPr="008B572D" w:rsidRDefault="00F5108C" w:rsidP="009B7AEB">
            <w:pPr>
              <w:tabs>
                <w:tab w:val="left" w:pos="2070"/>
                <w:tab w:val="center" w:pos="2443"/>
              </w:tabs>
              <w:rPr>
                <w:b/>
              </w:rPr>
            </w:pPr>
            <w:r w:rsidRPr="008B572D">
              <w:rPr>
                <w:b/>
              </w:rPr>
              <w:lastRenderedPageBreak/>
              <w:t>Clarificat</w:t>
            </w:r>
          </w:p>
          <w:p w:rsidR="009B7AEB" w:rsidRDefault="009B7AEB" w:rsidP="00E67C91">
            <w:pPr>
              <w:tabs>
                <w:tab w:val="left" w:pos="2070"/>
                <w:tab w:val="center" w:pos="2443"/>
              </w:tabs>
              <w:jc w:val="both"/>
            </w:pPr>
            <w:r>
              <w:t xml:space="preserve">Conform Cap. VI Beneficiari, Art. 11 alin. (3) din cadrul Schemei de ajutor de CDI, aprobata prin OM </w:t>
            </w:r>
            <w:r>
              <w:lastRenderedPageBreak/>
              <w:t xml:space="preserve">3822/2015 cu modificările și completările ulterioare: „(3) Beneficiarii ajutoarelor pentru clusterele de inovare, definite la art. 8 litera (p) din prezenta schemă, </w:t>
            </w:r>
            <w:r w:rsidRPr="00622EA6">
              <w:rPr>
                <w:b/>
              </w:rPr>
              <w:t>sunt exclusiv entităţile juridice care exploatează clusterele de inovare</w:t>
            </w:r>
            <w:r>
              <w:t xml:space="preserve"> (organizaţia clusterului).”</w:t>
            </w:r>
          </w:p>
          <w:p w:rsidR="009B7AEB" w:rsidRDefault="009B7AEB" w:rsidP="00E67C91">
            <w:pPr>
              <w:tabs>
                <w:tab w:val="left" w:pos="2070"/>
                <w:tab w:val="center" w:pos="2443"/>
              </w:tabs>
              <w:jc w:val="both"/>
            </w:pPr>
            <w:r>
              <w:t>In conformitate cu prevederile Reg. (UE) 651/2014, cheltuielile aferente activităților</w:t>
            </w:r>
            <w:r w:rsidRPr="00735901">
              <w:t xml:space="preserve"> de inovare</w:t>
            </w:r>
            <w:r>
              <w:t xml:space="preserve"> sunt eligibile numai pentru IMM. </w:t>
            </w:r>
            <w:r w:rsidRPr="00735901">
              <w:rPr>
                <w:b/>
              </w:rPr>
              <w:t xml:space="preserve">Astfel, numai </w:t>
            </w:r>
            <w:r>
              <w:rPr>
                <w:b/>
              </w:rPr>
              <w:t>în cazul în care o</w:t>
            </w:r>
            <w:r w:rsidRPr="00735901">
              <w:rPr>
                <w:b/>
              </w:rPr>
              <w:t>rganizația clusterului poate fi asimilată unui</w:t>
            </w:r>
            <w:r>
              <w:rPr>
                <w:b/>
              </w:rPr>
              <w:t xml:space="preserve"> IMM, cheltuielile aferente ace</w:t>
            </w:r>
            <w:r w:rsidRPr="00735901">
              <w:rPr>
                <w:b/>
              </w:rPr>
              <w:t>s</w:t>
            </w:r>
            <w:r>
              <w:rPr>
                <w:b/>
              </w:rPr>
              <w:t>t</w:t>
            </w:r>
            <w:r w:rsidRPr="00735901">
              <w:rPr>
                <w:b/>
              </w:rPr>
              <w:t>or activități vor fi eligibile.</w:t>
            </w:r>
          </w:p>
          <w:p w:rsidR="009B4E51" w:rsidRPr="00727194" w:rsidRDefault="009B4E51" w:rsidP="00727194">
            <w:pPr>
              <w:tabs>
                <w:tab w:val="left" w:pos="1890"/>
              </w:tabs>
            </w:pPr>
          </w:p>
        </w:tc>
      </w:tr>
      <w:tr w:rsidR="00F24D21" w:rsidTr="006F2E05">
        <w:tc>
          <w:tcPr>
            <w:tcW w:w="546" w:type="dxa"/>
            <w:vMerge/>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9D3E9D" w:rsidRDefault="009D3E9D" w:rsidP="001F1135">
            <w:pPr>
              <w:jc w:val="both"/>
            </w:pPr>
            <w:r>
              <w:t xml:space="preserve">Pct. 1.3 </w:t>
            </w:r>
          </w:p>
          <w:p w:rsidR="00F24D21" w:rsidRPr="001F1135" w:rsidRDefault="009D3E9D" w:rsidP="001F1135">
            <w:pPr>
              <w:jc w:val="both"/>
            </w:pPr>
            <w:r>
              <w:t>Solicitant eligibil/</w:t>
            </w:r>
            <w:r w:rsidR="00867D21" w:rsidRPr="00867D21">
              <w:t xml:space="preserve">Beneficiar al ajutorului pentru clustere de inovare – organizația clusterului care depune o cerere de finanțare, </w:t>
            </w:r>
            <w:r w:rsidR="00337A4A" w:rsidRPr="00867D21">
              <w:t>primește</w:t>
            </w:r>
            <w:r w:rsidR="00867D21" w:rsidRPr="00867D21">
              <w:t xml:space="preserve"> ajutor de stat pentru clusterele de inovare în cadrul Schemei de ajutor de stat "</w:t>
            </w:r>
            <w:r w:rsidR="00337A4A" w:rsidRPr="00867D21">
              <w:t>Finanțarea</w:t>
            </w:r>
            <w:r w:rsidR="00867D21" w:rsidRPr="00867D21">
              <w:t xml:space="preserve"> </w:t>
            </w:r>
            <w:r w:rsidR="00337A4A" w:rsidRPr="00867D21">
              <w:t>activităților</w:t>
            </w:r>
            <w:r w:rsidR="00867D21" w:rsidRPr="00867D21">
              <w:t xml:space="preserve"> de cercetare-dezvoltare </w:t>
            </w:r>
            <w:r w:rsidR="00337A4A" w:rsidRPr="00867D21">
              <w:t>și</w:t>
            </w:r>
            <w:r w:rsidR="00867D21" w:rsidRPr="00867D21">
              <w:t xml:space="preserve"> inovare (CDI) </w:t>
            </w:r>
            <w:r w:rsidR="00337A4A" w:rsidRPr="00867D21">
              <w:t>și</w:t>
            </w:r>
            <w:r w:rsidR="00867D21" w:rsidRPr="00867D21">
              <w:t xml:space="preserve"> a </w:t>
            </w:r>
            <w:r w:rsidR="00337A4A" w:rsidRPr="00867D21">
              <w:t>investițiilor</w:t>
            </w:r>
            <w:r w:rsidR="00867D21" w:rsidRPr="00867D21">
              <w:t xml:space="preserve"> în CDI prin Programul </w:t>
            </w:r>
            <w:r w:rsidR="00337A4A" w:rsidRPr="00867D21">
              <w:t>operațional</w:t>
            </w:r>
            <w:r w:rsidR="00867D21" w:rsidRPr="00867D21">
              <w:t xml:space="preserve"> Competitivitate (POC)" și implementează proiectul </w:t>
            </w:r>
            <w:r w:rsidR="00C25E06">
              <w:rPr>
                <w:b/>
              </w:rPr>
              <w:t>în numele clusterului pe care î</w:t>
            </w:r>
            <w:r w:rsidR="00867D21" w:rsidRPr="00CA607D">
              <w:rPr>
                <w:b/>
              </w:rPr>
              <w:t>l reprezintă</w:t>
            </w:r>
            <w:r w:rsidR="00124A72">
              <w:rPr>
                <w:b/>
              </w:rPr>
              <w:t>.</w:t>
            </w:r>
          </w:p>
        </w:tc>
        <w:tc>
          <w:tcPr>
            <w:tcW w:w="4536" w:type="dxa"/>
          </w:tcPr>
          <w:p w:rsidR="00F24D21" w:rsidRPr="001F1135" w:rsidRDefault="00F24D21" w:rsidP="001F1135">
            <w:pPr>
              <w:jc w:val="both"/>
            </w:pPr>
            <w:r w:rsidRPr="001F1135">
              <w:t>Reintroducer</w:t>
            </w:r>
            <w:r w:rsidR="0065272B">
              <w:t>ea posibilității ca proiectul să</w:t>
            </w:r>
            <w:r w:rsidRPr="001F1135">
              <w:t xml:space="preserve"> poată fi depus de un membru mandat de către organizația cluste</w:t>
            </w:r>
            <w:r w:rsidR="00BE38A6">
              <w:t>rului. Solicitam aceasta având î</w:t>
            </w:r>
            <w:r w:rsidRPr="001F1135">
              <w:t xml:space="preserve">n vedere considerente ce țin de acoperirea contribuției proprii </w:t>
            </w:r>
            <w:r w:rsidR="00BE38A6">
              <w:t>și din rațiuni de congruență</w:t>
            </w:r>
            <w:r w:rsidRPr="001F1135">
              <w:t xml:space="preserve"> cu apelurile anterioare.</w:t>
            </w:r>
          </w:p>
          <w:p w:rsidR="00F24D21" w:rsidRPr="00411E2F" w:rsidRDefault="00F24D21" w:rsidP="00A83568">
            <w:pPr>
              <w:jc w:val="both"/>
            </w:pPr>
          </w:p>
        </w:tc>
        <w:tc>
          <w:tcPr>
            <w:tcW w:w="5103" w:type="dxa"/>
          </w:tcPr>
          <w:p w:rsidR="00312EA3" w:rsidRPr="00312EA3" w:rsidRDefault="00312EA3" w:rsidP="009B7AEB">
            <w:pPr>
              <w:jc w:val="both"/>
              <w:rPr>
                <w:b/>
              </w:rPr>
            </w:pPr>
            <w:r w:rsidRPr="00312EA3">
              <w:rPr>
                <w:b/>
              </w:rPr>
              <w:t>Respins</w:t>
            </w:r>
          </w:p>
          <w:p w:rsidR="0076439E" w:rsidRDefault="0076439E" w:rsidP="009B7AEB">
            <w:pPr>
              <w:jc w:val="both"/>
            </w:pPr>
            <w:r>
              <w:t xml:space="preserve">Având în vedere experiența din apelurile anterioare, precum și  dificultățile întâmpinate în gestionarea proiectului de către un membru al clusterului și nu de </w:t>
            </w:r>
            <w:r w:rsidR="008B30DF">
              <w:t>către</w:t>
            </w:r>
            <w:r>
              <w:t xml:space="preserve"> organizația clusterului, în calitate de beneficiar </w:t>
            </w:r>
            <w:r w:rsidRPr="003E1D38">
              <w:rPr>
                <w:b/>
              </w:rPr>
              <w:t>solicitantul/beneficiarul eligibil</w:t>
            </w:r>
            <w:r>
              <w:t xml:space="preserve">, în cadrul prezentului apel, </w:t>
            </w:r>
            <w:r w:rsidRPr="003E1D38">
              <w:rPr>
                <w:b/>
              </w:rPr>
              <w:t>este o</w:t>
            </w:r>
            <w:r w:rsidRPr="0076439E">
              <w:rPr>
                <w:b/>
              </w:rPr>
              <w:t>rganizația clusterului</w:t>
            </w:r>
            <w:r>
              <w:rPr>
                <w:b/>
              </w:rPr>
              <w:t xml:space="preserve">. </w:t>
            </w:r>
            <w:r>
              <w:t xml:space="preserve"> </w:t>
            </w:r>
          </w:p>
          <w:p w:rsidR="0076439E" w:rsidRDefault="0076439E" w:rsidP="009B7AEB">
            <w:pPr>
              <w:jc w:val="both"/>
            </w:pPr>
            <w:r>
              <w:t>P</w:t>
            </w:r>
            <w:r w:rsidR="009B7AEB">
              <w:t>osibilitate</w:t>
            </w:r>
            <w:r>
              <w:t>a</w:t>
            </w:r>
            <w:r w:rsidR="009B7AEB">
              <w:t xml:space="preserve"> ca un membru al clusterului sa </w:t>
            </w:r>
            <w:r w:rsidR="008B30DF">
              <w:t>poată depune proiectul în numele ş</w:t>
            </w:r>
            <w:r w:rsidR="009B7AEB">
              <w:t xml:space="preserve">i pentru </w:t>
            </w:r>
            <w:r w:rsidR="008B30DF">
              <w:t>organizația</w:t>
            </w:r>
            <w:r w:rsidR="009B7AEB">
              <w:t xml:space="preserve"> clusterului </w:t>
            </w:r>
            <w:r>
              <w:t xml:space="preserve">nu există </w:t>
            </w:r>
            <w:r w:rsidR="009B7AEB">
              <w:t xml:space="preserve">pentru a evita confuziile </w:t>
            </w:r>
            <w:r>
              <w:t xml:space="preserve">și dificultățile mai sus menționate. </w:t>
            </w:r>
            <w:r w:rsidR="009B7AEB">
              <w:t xml:space="preserve"> </w:t>
            </w:r>
          </w:p>
          <w:p w:rsidR="00274C06" w:rsidRDefault="009B7AEB" w:rsidP="00312EA3">
            <w:pPr>
              <w:jc w:val="both"/>
            </w:pPr>
            <w:r>
              <w:t>Faptul</w:t>
            </w:r>
            <w:r w:rsidR="008B30DF">
              <w:t xml:space="preserve"> ca un membru depune proiectul î</w:t>
            </w:r>
            <w:r>
              <w:t xml:space="preserve">n numele </w:t>
            </w:r>
            <w:r w:rsidR="008B30DF">
              <w:t>ş</w:t>
            </w:r>
            <w:r>
              <w:t xml:space="preserve">i pentru </w:t>
            </w:r>
            <w:r w:rsidR="008B30DF">
              <w:t>organizația</w:t>
            </w:r>
            <w:r>
              <w:t xml:space="preserve"> clusterului nu trebuie sa fie </w:t>
            </w:r>
            <w:r w:rsidR="008B30DF">
              <w:t>văzută</w:t>
            </w:r>
            <w:r>
              <w:t xml:space="preserve"> ca un beneficiu pentru acest membru. </w:t>
            </w:r>
            <w:r w:rsidR="008B30DF">
              <w:t>Finanțarea</w:t>
            </w:r>
            <w:r>
              <w:t xml:space="preserve"> si activele se vor </w:t>
            </w:r>
            <w:r w:rsidR="008B30DF">
              <w:t>înregistra</w:t>
            </w:r>
            <w:r>
              <w:t xml:space="preserve"> in contabilitatea </w:t>
            </w:r>
            <w:r w:rsidR="008B30DF">
              <w:t>organizației</w:t>
            </w:r>
            <w:r>
              <w:t xml:space="preserve"> clusterului (beneficiarul ajutorului de stat, in conformitate cu Reg. 651/2014), ceea ce poate </w:t>
            </w:r>
            <w:r w:rsidR="008B30DF">
              <w:t>îngreuna</w:t>
            </w:r>
            <w:r>
              <w:t xml:space="preserve"> mai mult managementul resurselor si al activelor prin gestionarea de </w:t>
            </w:r>
            <w:r w:rsidR="008B30DF">
              <w:t>către</w:t>
            </w:r>
            <w:r>
              <w:t xml:space="preserve"> un membru. </w:t>
            </w:r>
          </w:p>
          <w:p w:rsidR="00306EB8" w:rsidRDefault="00005866" w:rsidP="00264C74">
            <w:pPr>
              <w:jc w:val="both"/>
            </w:pPr>
            <w:r>
              <w:lastRenderedPageBreak/>
              <w:t>A fost eliminata sintagma din sectiunea 1.3 din GS pentru a evita confuziile.</w:t>
            </w:r>
          </w:p>
          <w:p w:rsidR="00D61B2B" w:rsidRPr="00274C06" w:rsidRDefault="00D61B2B" w:rsidP="00274C06">
            <w:pPr>
              <w:tabs>
                <w:tab w:val="left" w:pos="1600"/>
              </w:tabs>
            </w:pPr>
          </w:p>
        </w:tc>
      </w:tr>
      <w:tr w:rsidR="00F24D21" w:rsidTr="006F2E05">
        <w:tc>
          <w:tcPr>
            <w:tcW w:w="546" w:type="dxa"/>
            <w:vMerge/>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5C7A23" w:rsidRDefault="005C7A23" w:rsidP="00867D21">
            <w:pPr>
              <w:jc w:val="both"/>
            </w:pPr>
            <w:r>
              <w:t>Pct</w:t>
            </w:r>
            <w:r w:rsidR="00603345">
              <w:t>.</w:t>
            </w:r>
            <w:r>
              <w:t xml:space="preserve"> 1.3 </w:t>
            </w:r>
          </w:p>
          <w:p w:rsidR="00867D21" w:rsidRPr="00867D21" w:rsidRDefault="00867D21" w:rsidP="00867D21">
            <w:pPr>
              <w:jc w:val="both"/>
            </w:pPr>
            <w:r w:rsidRPr="00867D21">
              <w:t xml:space="preserve">Activitățile de inovare (obținerea, validarea și protejarea brevetelor și a altor active necorporale care aparțin clusterului, detașarea de personal cu înaltă calificare în organizația clusterului, serviciile de consultanță în domeniul inovării și serviciile de sprijinire a inovării) în clustere trebuie desfășurate de organizația clusterului și sunt eligibile pentru aceasta dacă și numai dacă organizația clusterului este asimilata unui IMM, in sensul prevederilor art. 2 alin. (2) din Legea nr. 346/2004 privind stimularea </w:t>
            </w:r>
            <w:r w:rsidR="009C3AFC" w:rsidRPr="00867D21">
              <w:t>înființării</w:t>
            </w:r>
            <w:r w:rsidRPr="00867D21">
              <w:t xml:space="preserve"> şi dezvoltării întreprinderilor mici şi mijlocii.</w:t>
            </w:r>
          </w:p>
          <w:p w:rsidR="00F24D21" w:rsidRDefault="00F24D21" w:rsidP="00A83568">
            <w:pPr>
              <w:jc w:val="both"/>
            </w:pPr>
          </w:p>
        </w:tc>
        <w:tc>
          <w:tcPr>
            <w:tcW w:w="4536" w:type="dxa"/>
          </w:tcPr>
          <w:p w:rsidR="00F24D21" w:rsidRPr="00411E2F" w:rsidRDefault="00F24D21" w:rsidP="009700AA">
            <w:pPr>
              <w:jc w:val="both"/>
            </w:pPr>
            <w:r>
              <w:t xml:space="preserve">De clarificat modalitatea de asimilare a organizației clusterului unui IMM, </w:t>
            </w:r>
            <w:r w:rsidR="00A422F5">
              <w:t>î</w:t>
            </w:r>
            <w:r w:rsidRPr="00EF7789">
              <w:t xml:space="preserve">n sensul prevederilor art. 2 alin. (2) din Legea nr. 346/2004 privind stimularea </w:t>
            </w:r>
            <w:r w:rsidR="00C56D49" w:rsidRPr="00EF7789">
              <w:t>înființării</w:t>
            </w:r>
            <w:r w:rsidRPr="00EF7789">
              <w:t xml:space="preserve"> şi dezvoltării întreprinderilor mici </w:t>
            </w:r>
            <w:r w:rsidR="005D149E" w:rsidRPr="00EF7789">
              <w:t>și</w:t>
            </w:r>
            <w:r w:rsidRPr="00EF7789">
              <w:t xml:space="preserve"> mijlocii</w:t>
            </w:r>
            <w:r>
              <w:t xml:space="preserve">; </w:t>
            </w:r>
            <w:r w:rsidR="009700AA">
              <w:t>vă</w:t>
            </w:r>
            <w:r w:rsidR="00E555AF">
              <w:t xml:space="preserve"> </w:t>
            </w:r>
            <w:r>
              <w:t>rug</w:t>
            </w:r>
            <w:r w:rsidR="00A422F5">
              <w:t>ăm, să</w:t>
            </w:r>
            <w:r>
              <w:t xml:space="preserve"> precizați modul de interp</w:t>
            </w:r>
            <w:r w:rsidR="00A422F5">
              <w:t>retare pentru o evaluare unitară</w:t>
            </w:r>
          </w:p>
        </w:tc>
        <w:tc>
          <w:tcPr>
            <w:tcW w:w="5103" w:type="dxa"/>
          </w:tcPr>
          <w:p w:rsidR="0036280D" w:rsidRPr="008B572D" w:rsidRDefault="0036280D" w:rsidP="009B7AEB">
            <w:pPr>
              <w:jc w:val="both"/>
              <w:rPr>
                <w:b/>
              </w:rPr>
            </w:pPr>
            <w:r w:rsidRPr="008B572D">
              <w:rPr>
                <w:b/>
              </w:rPr>
              <w:t>Clarificat</w:t>
            </w:r>
          </w:p>
          <w:p w:rsidR="009B7AEB" w:rsidRPr="00AA1BE4" w:rsidRDefault="009B7AEB" w:rsidP="009B7AEB">
            <w:pPr>
              <w:jc w:val="both"/>
            </w:pPr>
            <w:r w:rsidRPr="00AA1BE4">
              <w:t>În cazul în care organizația clusterului poate îndeplini</w:t>
            </w:r>
            <w:r>
              <w:t xml:space="preserve"> condiția</w:t>
            </w:r>
            <w:r w:rsidR="0036280D">
              <w:t xml:space="preserve"> </w:t>
            </w:r>
            <w:r w:rsidR="00F5108C">
              <w:t>prevăzută</w:t>
            </w:r>
            <w:r w:rsidR="0036280D">
              <w:t xml:space="preserve"> de art</w:t>
            </w:r>
            <w:r w:rsidR="00E555AF">
              <w:t>.</w:t>
            </w:r>
            <w:r w:rsidR="0036280D">
              <w:t xml:space="preserve"> 2 alin. </w:t>
            </w:r>
            <w:r w:rsidRPr="00AA1BE4">
              <w:t xml:space="preserve">(2) </w:t>
            </w:r>
            <w:r w:rsidR="0036280D">
              <w:t xml:space="preserve"> din </w:t>
            </w:r>
            <w:r>
              <w:t>Legea 346/2004</w:t>
            </w:r>
            <w:r w:rsidR="00F5108C">
              <w:t>:</w:t>
            </w:r>
            <w:r w:rsidR="0036280D">
              <w:t xml:space="preserve"> </w:t>
            </w:r>
            <w:r w:rsidR="00F5108C">
              <w:t>„</w:t>
            </w:r>
            <w:r w:rsidR="0036280D" w:rsidRPr="00F5108C">
              <w:t xml:space="preserve">Prevederile prezentei legi sunt aplicabile și asociațiilor și fundațiilor, cooperativelor agricole și societăților agricole </w:t>
            </w:r>
            <w:r w:rsidR="0036280D" w:rsidRPr="00F5108C">
              <w:rPr>
                <w:b/>
              </w:rPr>
              <w:t>care desfășoară activități economice</w:t>
            </w:r>
            <w:r w:rsidR="00F5108C">
              <w:rPr>
                <w:b/>
              </w:rPr>
              <w:t>”</w:t>
            </w:r>
            <w:r w:rsidR="0036280D" w:rsidRPr="00F5108C">
              <w:t xml:space="preserve">, </w:t>
            </w:r>
            <w:r>
              <w:t xml:space="preserve">aceasta va fi eligibilă să primească cheltuieli pentru </w:t>
            </w:r>
            <w:r w:rsidRPr="008B30DF">
              <w:rPr>
                <w:b/>
              </w:rPr>
              <w:t>activități de inovare</w:t>
            </w:r>
            <w:r>
              <w:t xml:space="preserve">.  </w:t>
            </w:r>
          </w:p>
          <w:p w:rsidR="00D24F4D" w:rsidRPr="009C3AFC" w:rsidRDefault="00D24F4D" w:rsidP="003B4A77">
            <w:pPr>
              <w:jc w:val="both"/>
              <w:rPr>
                <w:color w:val="FF0000"/>
              </w:rPr>
            </w:pPr>
          </w:p>
        </w:tc>
      </w:tr>
      <w:tr w:rsidR="00F24D21" w:rsidTr="006F2E05">
        <w:tc>
          <w:tcPr>
            <w:tcW w:w="546" w:type="dxa"/>
            <w:vMerge/>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AF64B5" w:rsidRDefault="00EB6190" w:rsidP="00E5289E">
            <w:pPr>
              <w:jc w:val="both"/>
            </w:pPr>
            <w:r>
              <w:t xml:space="preserve">Pct 1.3 </w:t>
            </w:r>
          </w:p>
          <w:p w:rsidR="00EB6190" w:rsidRPr="00EB6190" w:rsidRDefault="00EB6190" w:rsidP="00E5289E">
            <w:pPr>
              <w:jc w:val="both"/>
            </w:pPr>
            <w:r w:rsidRPr="00EB6190">
              <w:t>Investiții în clustere de inovare - investiții în facilități CD comune ale clusterului (art.27 din Regulamentul UE nr.651/2014):</w:t>
            </w:r>
          </w:p>
          <w:p w:rsidR="00EB6190" w:rsidRPr="00EB6190" w:rsidRDefault="00EB6190" w:rsidP="00E5289E">
            <w:pPr>
              <w:jc w:val="both"/>
            </w:pPr>
          </w:p>
          <w:p w:rsidR="00F24D21" w:rsidRDefault="00EB6190" w:rsidP="00E5289E">
            <w:pPr>
              <w:jc w:val="both"/>
            </w:pPr>
            <w:r w:rsidRPr="00EB6190">
              <w:t>modernizare/extindere/consolidare/ modificare/schimbare destinație clădiri destinate unor institute/centre/laboratoare de CD</w:t>
            </w:r>
          </w:p>
        </w:tc>
        <w:tc>
          <w:tcPr>
            <w:tcW w:w="4536" w:type="dxa"/>
          </w:tcPr>
          <w:p w:rsidR="00F24D21" w:rsidRPr="00E221B8" w:rsidRDefault="00F24D21" w:rsidP="00F80911">
            <w:pPr>
              <w:jc w:val="both"/>
            </w:pPr>
            <w:r>
              <w:t>Propunem reintr</w:t>
            </w:r>
            <w:r w:rsidR="00F80911">
              <w:t>oducerea investiților ce implică</w:t>
            </w:r>
            <w:r>
              <w:t xml:space="preserve"> construirea unor clădiri noi pentru CD.  Realizarea unor lucrări de modernizare/extindere/ consolidar</w:t>
            </w:r>
            <w:r w:rsidR="00F80911">
              <w:t>e este adesea chiar mai complexă</w:t>
            </w:r>
            <w:r>
              <w:t xml:space="preserve"> </w:t>
            </w:r>
            <w:r w:rsidR="00F80911">
              <w:t>și</w:t>
            </w:r>
            <w:r>
              <w:t xml:space="preserve"> mai dificil de realizat decât realizarea unei construcții noi (avân</w:t>
            </w:r>
            <w:r w:rsidR="00F80911">
              <w:t>d cerințe legislative similare și chiar suplimentare, î</w:t>
            </w:r>
            <w:r>
              <w:t>n situația extinderii/schimbării destinației unor clădiri).</w:t>
            </w:r>
          </w:p>
        </w:tc>
        <w:tc>
          <w:tcPr>
            <w:tcW w:w="5103" w:type="dxa"/>
          </w:tcPr>
          <w:p w:rsidR="0008074D" w:rsidRPr="008B572D" w:rsidRDefault="00E555AF" w:rsidP="00CE6FD9">
            <w:pPr>
              <w:jc w:val="both"/>
              <w:rPr>
                <w:b/>
              </w:rPr>
            </w:pPr>
            <w:r w:rsidRPr="008B572D">
              <w:rPr>
                <w:b/>
              </w:rPr>
              <w:t>Admis</w:t>
            </w:r>
          </w:p>
          <w:p w:rsidR="00F24D21" w:rsidRDefault="00E555AF" w:rsidP="00CA4D9E">
            <w:pPr>
              <w:jc w:val="both"/>
            </w:pPr>
            <w:r>
              <w:t>Întrucât p</w:t>
            </w:r>
            <w:r w:rsidR="009716A1">
              <w:t xml:space="preserve">erioada rămasă pentru implementarea proiectului </w:t>
            </w:r>
            <w:r>
              <w:t xml:space="preserve">este scurtă  </w:t>
            </w:r>
            <w:r w:rsidR="009716A1">
              <w:t>(până la 31 Decembrie 2023)</w:t>
            </w:r>
            <w:r>
              <w:t xml:space="preserve"> este obligatoriu ca pentru proiectele ce vor desf</w:t>
            </w:r>
            <w:r w:rsidR="00CA4D9E">
              <w:t>ășura activități de construcție</w:t>
            </w:r>
            <w:r>
              <w:t xml:space="preserve"> să se prezinte în etapa de de</w:t>
            </w:r>
            <w:r w:rsidR="00CA4D9E">
              <w:t>punere a Cererii de finanțare Studiul</w:t>
            </w:r>
            <w:r>
              <w:t xml:space="preserve"> de fezabilitate și proiectului tehnic aferente lucrării de investiție</w:t>
            </w:r>
            <w:r w:rsidR="009716A1">
              <w:t xml:space="preserve">. </w:t>
            </w:r>
            <w:r w:rsidR="00CC15C4">
              <w:t>Pentru proiectele ce vor desfășura activități de modernizare/extindere/consolidare este necesară prezentarea DALI, în conformitate cu prevederile HG 907/2016 cu modific</w:t>
            </w:r>
            <w:r w:rsidR="00851EA0">
              <w:t>ările și completările ulterioare</w:t>
            </w:r>
            <w:r w:rsidR="00210D5C">
              <w:t>.</w:t>
            </w:r>
            <w:r w:rsidR="00851EA0">
              <w:t xml:space="preserve"> </w:t>
            </w:r>
          </w:p>
          <w:p w:rsidR="0024626C" w:rsidRDefault="0024626C" w:rsidP="0024626C">
            <w:pPr>
              <w:jc w:val="both"/>
            </w:pPr>
            <w:r>
              <w:lastRenderedPageBreak/>
              <w:t>În situația în care lucrările de construire nu sunt demarate în termen de 3 luni de la</w:t>
            </w:r>
            <w:r>
              <w:t xml:space="preserve"> semnarea contractului de finan</w:t>
            </w:r>
            <w:r>
              <w:t xml:space="preserve">țare acesta se </w:t>
            </w:r>
            <w:r w:rsidR="008B572D">
              <w:t>reziliază</w:t>
            </w:r>
            <w:r>
              <w:t xml:space="preserve"> de drept.</w:t>
            </w:r>
          </w:p>
        </w:tc>
      </w:tr>
      <w:tr w:rsidR="00F24D21" w:rsidTr="006F2E05">
        <w:trPr>
          <w:trHeight w:val="1333"/>
        </w:trPr>
        <w:tc>
          <w:tcPr>
            <w:tcW w:w="546" w:type="dxa"/>
            <w:vMerge/>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AF64B5" w:rsidRDefault="00AF64B5" w:rsidP="00EC0CC6">
            <w:pPr>
              <w:jc w:val="both"/>
            </w:pPr>
            <w:r>
              <w:t xml:space="preserve">Pct. 1.3 </w:t>
            </w:r>
          </w:p>
          <w:p w:rsidR="00AF64B5" w:rsidRDefault="00AF64B5" w:rsidP="00EC0CC6">
            <w:pPr>
              <w:jc w:val="both"/>
            </w:pPr>
            <w:r w:rsidRPr="00AF64B5">
              <w:t>Activități de inovare - activități de inovare în cluster</w:t>
            </w:r>
          </w:p>
          <w:p w:rsidR="00EC0CC6" w:rsidRPr="00EC0CC6" w:rsidRDefault="00EC0CC6" w:rsidP="00EC0CC6">
            <w:pPr>
              <w:jc w:val="both"/>
            </w:pPr>
            <w:r w:rsidRPr="00EC0CC6">
              <w:t xml:space="preserve">În acest caz, organizația clusterului trebuie să desfășoare, conform statutului, activități economice. </w:t>
            </w:r>
          </w:p>
          <w:p w:rsidR="00F24D21" w:rsidRDefault="00F24D21" w:rsidP="00BC2F7F">
            <w:pPr>
              <w:pStyle w:val="CommentText"/>
              <w:rPr>
                <w:rStyle w:val="CommentReference"/>
              </w:rPr>
            </w:pPr>
          </w:p>
        </w:tc>
        <w:tc>
          <w:tcPr>
            <w:tcW w:w="4536" w:type="dxa"/>
          </w:tcPr>
          <w:p w:rsidR="00F24D21" w:rsidRPr="00BC2F7F" w:rsidRDefault="00AF64B5" w:rsidP="00AF64B5">
            <w:pPr>
              <w:jc w:val="both"/>
            </w:pPr>
            <w:r>
              <w:t>De clarificat dacă</w:t>
            </w:r>
            <w:r w:rsidR="00F24D21">
              <w:t>,</w:t>
            </w:r>
            <w:r w:rsidR="00F24D21" w:rsidRPr="00BC2F7F">
              <w:t xml:space="preserve"> </w:t>
            </w:r>
            <w:r w:rsidR="00F24D21" w:rsidRPr="008D1287">
              <w:rPr>
                <w:b/>
              </w:rPr>
              <w:t>în cazul activităților de inovare</w:t>
            </w:r>
            <w:r w:rsidR="00F24D21">
              <w:t xml:space="preserve">, </w:t>
            </w:r>
            <w:r w:rsidR="00F24D21" w:rsidRPr="00BC2F7F">
              <w:t xml:space="preserve">veniturile cu caracter economic pe vreunul din ultimii ani fiscali </w:t>
            </w:r>
            <w:r>
              <w:t>anteriori mai are vreo relevanță</w:t>
            </w:r>
            <w:r w:rsidR="00F24D21" w:rsidRPr="00BC2F7F">
              <w:t xml:space="preserve"> sau este suficient ca activitățile economice </w:t>
            </w:r>
            <w:r>
              <w:t>să se regăsească î</w:t>
            </w:r>
            <w:r w:rsidR="00F24D21" w:rsidRPr="00BC2F7F">
              <w:t>n statutul asociației/fundației solicitante</w:t>
            </w:r>
            <w:r w:rsidR="00F24D21">
              <w:t xml:space="preserve">. </w:t>
            </w:r>
          </w:p>
        </w:tc>
        <w:tc>
          <w:tcPr>
            <w:tcW w:w="5103" w:type="dxa"/>
          </w:tcPr>
          <w:p w:rsidR="0008074D" w:rsidRPr="008B572D" w:rsidRDefault="0008074D" w:rsidP="00E07AFE">
            <w:pPr>
              <w:tabs>
                <w:tab w:val="left" w:pos="1369"/>
              </w:tabs>
              <w:rPr>
                <w:b/>
              </w:rPr>
            </w:pPr>
            <w:r w:rsidRPr="008B572D">
              <w:rPr>
                <w:b/>
              </w:rPr>
              <w:t>Clarificat</w:t>
            </w:r>
          </w:p>
          <w:p w:rsidR="00F24D21" w:rsidRDefault="00E07AFE" w:rsidP="00CA4D9E">
            <w:pPr>
              <w:tabs>
                <w:tab w:val="left" w:pos="1369"/>
              </w:tabs>
              <w:jc w:val="both"/>
            </w:pPr>
            <w:r>
              <w:t>Relevanța există p</w:t>
            </w:r>
            <w:r w:rsidR="00705127">
              <w:t>entru a se verifica dacă</w:t>
            </w:r>
            <w:r w:rsidR="0041502D">
              <w:t xml:space="preserve"> </w:t>
            </w:r>
            <w:r w:rsidR="008D1287">
              <w:t>organizația</w:t>
            </w:r>
            <w:r w:rsidR="0041502D">
              <w:t xml:space="preserve"> clusterului (</w:t>
            </w:r>
            <w:r w:rsidR="008D1287">
              <w:t>asociația</w:t>
            </w:r>
            <w:r w:rsidR="0041502D">
              <w:t xml:space="preserve">, </w:t>
            </w:r>
            <w:r w:rsidR="008D1287">
              <w:t>fundația</w:t>
            </w:r>
            <w:r w:rsidR="0041502D">
              <w:t xml:space="preserve">) </w:t>
            </w:r>
            <w:r w:rsidR="008D1287">
              <w:t>îndeplinește</w:t>
            </w:r>
            <w:r w:rsidR="0041502D">
              <w:t xml:space="preserve"> </w:t>
            </w:r>
            <w:r w:rsidR="008D1287">
              <w:t>condiția</w:t>
            </w:r>
            <w:r w:rsidR="0041502D">
              <w:t xml:space="preserve"> </w:t>
            </w:r>
            <w:r>
              <w:t xml:space="preserve"> </w:t>
            </w:r>
            <w:r w:rsidR="008D1287">
              <w:t>prevăzută</w:t>
            </w:r>
            <w:r>
              <w:t xml:space="preserve"> de </w:t>
            </w:r>
            <w:r w:rsidR="0041502D">
              <w:t>„</w:t>
            </w:r>
            <w:r>
              <w:t>art</w:t>
            </w:r>
            <w:r w:rsidR="00457C0D">
              <w:t>.</w:t>
            </w:r>
            <w:r>
              <w:t xml:space="preserve"> 2, alin. </w:t>
            </w:r>
            <w:r w:rsidR="0041502D" w:rsidRPr="00AA1BE4">
              <w:t xml:space="preserve">(2) </w:t>
            </w:r>
            <w:r>
              <w:t xml:space="preserve">Legea 346/2004, </w:t>
            </w:r>
            <w:r w:rsidRPr="00AA1BE4">
              <w:t xml:space="preserve">Prevederile prezentei legi </w:t>
            </w:r>
            <w:r w:rsidR="0041502D" w:rsidRPr="00AA1BE4">
              <w:t xml:space="preserve">sunt aplicabile </w:t>
            </w:r>
            <w:r w:rsidR="00457C0D" w:rsidRPr="00AA1BE4">
              <w:t>și</w:t>
            </w:r>
            <w:r w:rsidR="0041502D" w:rsidRPr="00AA1BE4">
              <w:t xml:space="preserve"> </w:t>
            </w:r>
            <w:r w:rsidR="008D1287" w:rsidRPr="00AA1BE4">
              <w:t>asociațiilor</w:t>
            </w:r>
            <w:r w:rsidR="0041502D" w:rsidRPr="00AA1BE4">
              <w:t xml:space="preserve"> </w:t>
            </w:r>
            <w:r w:rsidR="00457C0D" w:rsidRPr="00AA1BE4">
              <w:t>și</w:t>
            </w:r>
            <w:r w:rsidR="0041502D" w:rsidRPr="00AA1BE4">
              <w:t xml:space="preserve"> </w:t>
            </w:r>
            <w:r w:rsidR="008D1287" w:rsidRPr="00AA1BE4">
              <w:t>fundațiilor</w:t>
            </w:r>
            <w:r w:rsidR="0041502D" w:rsidRPr="00AA1BE4">
              <w:t xml:space="preserve">, cooperativelor agricole </w:t>
            </w:r>
            <w:r w:rsidR="00457C0D" w:rsidRPr="00AA1BE4">
              <w:t>și</w:t>
            </w:r>
            <w:r w:rsidR="0041502D" w:rsidRPr="00AA1BE4">
              <w:t xml:space="preserve"> </w:t>
            </w:r>
            <w:r w:rsidR="008D1287" w:rsidRPr="00AA1BE4">
              <w:t>societăților</w:t>
            </w:r>
            <w:r w:rsidR="0041502D" w:rsidRPr="00AA1BE4">
              <w:t xml:space="preserve"> agricole </w:t>
            </w:r>
            <w:r w:rsidR="0041502D" w:rsidRPr="00AA1BE4">
              <w:rPr>
                <w:b/>
                <w:i/>
              </w:rPr>
              <w:t xml:space="preserve">care </w:t>
            </w:r>
            <w:r w:rsidR="008D1287" w:rsidRPr="00AA1BE4">
              <w:rPr>
                <w:b/>
                <w:i/>
              </w:rPr>
              <w:t>desfășoară</w:t>
            </w:r>
            <w:r w:rsidR="0041502D" w:rsidRPr="00AA1BE4">
              <w:rPr>
                <w:b/>
                <w:i/>
              </w:rPr>
              <w:t xml:space="preserve"> </w:t>
            </w:r>
            <w:r w:rsidR="008D1287" w:rsidRPr="00AA1BE4">
              <w:rPr>
                <w:b/>
                <w:i/>
              </w:rPr>
              <w:t>activități</w:t>
            </w:r>
            <w:r w:rsidR="0041502D" w:rsidRPr="00AA1BE4">
              <w:rPr>
                <w:b/>
                <w:i/>
              </w:rPr>
              <w:t xml:space="preserve"> economice</w:t>
            </w:r>
            <w:r w:rsidR="0041502D">
              <w:t>”</w:t>
            </w:r>
            <w:r w:rsidR="008D1287">
              <w:t xml:space="preserve">, având în vedere că este beneficiar de ajutor de stat. </w:t>
            </w:r>
          </w:p>
          <w:p w:rsidR="0008074D" w:rsidRDefault="0008074D" w:rsidP="00CA4D9E">
            <w:pPr>
              <w:tabs>
                <w:tab w:val="left" w:pos="1369"/>
              </w:tabs>
              <w:jc w:val="both"/>
            </w:pPr>
            <w:r w:rsidRPr="0014609E">
              <w:rPr>
                <w:b/>
              </w:rPr>
              <w:t xml:space="preserve">Este valabil pentru </w:t>
            </w:r>
            <w:r w:rsidR="008D1287" w:rsidRPr="0014609E">
              <w:rPr>
                <w:b/>
              </w:rPr>
              <w:t>solicitanții</w:t>
            </w:r>
            <w:r w:rsidRPr="0014609E">
              <w:rPr>
                <w:b/>
              </w:rPr>
              <w:t xml:space="preserve"> care au </w:t>
            </w:r>
            <w:r w:rsidR="008D1287" w:rsidRPr="0014609E">
              <w:rPr>
                <w:b/>
              </w:rPr>
              <w:t>activități</w:t>
            </w:r>
            <w:r w:rsidRPr="0014609E">
              <w:rPr>
                <w:b/>
              </w:rPr>
              <w:t xml:space="preserve"> de inovare si solicita cheltuielile aferente</w:t>
            </w:r>
            <w:r>
              <w:t>.</w:t>
            </w:r>
          </w:p>
          <w:p w:rsidR="0008074D" w:rsidRPr="00A7521F" w:rsidRDefault="00705127" w:rsidP="00CA4D9E">
            <w:pPr>
              <w:tabs>
                <w:tab w:val="left" w:pos="1369"/>
              </w:tabs>
              <w:jc w:val="both"/>
            </w:pPr>
            <w:r>
              <w:t>Se verifică</w:t>
            </w:r>
            <w:r w:rsidR="0008074D">
              <w:t xml:space="preserve"> realizarea </w:t>
            </w:r>
            <w:r>
              <w:t>efectivă</w:t>
            </w:r>
            <w:r w:rsidR="008D1287">
              <w:t xml:space="preserve"> de activități economice</w:t>
            </w:r>
            <w:r w:rsidR="0008074D">
              <w:t>.</w:t>
            </w:r>
          </w:p>
        </w:tc>
      </w:tr>
      <w:tr w:rsidR="00F24D21" w:rsidTr="006F2E05">
        <w:tc>
          <w:tcPr>
            <w:tcW w:w="546" w:type="dxa"/>
            <w:vMerge/>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350B13" w:rsidRDefault="00350B13" w:rsidP="004341F9">
            <w:pPr>
              <w:jc w:val="both"/>
            </w:pPr>
            <w:r>
              <w:t xml:space="preserve">Pct. 1.3 </w:t>
            </w:r>
          </w:p>
          <w:p w:rsidR="004341F9" w:rsidRPr="004341F9" w:rsidRDefault="004341F9" w:rsidP="004341F9">
            <w:pPr>
              <w:jc w:val="both"/>
            </w:pPr>
            <w:r w:rsidRPr="004341F9">
              <w:t>Lucrări exceptate de la autorizare (dacă este cazul)</w:t>
            </w:r>
          </w:p>
          <w:p w:rsidR="00F24D21" w:rsidRDefault="00F24D21" w:rsidP="004341F9">
            <w:pPr>
              <w:jc w:val="both"/>
            </w:pPr>
          </w:p>
        </w:tc>
        <w:tc>
          <w:tcPr>
            <w:tcW w:w="4536" w:type="dxa"/>
          </w:tcPr>
          <w:p w:rsidR="00F24D21" w:rsidRPr="00631679" w:rsidRDefault="00F24D21" w:rsidP="00A64456">
            <w:pPr>
              <w:jc w:val="both"/>
              <w:rPr>
                <w:rFonts w:ascii="Calibri" w:hAnsi="Calibri" w:cs="Calibri"/>
                <w:color w:val="000000"/>
              </w:rPr>
            </w:pPr>
            <w:r>
              <w:t>În ce categorie de activități vor fi incluse lucrările exceptate de la autorizare (ex. activități de tip A, B si/sau C? Vă rugăm, să clarificați).</w:t>
            </w:r>
          </w:p>
        </w:tc>
        <w:tc>
          <w:tcPr>
            <w:tcW w:w="5103" w:type="dxa"/>
          </w:tcPr>
          <w:p w:rsidR="00D532C1" w:rsidRPr="008B572D" w:rsidRDefault="00D532C1" w:rsidP="00430380">
            <w:pPr>
              <w:jc w:val="both"/>
              <w:rPr>
                <w:b/>
              </w:rPr>
            </w:pPr>
            <w:r w:rsidRPr="008B572D">
              <w:rPr>
                <w:b/>
              </w:rPr>
              <w:t>Clarificat</w:t>
            </w:r>
          </w:p>
          <w:p w:rsidR="00D532C1" w:rsidRDefault="00874AB6" w:rsidP="00430380">
            <w:pPr>
              <w:jc w:val="both"/>
            </w:pPr>
            <w:r>
              <w:t>Au fost introduse în</w:t>
            </w:r>
            <w:r w:rsidR="00D532C1">
              <w:t xml:space="preserve"> categoria A</w:t>
            </w:r>
            <w:r>
              <w:t xml:space="preserve"> î</w:t>
            </w:r>
            <w:r w:rsidR="00435D35">
              <w:t>n GS</w:t>
            </w:r>
            <w:r>
              <w:t>.</w:t>
            </w:r>
          </w:p>
          <w:p w:rsidR="00F24D21" w:rsidRDefault="00430380" w:rsidP="00430380">
            <w:pPr>
              <w:jc w:val="both"/>
            </w:pPr>
            <w:r>
              <w:t>L</w:t>
            </w:r>
            <w:r w:rsidR="005C1E97">
              <w:t>ucrările exceptate de la autorizare s</w:t>
            </w:r>
            <w:r>
              <w:t xml:space="preserve">e </w:t>
            </w:r>
            <w:r w:rsidR="00457C0D">
              <w:t>încadrează</w:t>
            </w:r>
            <w:r>
              <w:t xml:space="preserve"> in </w:t>
            </w:r>
            <w:r w:rsidR="005C1E97">
              <w:t xml:space="preserve"> act</w:t>
            </w:r>
            <w:r>
              <w:t>ivi</w:t>
            </w:r>
            <w:r w:rsidR="00874AB6">
              <w:t>tățile de tip A şi se referă</w:t>
            </w:r>
            <w:r w:rsidR="005C1E97">
              <w:t xml:space="preserve"> la </w:t>
            </w:r>
            <w:r w:rsidR="00457C0D">
              <w:t>activitățile</w:t>
            </w:r>
            <w:r w:rsidR="005C1E97">
              <w:t xml:space="preserve"> </w:t>
            </w:r>
            <w:r w:rsidR="007D65C0">
              <w:t>de modernizare de mică anvergură ce nu necesită</w:t>
            </w:r>
            <w:r w:rsidR="005C1E97">
              <w:t xml:space="preserve"> </w:t>
            </w:r>
            <w:r w:rsidR="00457C0D">
              <w:t>autorizații</w:t>
            </w:r>
            <w:r w:rsidR="005C1E97">
              <w:t>.</w:t>
            </w:r>
          </w:p>
        </w:tc>
      </w:tr>
      <w:tr w:rsidR="00F24D21" w:rsidTr="006F2E05">
        <w:tc>
          <w:tcPr>
            <w:tcW w:w="546" w:type="dxa"/>
            <w:vMerge/>
            <w:vAlign w:val="center"/>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E820A7" w:rsidRDefault="00E820A7" w:rsidP="004341F9">
            <w:pPr>
              <w:jc w:val="both"/>
            </w:pPr>
            <w:r>
              <w:t xml:space="preserve">Pct. 1.3 </w:t>
            </w:r>
          </w:p>
          <w:p w:rsidR="004341F9" w:rsidRPr="004341F9" w:rsidRDefault="004341F9" w:rsidP="004341F9">
            <w:pPr>
              <w:jc w:val="both"/>
            </w:pPr>
            <w:r w:rsidRPr="004341F9">
              <w:t xml:space="preserve">Taxele percepute pentru utilizarea instalațiilor/facilităților comune sprijinite și pentru participarea la activitățile clusterului trebuie să corespundă prețului de pe piață sau să reflecte costurile aferente utilizării și participării la activități. </w:t>
            </w:r>
          </w:p>
          <w:p w:rsidR="00F24D21" w:rsidRDefault="00F24D21" w:rsidP="00D20C3C">
            <w:pPr>
              <w:pStyle w:val="CommentText"/>
              <w:jc w:val="both"/>
              <w:rPr>
                <w:rStyle w:val="CommentReference"/>
              </w:rPr>
            </w:pPr>
          </w:p>
        </w:tc>
        <w:tc>
          <w:tcPr>
            <w:tcW w:w="4536" w:type="dxa"/>
          </w:tcPr>
          <w:p w:rsidR="00F24D21" w:rsidRPr="00EC45E5" w:rsidRDefault="004341F9" w:rsidP="004341F9">
            <w:pPr>
              <w:pStyle w:val="CommentText"/>
              <w:jc w:val="both"/>
              <w:rPr>
                <w:rFonts w:asciiTheme="minorHAnsi" w:eastAsiaTheme="minorHAnsi" w:hAnsiTheme="minorHAnsi" w:cstheme="minorBidi"/>
                <w:sz w:val="22"/>
                <w:szCs w:val="22"/>
              </w:rPr>
            </w:pPr>
            <w:r w:rsidRPr="00426DC2">
              <w:rPr>
                <w:rFonts w:asciiTheme="minorHAnsi" w:eastAsiaTheme="minorHAnsi" w:hAnsiTheme="minorHAnsi" w:cstheme="minorBidi"/>
                <w:sz w:val="22"/>
                <w:szCs w:val="22"/>
              </w:rPr>
              <w:t xml:space="preserve"> </w:t>
            </w:r>
            <w:r w:rsidR="00E820A7">
              <w:rPr>
                <w:rFonts w:asciiTheme="minorHAnsi" w:eastAsiaTheme="minorHAnsi" w:hAnsiTheme="minorHAnsi" w:cstheme="minorBidi"/>
                <w:sz w:val="22"/>
                <w:szCs w:val="22"/>
              </w:rPr>
              <w:t>De clarificat dacă</w:t>
            </w:r>
            <w:r w:rsidR="00F24D21" w:rsidRPr="00426DC2">
              <w:rPr>
                <w:rFonts w:asciiTheme="minorHAnsi" w:eastAsiaTheme="minorHAnsi" w:hAnsiTheme="minorHAnsi" w:cstheme="minorBidi"/>
                <w:sz w:val="22"/>
                <w:szCs w:val="22"/>
              </w:rPr>
              <w:t xml:space="preserve"> finanțatorul</w:t>
            </w:r>
            <w:r w:rsidR="00F24D21">
              <w:rPr>
                <w:rFonts w:asciiTheme="minorHAnsi" w:eastAsiaTheme="minorHAnsi" w:hAnsiTheme="minorHAnsi" w:cstheme="minorBidi"/>
                <w:sz w:val="22"/>
                <w:szCs w:val="22"/>
              </w:rPr>
              <w:t xml:space="preserve"> are î</w:t>
            </w:r>
            <w:r w:rsidR="00F24D21" w:rsidRPr="00426DC2">
              <w:rPr>
                <w:rFonts w:asciiTheme="minorHAnsi" w:eastAsiaTheme="minorHAnsi" w:hAnsiTheme="minorHAnsi" w:cstheme="minorBidi"/>
                <w:sz w:val="22"/>
                <w:szCs w:val="22"/>
              </w:rPr>
              <w:t>n vedere aceste aspecte atât</w:t>
            </w:r>
            <w:r w:rsidR="00F24D21">
              <w:rPr>
                <w:rFonts w:asciiTheme="minorHAnsi" w:eastAsiaTheme="minorHAnsi" w:hAnsiTheme="minorHAnsi" w:cstheme="minorBidi"/>
                <w:sz w:val="22"/>
                <w:szCs w:val="22"/>
              </w:rPr>
              <w:t xml:space="preserve"> în implementare, cât ș</w:t>
            </w:r>
            <w:r w:rsidR="00F24D21" w:rsidRPr="00426DC2">
              <w:rPr>
                <w:rFonts w:asciiTheme="minorHAnsi" w:eastAsiaTheme="minorHAnsi" w:hAnsiTheme="minorHAnsi" w:cstheme="minorBidi"/>
                <w:sz w:val="22"/>
                <w:szCs w:val="22"/>
              </w:rPr>
              <w:t xml:space="preserve">i ulterior </w:t>
            </w:r>
            <w:r w:rsidR="00F24D21">
              <w:rPr>
                <w:rFonts w:asciiTheme="minorHAnsi" w:eastAsiaTheme="minorHAnsi" w:hAnsiTheme="minorHAnsi" w:cstheme="minorBidi"/>
                <w:sz w:val="22"/>
                <w:szCs w:val="22"/>
              </w:rPr>
              <w:t>î</w:t>
            </w:r>
            <w:r w:rsidR="00F24D21" w:rsidRPr="00426DC2">
              <w:rPr>
                <w:rFonts w:asciiTheme="minorHAnsi" w:eastAsiaTheme="minorHAnsi" w:hAnsiTheme="minorHAnsi" w:cstheme="minorBidi"/>
                <w:sz w:val="22"/>
                <w:szCs w:val="22"/>
              </w:rPr>
              <w:t>n exploatare sau doar post-implementare (adică</w:t>
            </w:r>
            <w:r w:rsidR="00F24D21">
              <w:rPr>
                <w:rFonts w:asciiTheme="minorHAnsi" w:eastAsiaTheme="minorHAnsi" w:hAnsiTheme="minorHAnsi" w:cstheme="minorBidi"/>
                <w:sz w:val="22"/>
                <w:szCs w:val="22"/>
              </w:rPr>
              <w:t xml:space="preserve"> exclusiv î</w:t>
            </w:r>
            <w:r w:rsidR="00F24D21" w:rsidRPr="00426DC2">
              <w:rPr>
                <w:rFonts w:asciiTheme="minorHAnsi" w:eastAsiaTheme="minorHAnsi" w:hAnsiTheme="minorHAnsi" w:cstheme="minorBidi"/>
                <w:sz w:val="22"/>
                <w:szCs w:val="22"/>
              </w:rPr>
              <w:t>n exploatare, fără a fi valabile precizările</w:t>
            </w:r>
            <w:r w:rsidR="00F24D21">
              <w:rPr>
                <w:rFonts w:asciiTheme="minorHAnsi" w:eastAsiaTheme="minorHAnsi" w:hAnsiTheme="minorHAnsi" w:cstheme="minorBidi"/>
                <w:sz w:val="22"/>
                <w:szCs w:val="22"/>
              </w:rPr>
              <w:t xml:space="preserve"> î</w:t>
            </w:r>
            <w:r w:rsidR="00F24D21" w:rsidRPr="00426DC2">
              <w:rPr>
                <w:rFonts w:asciiTheme="minorHAnsi" w:eastAsiaTheme="minorHAnsi" w:hAnsiTheme="minorHAnsi" w:cstheme="minorBidi"/>
                <w:sz w:val="22"/>
                <w:szCs w:val="22"/>
              </w:rPr>
              <w:t xml:space="preserve">n etapa de implementare). </w:t>
            </w:r>
          </w:p>
        </w:tc>
        <w:tc>
          <w:tcPr>
            <w:tcW w:w="5103" w:type="dxa"/>
          </w:tcPr>
          <w:p w:rsidR="00435D35" w:rsidRPr="008B572D" w:rsidRDefault="00435D35" w:rsidP="00E00B00">
            <w:pPr>
              <w:jc w:val="both"/>
              <w:rPr>
                <w:b/>
              </w:rPr>
            </w:pPr>
            <w:r w:rsidRPr="008B572D">
              <w:rPr>
                <w:b/>
              </w:rPr>
              <w:t>Clarificat</w:t>
            </w:r>
          </w:p>
          <w:p w:rsidR="00F24D21" w:rsidRPr="00E00B00" w:rsidRDefault="00E52FA4" w:rsidP="00675881">
            <w:pPr>
              <w:jc w:val="both"/>
            </w:pPr>
            <w:r>
              <w:t>Corespondența</w:t>
            </w:r>
            <w:r w:rsidR="007B6AA3">
              <w:t xml:space="preserve"> cu </w:t>
            </w:r>
            <w:r w:rsidR="00675881">
              <w:t>prețul</w:t>
            </w:r>
            <w:r w:rsidR="007B6AA3">
              <w:t xml:space="preserve"> </w:t>
            </w:r>
            <w:r w:rsidR="00675881">
              <w:t>pieței</w:t>
            </w:r>
            <w:r w:rsidR="007B6AA3">
              <w:t xml:space="preserve"> este o </w:t>
            </w:r>
            <w:r w:rsidR="00675881">
              <w:t>condiție</w:t>
            </w:r>
            <w:r w:rsidR="007B6AA3">
              <w:t xml:space="preserve"> obligatorie de </w:t>
            </w:r>
            <w:r w:rsidR="00675881">
              <w:t>îndeplinit</w:t>
            </w:r>
            <w:r w:rsidR="007B6AA3">
              <w:t xml:space="preserve"> pe parcursul </w:t>
            </w:r>
            <w:r w:rsidR="00675881">
              <w:t xml:space="preserve">implementării proiectului și pe perioada de durabilitate. </w:t>
            </w:r>
          </w:p>
        </w:tc>
      </w:tr>
      <w:tr w:rsidR="00F24D21" w:rsidTr="006F2E05">
        <w:tc>
          <w:tcPr>
            <w:tcW w:w="546" w:type="dxa"/>
            <w:vMerge/>
            <w:vAlign w:val="center"/>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9D3EE0" w:rsidRDefault="009D3EE0" w:rsidP="00A83568">
            <w:pPr>
              <w:jc w:val="both"/>
            </w:pPr>
            <w:r>
              <w:t xml:space="preserve">Pct. 1.3 </w:t>
            </w:r>
          </w:p>
          <w:p w:rsidR="00F24D21" w:rsidRPr="004341F9" w:rsidRDefault="004341F9" w:rsidP="00A83568">
            <w:pPr>
              <w:jc w:val="both"/>
            </w:pPr>
            <w:r w:rsidRPr="004341F9">
              <w:t xml:space="preserve">Se consideră că ajutoarele au efect stimulativ dacă proiectul de </w:t>
            </w:r>
            <w:r w:rsidRPr="004341F9">
              <w:lastRenderedPageBreak/>
              <w:t xml:space="preserve">investiții nu demarează înaintea depunerii cererii de finanțare.  </w:t>
            </w:r>
          </w:p>
        </w:tc>
        <w:tc>
          <w:tcPr>
            <w:tcW w:w="4536" w:type="dxa"/>
          </w:tcPr>
          <w:p w:rsidR="004341F9" w:rsidRDefault="004341F9" w:rsidP="004341F9">
            <w:pPr>
              <w:jc w:val="both"/>
            </w:pPr>
            <w:r>
              <w:lastRenderedPageBreak/>
              <w:t>De clarificat, în interpretare „</w:t>
            </w:r>
            <w:r w:rsidRPr="006A6F95">
              <w:t>per a contrario</w:t>
            </w:r>
            <w:r>
              <w:t xml:space="preserve">” dacă un proiect poate demara (cu activități și plăți), imediat după depunerea cererii de </w:t>
            </w:r>
            <w:r>
              <w:lastRenderedPageBreak/>
              <w:t>finanțare, iar acestea rămânând eligibile în situația semnării contractului de finanțare.</w:t>
            </w:r>
          </w:p>
          <w:p w:rsidR="00F24D21" w:rsidRPr="00631679" w:rsidRDefault="00F24D21" w:rsidP="00A83568">
            <w:pPr>
              <w:jc w:val="both"/>
              <w:rPr>
                <w:rFonts w:ascii="Calibri" w:hAnsi="Calibri" w:cs="Calibri"/>
                <w:color w:val="000000"/>
              </w:rPr>
            </w:pPr>
          </w:p>
        </w:tc>
        <w:tc>
          <w:tcPr>
            <w:tcW w:w="5103" w:type="dxa"/>
          </w:tcPr>
          <w:p w:rsidR="002137E1" w:rsidRPr="008B572D" w:rsidRDefault="002137E1" w:rsidP="00A83568">
            <w:pPr>
              <w:jc w:val="both"/>
              <w:rPr>
                <w:b/>
              </w:rPr>
            </w:pPr>
            <w:r w:rsidRPr="008B572D">
              <w:rPr>
                <w:b/>
              </w:rPr>
              <w:lastRenderedPageBreak/>
              <w:t>Clarificat</w:t>
            </w:r>
          </w:p>
          <w:p w:rsidR="00D22287" w:rsidRDefault="00F80AA4" w:rsidP="00A83568">
            <w:pPr>
              <w:jc w:val="both"/>
            </w:pPr>
            <w:r w:rsidRPr="004341F9">
              <w:t xml:space="preserve">Se consideră că ajutoarele au efect stimulativ dacă proiectul de investiții nu demarează </w:t>
            </w:r>
            <w:r w:rsidRPr="00F80AA4">
              <w:rPr>
                <w:b/>
              </w:rPr>
              <w:t>înaintea depunerii cererii de finanțare.</w:t>
            </w:r>
            <w:r w:rsidRPr="004341F9">
              <w:t xml:space="preserve"> </w:t>
            </w:r>
          </w:p>
          <w:p w:rsidR="00D22287" w:rsidRDefault="00F80AA4" w:rsidP="00A83568">
            <w:pPr>
              <w:jc w:val="both"/>
              <w:rPr>
                <w:rFonts w:ascii="Helvetica" w:hAnsi="Helvetica"/>
                <w:color w:val="000000"/>
                <w:shd w:val="clear" w:color="auto" w:fill="FFFFFF"/>
              </w:rPr>
            </w:pPr>
            <w:r w:rsidRPr="004341F9">
              <w:lastRenderedPageBreak/>
              <w:t xml:space="preserve"> </w:t>
            </w:r>
            <w:r w:rsidR="00D22287" w:rsidRPr="00D22287">
              <w:rPr>
                <w:b/>
              </w:rPr>
              <w:t xml:space="preserve">Dar, </w:t>
            </w:r>
            <w:r w:rsidR="00D22287" w:rsidRPr="00D22287">
              <w:rPr>
                <w:b/>
              </w:rPr>
              <w:t>o cheltuială</w:t>
            </w:r>
            <w:r w:rsidR="00D22287" w:rsidRPr="00D22287">
              <w:rPr>
                <w:b/>
              </w:rPr>
              <w:t xml:space="preserve"> devine </w:t>
            </w:r>
            <w:r w:rsidR="00D22287" w:rsidRPr="00D22287">
              <w:rPr>
                <w:b/>
              </w:rPr>
              <w:t>eligibilă</w:t>
            </w:r>
            <w:r w:rsidR="00D22287" w:rsidRPr="00D22287">
              <w:rPr>
                <w:b/>
              </w:rPr>
              <w:t xml:space="preserve"> de la data semnării contractului de finanțare</w:t>
            </w:r>
            <w:r w:rsidR="00D22287" w:rsidRPr="00D22287">
              <w:t>.</w:t>
            </w:r>
          </w:p>
          <w:p w:rsidR="003A4E93" w:rsidRDefault="00D22287" w:rsidP="00A83568">
            <w:pPr>
              <w:jc w:val="both"/>
            </w:pPr>
            <w:r>
              <w:rPr>
                <w:rFonts w:ascii="Helvetica" w:hAnsi="Helvetica"/>
                <w:color w:val="000000"/>
                <w:shd w:val="clear" w:color="auto" w:fill="FFFFFF"/>
              </w:rPr>
              <w:t xml:space="preserve"> </w:t>
            </w:r>
          </w:p>
          <w:p w:rsidR="003A4E93" w:rsidRDefault="003A4E93" w:rsidP="003A4E93">
            <w:pPr>
              <w:jc w:val="both"/>
            </w:pPr>
            <w:r>
              <w:t>Pentru activitățile de investiții începerea lucrărilor sau începerea proiectului</w:t>
            </w:r>
            <w:r w:rsidR="00AB2DE1">
              <w:t xml:space="preserve"> </w:t>
            </w:r>
            <w:r>
              <w:t xml:space="preserve">înseamnă fie demararea lucrărilor de  </w:t>
            </w:r>
            <w:r w:rsidR="00AB2DE1">
              <w:t>construcție</w:t>
            </w:r>
            <w:r w:rsidR="0024626C">
              <w:t xml:space="preserve"> </w:t>
            </w:r>
            <w:r w:rsidR="00AB2DE1">
              <w:t>/</w:t>
            </w:r>
            <w:r>
              <w:t>modernizare</w:t>
            </w:r>
            <w:r w:rsidR="0024626C">
              <w:t xml:space="preserve"> </w:t>
            </w:r>
            <w:r>
              <w:t>/extindere</w:t>
            </w:r>
            <w:r w:rsidR="0024626C">
              <w:t xml:space="preserve"> </w:t>
            </w:r>
            <w:r>
              <w:t>/consolidare/ modificare/schimbare destinație clădiri în cadrul investiției, fie primul angajament cu caracter juridic obligatoriu de comandă pentru echipamente sau oricare alt angajament prin care investiția devine ireversibilă, în funcție de care are loc primul. Lucrările pregătitoare, cum ar fi obținerea permiselor , nu sunt considerate drept începere a lucrărilor.</w:t>
            </w:r>
          </w:p>
          <w:p w:rsidR="0024626C" w:rsidRDefault="0024626C" w:rsidP="003A4E93">
            <w:pPr>
              <w:jc w:val="both"/>
            </w:pPr>
          </w:p>
          <w:p w:rsidR="003A4E93" w:rsidRDefault="003A4E93" w:rsidP="003A4E93">
            <w:pPr>
              <w:jc w:val="both"/>
            </w:pPr>
            <w:r>
              <w:t>Pentru activitățile de inovare începerea lucrărilor înseamnă fie începerea efectivă a activităților de inovare, fie primul acord dintre beneficiar și contractanți privind desfășurarea proiectului, în funcție de evenimentul care survine mai întâi. Lucrările pregătitoare, cum ar fi obținerea permiselor, nu sunt considerate începerea lucrărilor.</w:t>
            </w:r>
          </w:p>
        </w:tc>
      </w:tr>
      <w:tr w:rsidR="00F24D21" w:rsidTr="006F2E05">
        <w:tc>
          <w:tcPr>
            <w:tcW w:w="546" w:type="dxa"/>
            <w:vMerge/>
            <w:vAlign w:val="center"/>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B322DD" w:rsidRDefault="00B322DD" w:rsidP="00F23679">
            <w:pPr>
              <w:jc w:val="both"/>
            </w:pPr>
            <w:r>
              <w:t>Pct. 1.4</w:t>
            </w:r>
          </w:p>
          <w:p w:rsidR="00F24D21" w:rsidRPr="00823937" w:rsidRDefault="00B322DD" w:rsidP="005F6095">
            <w:pPr>
              <w:jc w:val="both"/>
            </w:pPr>
            <w:r>
              <w:t>Organizația clu</w:t>
            </w:r>
            <w:r w:rsidR="00F23679" w:rsidRPr="00F23679">
              <w:t>sterul</w:t>
            </w:r>
            <w:r>
              <w:t>ui</w:t>
            </w:r>
            <w:r w:rsidR="00F23679" w:rsidRPr="00F23679">
              <w:t xml:space="preserve"> va conține cel puțin 10 părți independente organizate ca societăți comerciale, care se încadrează în categoria IMM-urilor conform Legii </w:t>
            </w:r>
            <w:r w:rsidR="00F0426C">
              <w:t>346/2004</w:t>
            </w:r>
            <w:r w:rsidR="00F23679" w:rsidRPr="00F23679">
              <w:t xml:space="preserve">, și cel puțin o parte independentă de tip </w:t>
            </w:r>
            <w:r w:rsidR="009127CD" w:rsidRPr="00F23679">
              <w:t>organizație</w:t>
            </w:r>
            <w:r w:rsidR="00F23679" w:rsidRPr="00F23679">
              <w:t xml:space="preserve"> de cercetare  (universitate sau institut CD).</w:t>
            </w:r>
          </w:p>
        </w:tc>
        <w:tc>
          <w:tcPr>
            <w:tcW w:w="4536" w:type="dxa"/>
          </w:tcPr>
          <w:p w:rsidR="00F23679" w:rsidRDefault="00B322DD" w:rsidP="00F23679">
            <w:pPr>
              <w:jc w:val="both"/>
            </w:pPr>
            <w:r>
              <w:t>Considerăm că</w:t>
            </w:r>
            <w:r w:rsidR="00F23679">
              <w:t xml:space="preserve"> această condiție trebuie să se refere la cluster și nu la organizația lui. </w:t>
            </w:r>
          </w:p>
          <w:p w:rsidR="005211CF" w:rsidRDefault="005211CF" w:rsidP="005F6095">
            <w:pPr>
              <w:jc w:val="both"/>
              <w:rPr>
                <w:rFonts w:ascii="Calibri" w:hAnsi="Calibri" w:cs="Calibri"/>
                <w:color w:val="000000"/>
              </w:rPr>
            </w:pPr>
          </w:p>
          <w:p w:rsidR="005211CF" w:rsidRDefault="005211CF" w:rsidP="005211CF">
            <w:pPr>
              <w:rPr>
                <w:rFonts w:ascii="Calibri" w:hAnsi="Calibri" w:cs="Calibri"/>
              </w:rPr>
            </w:pPr>
          </w:p>
          <w:p w:rsidR="005211CF" w:rsidRDefault="005211CF" w:rsidP="005211CF">
            <w:pPr>
              <w:rPr>
                <w:rFonts w:ascii="Calibri" w:hAnsi="Calibri" w:cs="Calibri"/>
              </w:rPr>
            </w:pPr>
          </w:p>
          <w:p w:rsidR="00F24D21" w:rsidRPr="005211CF" w:rsidRDefault="00F24D21" w:rsidP="005211CF">
            <w:pPr>
              <w:jc w:val="center"/>
              <w:rPr>
                <w:rFonts w:ascii="Calibri" w:hAnsi="Calibri" w:cs="Calibri"/>
              </w:rPr>
            </w:pPr>
          </w:p>
        </w:tc>
        <w:tc>
          <w:tcPr>
            <w:tcW w:w="5103" w:type="dxa"/>
          </w:tcPr>
          <w:p w:rsidR="002137E1" w:rsidRPr="008B572D" w:rsidRDefault="002137E1" w:rsidP="00F22DA7">
            <w:pPr>
              <w:jc w:val="both"/>
              <w:rPr>
                <w:b/>
              </w:rPr>
            </w:pPr>
            <w:r w:rsidRPr="008B572D">
              <w:rPr>
                <w:b/>
              </w:rPr>
              <w:t>Respins</w:t>
            </w:r>
          </w:p>
          <w:p w:rsidR="008C75F2" w:rsidRDefault="008C75F2" w:rsidP="008C75F2">
            <w:pPr>
              <w:jc w:val="both"/>
            </w:pPr>
            <w:r w:rsidRPr="008C75F2">
              <w:t>Clusterul de inovare trebuie să fie constituit într-o entitate juridică unică</w:t>
            </w:r>
            <w:r>
              <w:t xml:space="preserve"> denumită organizația clusterului, cea la care se face referire în tot cuprinsul ghidului. Mai mult, există </w:t>
            </w:r>
            <w:r w:rsidR="00823937">
              <w:t>c</w:t>
            </w:r>
            <w:r w:rsidR="00823937" w:rsidRPr="00FE1838">
              <w:t>ondiția</w:t>
            </w:r>
            <w:r w:rsidR="00F21F07" w:rsidRPr="00FE1838">
              <w:t xml:space="preserve"> ca </w:t>
            </w:r>
            <w:r w:rsidR="00823937" w:rsidRPr="00F22DA7">
              <w:rPr>
                <w:b/>
              </w:rPr>
              <w:t>organizația</w:t>
            </w:r>
            <w:r w:rsidR="00F21F07" w:rsidRPr="00F22DA7">
              <w:rPr>
                <w:b/>
              </w:rPr>
              <w:t xml:space="preserve"> clusterului</w:t>
            </w:r>
            <w:r w:rsidR="00823937">
              <w:t xml:space="preserve"> să fie formată</w:t>
            </w:r>
            <w:r w:rsidR="00F21F07" w:rsidRPr="00FE1838">
              <w:t xml:space="preserve"> din cel </w:t>
            </w:r>
            <w:r w:rsidR="00823937" w:rsidRPr="00FE1838">
              <w:t>puțin</w:t>
            </w:r>
            <w:r w:rsidR="00F21F07" w:rsidRPr="00FE1838">
              <w:t xml:space="preserve"> 10 membri de tip </w:t>
            </w:r>
            <w:r w:rsidR="00823937" w:rsidRPr="00FE1838">
              <w:t>întreprindere</w:t>
            </w:r>
            <w:r w:rsidR="00F21F07" w:rsidRPr="00FE1838">
              <w:t xml:space="preserve"> si un membru</w:t>
            </w:r>
            <w:r w:rsidR="002454B8">
              <w:t xml:space="preserve"> de tip</w:t>
            </w:r>
            <w:r w:rsidR="00F21F07" w:rsidRPr="00FE1838">
              <w:t xml:space="preserve"> </w:t>
            </w:r>
            <w:r w:rsidR="00823937" w:rsidRPr="00FE1838">
              <w:t>organizație</w:t>
            </w:r>
            <w:r w:rsidR="00F21F07" w:rsidRPr="00FE1838">
              <w:t xml:space="preserve"> de cercetare. </w:t>
            </w:r>
            <w:r w:rsidR="00823937">
              <w:t>Pentru ca solicitantul să</w:t>
            </w:r>
            <w:r w:rsidR="00F22DA7">
              <w:t xml:space="preserve"> </w:t>
            </w:r>
            <w:r w:rsidR="00823937">
              <w:t>poată</w:t>
            </w:r>
            <w:r w:rsidR="00F22DA7">
              <w:t xml:space="preserve"> fi considerat eligibil la finanțare, membrii acestuia trebuie sa </w:t>
            </w:r>
            <w:r w:rsidR="00823937">
              <w:t>poată</w:t>
            </w:r>
            <w:r w:rsidR="00F22DA7">
              <w:t xml:space="preserve"> fi identificabili.  </w:t>
            </w:r>
          </w:p>
          <w:p w:rsidR="001C6DD8" w:rsidRPr="00823937" w:rsidRDefault="001C6DD8" w:rsidP="008C75F2">
            <w:pPr>
              <w:jc w:val="both"/>
            </w:pPr>
            <w:r>
              <w:t>N</w:t>
            </w:r>
            <w:r w:rsidRPr="00D02248">
              <w:t xml:space="preserve">umărul minim de 10 entități reprezintă o măsură prin care autoritatea finanțatoare se asigură că atât organizația clusterului are capacitatea de </w:t>
            </w:r>
            <w:r w:rsidRPr="00D02248">
              <w:lastRenderedPageBreak/>
              <w:t>implementare adecvată pentru acest tip de proiecte, cât și că investiția va aduce beneficii directe unui număr cât mai mare de întreprinderi. Prevederea din ghid rămâne neschimbată.</w:t>
            </w:r>
          </w:p>
        </w:tc>
      </w:tr>
      <w:tr w:rsidR="00F24D21" w:rsidTr="006F2E05">
        <w:tc>
          <w:tcPr>
            <w:tcW w:w="546" w:type="dxa"/>
            <w:vMerge/>
            <w:vAlign w:val="center"/>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8A1C51" w:rsidRPr="008A1C51" w:rsidRDefault="008A1C51" w:rsidP="00A83568">
            <w:pPr>
              <w:jc w:val="both"/>
            </w:pPr>
            <w:r w:rsidRPr="008A1C51">
              <w:t>PCT. 2.1</w:t>
            </w:r>
          </w:p>
          <w:p w:rsidR="00F24D21" w:rsidRDefault="008A1C51" w:rsidP="00A83568">
            <w:pPr>
              <w:jc w:val="both"/>
            </w:pPr>
            <w:r w:rsidRPr="008A1C51">
              <w:t>Solicitantul nu este  întreprindere în dificultate, în conformitate cu prevederile art. 2, punctul 18 din Regulamentul (UE) nr. 651/2014, respectiv „Intreprindere aflată în dificultate” înseamnă o întreprindere care se află în cel puțin una din situațiile următoare</w:t>
            </w:r>
            <w:r w:rsidR="00A5119A">
              <w:t>:</w:t>
            </w:r>
          </w:p>
          <w:p w:rsidR="00A5119A" w:rsidRPr="00A5119A" w:rsidRDefault="00A5119A" w:rsidP="00A5119A">
            <w:pPr>
              <w:jc w:val="both"/>
            </w:pPr>
            <w:r w:rsidRPr="00A5119A">
              <w:t>(i) în cazul unei societăți comerciale cu răspundere limitată, atunci când mai mult de jumătate din capitalul său social subscris a dispărut din cauza pierderilor acumulate. Această situație survine atunci</w:t>
            </w:r>
            <w:r w:rsidRPr="00A5119A">
              <w:rPr>
                <w:rFonts w:ascii="Trebuchet MS" w:hAnsi="Trebuchet MS"/>
                <w:iCs/>
                <w:noProof/>
                <w:color w:val="000000" w:themeColor="text1"/>
                <w:highlight w:val="yellow"/>
              </w:rPr>
              <w:t xml:space="preserve"> </w:t>
            </w:r>
            <w:r w:rsidRPr="00A5119A">
              <w:t>când deducerea pierderilor acumulate din rezerve (și din toate celelalte elemente considerate în general ca făcând parte din fondurile proprii ale societății) conduce la un rezultat negativ care depășește jumătate din capitalul social subscris;</w:t>
            </w:r>
          </w:p>
          <w:p w:rsidR="00A5119A" w:rsidRPr="00A5119A" w:rsidRDefault="00A5119A" w:rsidP="00A5119A">
            <w:pPr>
              <w:jc w:val="both"/>
            </w:pPr>
            <w:r w:rsidRPr="00A5119A">
              <w:t xml:space="preserve">(ii) în cazul unei societăți comerciale în care cel puțin unii dintre asociați au răspundere nelimitată pentru creanțele societății, atunci când mai mult de jumătate din capitalul propriu așa </w:t>
            </w:r>
            <w:r w:rsidRPr="00A5119A">
              <w:lastRenderedPageBreak/>
              <w:t>cum reiese din contabilitatea societății a dispărut din cauza pierderilor acumulate;</w:t>
            </w:r>
          </w:p>
          <w:p w:rsidR="00A5119A" w:rsidRPr="00A5119A" w:rsidRDefault="00A5119A" w:rsidP="00A5119A">
            <w:pPr>
              <w:jc w:val="both"/>
            </w:pPr>
            <w:r w:rsidRPr="00A5119A">
              <w:t>(iii) atunci când întreprinderea face obiectul unei proceduri colective de insolvență sau îndeplinește criteriile prevăzute de legislația națională pentru inițierea unei proceduri colective de insolvență la cererea creditorilor săi;</w:t>
            </w:r>
          </w:p>
          <w:p w:rsidR="00A5119A" w:rsidRPr="00A5119A" w:rsidRDefault="00A5119A" w:rsidP="00A5119A">
            <w:pPr>
              <w:jc w:val="both"/>
            </w:pPr>
            <w:r w:rsidRPr="00A5119A">
              <w:t>(iv) atunci când întreprinderea a primit ajutor pentru salvare și nu a rambursat încă împrumutul sau nu a încetat garanția sau a primit ajutoare pentru restructurare și face încă obiectul unui plan de restructurare;</w:t>
            </w:r>
          </w:p>
          <w:p w:rsidR="00A5119A" w:rsidRPr="00A5119A" w:rsidRDefault="00A5119A" w:rsidP="00A5119A">
            <w:pPr>
              <w:jc w:val="both"/>
            </w:pPr>
            <w:r w:rsidRPr="00A5119A">
              <w:t xml:space="preserve">(v) în cazul unei întreprinderi care nu este un IMM, atunci când, în ultimii doi ani: </w:t>
            </w:r>
          </w:p>
          <w:p w:rsidR="00A5119A" w:rsidRPr="00A5119A" w:rsidRDefault="00A5119A" w:rsidP="00A5119A">
            <w:pPr>
              <w:jc w:val="both"/>
            </w:pPr>
            <w:r w:rsidRPr="00A5119A">
              <w:t xml:space="preserve">1. raportul datorii/capitaluri proprii al întreprinderii este mai mare de 7,5; și </w:t>
            </w:r>
          </w:p>
          <w:p w:rsidR="00A5119A" w:rsidRPr="00A5119A" w:rsidRDefault="00A5119A" w:rsidP="00A5119A">
            <w:pPr>
              <w:jc w:val="both"/>
            </w:pPr>
            <w:r w:rsidRPr="00A5119A">
              <w:t>2. capacitatea de acoperire a dobânzilor calculată pe baza EBITDA se situează sub valoarea 1,0.</w:t>
            </w:r>
          </w:p>
          <w:p w:rsidR="008A1C51" w:rsidRPr="00631679" w:rsidRDefault="008A1C51" w:rsidP="00A83568">
            <w:pPr>
              <w:jc w:val="both"/>
              <w:rPr>
                <w:rFonts w:ascii="Calibri" w:hAnsi="Calibri" w:cs="Calibri"/>
                <w:color w:val="000000"/>
              </w:rPr>
            </w:pPr>
          </w:p>
        </w:tc>
        <w:tc>
          <w:tcPr>
            <w:tcW w:w="4536" w:type="dxa"/>
          </w:tcPr>
          <w:p w:rsidR="008A63B8" w:rsidRDefault="007C7AFF" w:rsidP="008A63B8">
            <w:pPr>
              <w:jc w:val="both"/>
            </w:pPr>
            <w:r>
              <w:lastRenderedPageBreak/>
              <w:t>Consideram ca este irelevantă</w:t>
            </w:r>
            <w:r w:rsidR="008A63B8">
              <w:t xml:space="preserve"> trimiterea la </w:t>
            </w:r>
            <w:r w:rsidR="009E1BD8">
              <w:t>societățile</w:t>
            </w:r>
            <w:r w:rsidR="008A63B8">
              <w:t xml:space="preserve"> comerciale cu </w:t>
            </w:r>
            <w:r w:rsidR="009E1BD8">
              <w:t>răspundere</w:t>
            </w:r>
            <w:r w:rsidR="008A63B8">
              <w:t xml:space="preserve"> limitata pentru solicitanții de tip  </w:t>
            </w:r>
            <w:r w:rsidR="009E1BD8">
              <w:t>asociații</w:t>
            </w:r>
            <w:r w:rsidR="008A63B8">
              <w:t xml:space="preserve"> sau fundații Iar daca asimilarea cu o </w:t>
            </w:r>
            <w:r w:rsidR="009E1BD8">
              <w:t>întreprinderea</w:t>
            </w:r>
            <w:r w:rsidR="008A63B8">
              <w:t xml:space="preserve"> se face exclusiv conform </w:t>
            </w:r>
            <w:r w:rsidR="009E1BD8">
              <w:t>precizării</w:t>
            </w:r>
            <w:r w:rsidR="008A63B8">
              <w:t xml:space="preserve"> de la pg 6 (“organizația clusterului trebuie să desfășoare, conform statutului, </w:t>
            </w:r>
            <w:r w:rsidR="009E1BD8">
              <w:t>activități</w:t>
            </w:r>
            <w:r w:rsidR="008A63B8">
              <w:t xml:space="preserve"> economice”) in majoritatea </w:t>
            </w:r>
            <w:r w:rsidR="009E1BD8">
              <w:t>situațiilor</w:t>
            </w:r>
            <w:r w:rsidR="008A63B8">
              <w:t xml:space="preserve"> ponderea semnificativa a </w:t>
            </w:r>
            <w:r w:rsidR="009E1BD8">
              <w:t>activității</w:t>
            </w:r>
            <w:r w:rsidR="008A63B8">
              <w:t xml:space="preserve"> este data de venituri si cheltuieli specifice ONG, deci </w:t>
            </w:r>
            <w:r w:rsidR="009E1BD8">
              <w:t>fără</w:t>
            </w:r>
            <w:r w:rsidR="008A63B8">
              <w:t xml:space="preserve"> caracter economic. Mai mult, </w:t>
            </w:r>
            <w:r w:rsidR="009E1BD8">
              <w:t>asociațiile</w:t>
            </w:r>
            <w:r w:rsidR="008A63B8">
              <w:t xml:space="preserve"> si </w:t>
            </w:r>
            <w:r w:rsidR="009E1BD8">
              <w:t>fundațiile</w:t>
            </w:r>
            <w:r w:rsidR="008A63B8">
              <w:t xml:space="preserve"> nu au capital social. In concluzie, va rugam, sa </w:t>
            </w:r>
            <w:r w:rsidR="009E1BD8">
              <w:t>clarificați</w:t>
            </w:r>
            <w:r w:rsidR="008A63B8">
              <w:t xml:space="preserve"> prin GS daca si cum se </w:t>
            </w:r>
            <w:r w:rsidR="009E1BD8">
              <w:t>asimilează</w:t>
            </w:r>
            <w:r w:rsidR="008A63B8">
              <w:t xml:space="preserve"> </w:t>
            </w:r>
            <w:r w:rsidR="009E1BD8">
              <w:t>legislația</w:t>
            </w:r>
            <w:r w:rsidR="008A63B8">
              <w:t xml:space="preserve"> in cazul </w:t>
            </w:r>
            <w:r w:rsidR="009E1BD8">
              <w:t>asociațiilor</w:t>
            </w:r>
            <w:r w:rsidR="008A63B8">
              <w:t xml:space="preserve"> si </w:t>
            </w:r>
            <w:r w:rsidR="009E1BD8">
              <w:t>fundațiilor</w:t>
            </w:r>
            <w:r w:rsidR="008A63B8">
              <w:t xml:space="preserve">, cu </w:t>
            </w:r>
            <w:r w:rsidR="009E1BD8">
              <w:t>atât</w:t>
            </w:r>
            <w:r w:rsidR="008A63B8">
              <w:t xml:space="preserve"> mai mult ca pct. (v) este asociat </w:t>
            </w:r>
            <w:r w:rsidR="009E1BD8">
              <w:t>întreprinderilor</w:t>
            </w:r>
            <w:r w:rsidR="008A63B8">
              <w:t xml:space="preserve"> mari dar, in cazul de fata un solicitant – </w:t>
            </w:r>
            <w:r w:rsidR="009E1BD8">
              <w:t>asociație</w:t>
            </w:r>
            <w:r w:rsidR="008A63B8">
              <w:t>/</w:t>
            </w:r>
            <w:r w:rsidR="009E1BD8">
              <w:t>fundație</w:t>
            </w:r>
            <w:r w:rsidR="008A63B8">
              <w:t xml:space="preserve"> – poate sa nu fie asimilat deloc unei </w:t>
            </w:r>
            <w:r w:rsidR="009E1BD8">
              <w:t>întreprinderi</w:t>
            </w:r>
            <w:r w:rsidR="008A63B8">
              <w:t xml:space="preserve"> (fie ea IMM sau nu), iar din aceste </w:t>
            </w:r>
            <w:r w:rsidR="009E1BD8">
              <w:t>precizări</w:t>
            </w:r>
            <w:r w:rsidR="008A63B8">
              <w:t xml:space="preserve"> nu se </w:t>
            </w:r>
            <w:r w:rsidR="009E1BD8">
              <w:t>înțelege</w:t>
            </w:r>
            <w:r w:rsidR="008A63B8">
              <w:t xml:space="preserve"> daca </w:t>
            </w:r>
            <w:r w:rsidR="009E1BD8">
              <w:t>după</w:t>
            </w:r>
            <w:r w:rsidR="008A63B8">
              <w:t xml:space="preserve"> acest criteriu vor fi </w:t>
            </w:r>
            <w:r w:rsidR="009E1BD8">
              <w:t>evaluați</w:t>
            </w:r>
            <w:r w:rsidR="008A63B8">
              <w:t xml:space="preserve"> </w:t>
            </w:r>
            <w:r w:rsidR="009E1BD8">
              <w:t>toți</w:t>
            </w:r>
            <w:r w:rsidR="008A63B8">
              <w:t xml:space="preserve"> </w:t>
            </w:r>
            <w:r w:rsidR="009E1BD8">
              <w:t>solicitanții</w:t>
            </w:r>
            <w:r w:rsidR="008A63B8">
              <w:t xml:space="preserve"> sau doar cei </w:t>
            </w:r>
            <w:r w:rsidR="009E1BD8">
              <w:t>asimilați</w:t>
            </w:r>
            <w:r w:rsidR="008A63B8">
              <w:t xml:space="preserve"> cu o </w:t>
            </w:r>
            <w:r w:rsidR="009E1BD8">
              <w:t>întreprindere</w:t>
            </w:r>
            <w:r w:rsidR="008A63B8">
              <w:t>.</w:t>
            </w:r>
          </w:p>
          <w:p w:rsidR="00F24D21" w:rsidRPr="00631679" w:rsidRDefault="00F24D21" w:rsidP="00A83568">
            <w:pPr>
              <w:jc w:val="both"/>
              <w:rPr>
                <w:rFonts w:ascii="Calibri" w:hAnsi="Calibri" w:cs="Calibri"/>
                <w:color w:val="000000"/>
              </w:rPr>
            </w:pPr>
          </w:p>
        </w:tc>
        <w:tc>
          <w:tcPr>
            <w:tcW w:w="5103" w:type="dxa"/>
          </w:tcPr>
          <w:p w:rsidR="002137E1" w:rsidRPr="008B572D" w:rsidRDefault="000566D4" w:rsidP="00E662FA">
            <w:pPr>
              <w:jc w:val="both"/>
              <w:rPr>
                <w:b/>
              </w:rPr>
            </w:pPr>
            <w:r w:rsidRPr="008B572D">
              <w:rPr>
                <w:b/>
              </w:rPr>
              <w:t>Clarificat</w:t>
            </w:r>
          </w:p>
          <w:p w:rsidR="00F24D21" w:rsidRDefault="00DC5657" w:rsidP="00E662FA">
            <w:pPr>
              <w:jc w:val="both"/>
            </w:pPr>
            <w:r>
              <w:t xml:space="preserve">Verificarea se realizează </w:t>
            </w:r>
            <w:r w:rsidR="006A731D">
              <w:t xml:space="preserve">din perspectiva faptului ca </w:t>
            </w:r>
            <w:r w:rsidR="006A731D" w:rsidRPr="000566D4">
              <w:rPr>
                <w:b/>
              </w:rPr>
              <w:t xml:space="preserve">beneficiarul eligibil </w:t>
            </w:r>
            <w:r w:rsidR="00337BE7" w:rsidRPr="000566D4">
              <w:rPr>
                <w:b/>
              </w:rPr>
              <w:t>(organizația cluste</w:t>
            </w:r>
            <w:r w:rsidR="002137E1" w:rsidRPr="000566D4">
              <w:rPr>
                <w:b/>
              </w:rPr>
              <w:t>rului)</w:t>
            </w:r>
            <w:r w:rsidR="00337BE7" w:rsidRPr="000566D4">
              <w:rPr>
                <w:b/>
              </w:rPr>
              <w:t xml:space="preserve"> </w:t>
            </w:r>
            <w:r w:rsidR="00E662FA" w:rsidRPr="000566D4">
              <w:rPr>
                <w:b/>
              </w:rPr>
              <w:t>primește</w:t>
            </w:r>
            <w:r w:rsidR="006A731D" w:rsidRPr="000566D4">
              <w:rPr>
                <w:b/>
              </w:rPr>
              <w:t xml:space="preserve"> ajutor de stat</w:t>
            </w:r>
            <w:r w:rsidR="00E662FA">
              <w:t xml:space="preserve"> și se supune regulilor prevăzute de schema de ajutor de stat </w:t>
            </w:r>
            <w:r w:rsidR="000566D4">
              <w:t xml:space="preserve">și de </w:t>
            </w:r>
            <w:r w:rsidR="006A731D">
              <w:t xml:space="preserve"> </w:t>
            </w:r>
            <w:r w:rsidR="000566D4" w:rsidRPr="008A1C51">
              <w:t>Regulamentul (UE) nr. 651/2014</w:t>
            </w:r>
            <w:r w:rsidR="000566D4">
              <w:t>.</w:t>
            </w:r>
          </w:p>
          <w:p w:rsidR="00146CB3" w:rsidRDefault="00146CB3" w:rsidP="00E662FA">
            <w:pPr>
              <w:jc w:val="both"/>
            </w:pPr>
            <w:r>
              <w:t>O</w:t>
            </w:r>
            <w:r>
              <w:t>rganizația clusterului este asimilată unui IMM dacă a înregistrat activitate economică în anii anteriori depunerii cererii de finanțare.</w:t>
            </w:r>
          </w:p>
        </w:tc>
      </w:tr>
      <w:tr w:rsidR="00F24D21" w:rsidTr="006F2E05">
        <w:trPr>
          <w:trHeight w:val="2408"/>
        </w:trPr>
        <w:tc>
          <w:tcPr>
            <w:tcW w:w="546" w:type="dxa"/>
            <w:vMerge/>
            <w:vAlign w:val="center"/>
          </w:tcPr>
          <w:p w:rsidR="00F24D21" w:rsidRDefault="00F24D21" w:rsidP="00A83568">
            <w:pPr>
              <w:jc w:val="both"/>
              <w:rPr>
                <w:rFonts w:ascii="Calibri" w:hAnsi="Calibri" w:cs="Calibri"/>
                <w:color w:val="000000"/>
              </w:rPr>
            </w:pPr>
          </w:p>
        </w:tc>
        <w:tc>
          <w:tcPr>
            <w:tcW w:w="1292" w:type="dxa"/>
            <w:vMerge/>
          </w:tcPr>
          <w:p w:rsidR="00F24D21" w:rsidRPr="00A83568" w:rsidRDefault="00F24D21" w:rsidP="00631679">
            <w:pPr>
              <w:jc w:val="right"/>
              <w:rPr>
                <w:b/>
                <w:i/>
              </w:rPr>
            </w:pPr>
          </w:p>
        </w:tc>
        <w:tc>
          <w:tcPr>
            <w:tcW w:w="3355" w:type="dxa"/>
          </w:tcPr>
          <w:p w:rsidR="008C7B0E" w:rsidRDefault="008C7B0E" w:rsidP="00877820">
            <w:pPr>
              <w:jc w:val="both"/>
            </w:pPr>
            <w:r>
              <w:t>Pct. 2.3</w:t>
            </w:r>
          </w:p>
          <w:p w:rsidR="008A63B8" w:rsidRPr="00877820" w:rsidRDefault="008A63B8" w:rsidP="00877820">
            <w:pPr>
              <w:jc w:val="both"/>
            </w:pPr>
            <w:r w:rsidRPr="00877820">
              <w:t>Investiția trebuie menținută în regiunea (beneficiară) în care a fost amplasată inițial, pentru o perioadă de cel puțin 5 ani de la finalizarea investițiilor. Această condiție nu împiedică înlocuirea unei instalații sau a unui echipament care a devenit depășit sau a fost distrus în această perioadă, cu condiția ca activitatea economică să fie menținută în regiunea  în cauză pentru perioada minimă relevantă.</w:t>
            </w:r>
          </w:p>
          <w:p w:rsidR="00F24D21" w:rsidRPr="00877820" w:rsidRDefault="00F24D21" w:rsidP="00A83568">
            <w:pPr>
              <w:jc w:val="both"/>
            </w:pPr>
          </w:p>
        </w:tc>
        <w:tc>
          <w:tcPr>
            <w:tcW w:w="4536" w:type="dxa"/>
          </w:tcPr>
          <w:p w:rsidR="009E1BD8" w:rsidRDefault="008A63B8" w:rsidP="008A63B8">
            <w:pPr>
              <w:tabs>
                <w:tab w:val="left" w:pos="1575"/>
              </w:tabs>
              <w:rPr>
                <w:rFonts w:ascii="Calibri" w:hAnsi="Calibri" w:cs="Calibri"/>
              </w:rPr>
            </w:pPr>
            <w:r>
              <w:t xml:space="preserve">De clarificat daca </w:t>
            </w:r>
            <w:r w:rsidR="00863591">
              <w:t>obligațiile</w:t>
            </w:r>
            <w:r>
              <w:t xml:space="preserve"> </w:t>
            </w:r>
            <w:r w:rsidR="00863591">
              <w:t>solicitanților</w:t>
            </w:r>
            <w:r>
              <w:t xml:space="preserve"> </w:t>
            </w:r>
            <w:r w:rsidR="00585C72">
              <w:t>asimilați</w:t>
            </w:r>
            <w:r>
              <w:t xml:space="preserve"> cu IMM excend perioada de 3 ani post-implementare.</w:t>
            </w:r>
          </w:p>
          <w:p w:rsidR="009E1BD8" w:rsidRPr="009E1BD8" w:rsidRDefault="009E1BD8" w:rsidP="009E1BD8">
            <w:pPr>
              <w:rPr>
                <w:rFonts w:ascii="Calibri" w:hAnsi="Calibri" w:cs="Calibri"/>
              </w:rPr>
            </w:pPr>
          </w:p>
          <w:p w:rsidR="009E1BD8" w:rsidRPr="009E1BD8" w:rsidRDefault="00863591" w:rsidP="00863591">
            <w:pPr>
              <w:tabs>
                <w:tab w:val="left" w:pos="3120"/>
              </w:tabs>
              <w:rPr>
                <w:rFonts w:ascii="Calibri" w:hAnsi="Calibri" w:cs="Calibri"/>
              </w:rPr>
            </w:pPr>
            <w:r>
              <w:rPr>
                <w:rFonts w:ascii="Calibri" w:hAnsi="Calibri" w:cs="Calibri"/>
              </w:rPr>
              <w:tab/>
            </w:r>
          </w:p>
          <w:p w:rsidR="009E1BD8" w:rsidRPr="009E1BD8" w:rsidRDefault="009E1BD8" w:rsidP="009E1BD8">
            <w:pPr>
              <w:rPr>
                <w:rFonts w:ascii="Calibri" w:hAnsi="Calibri" w:cs="Calibri"/>
              </w:rPr>
            </w:pPr>
          </w:p>
          <w:p w:rsidR="009E1BD8" w:rsidRPr="009E1BD8" w:rsidRDefault="009E1BD8" w:rsidP="009E1BD8">
            <w:pPr>
              <w:rPr>
                <w:rFonts w:ascii="Calibri" w:hAnsi="Calibri" w:cs="Calibri"/>
              </w:rPr>
            </w:pPr>
          </w:p>
          <w:p w:rsidR="009E1BD8" w:rsidRDefault="009E1BD8" w:rsidP="009E1BD8">
            <w:pPr>
              <w:rPr>
                <w:rFonts w:ascii="Calibri" w:hAnsi="Calibri" w:cs="Calibri"/>
              </w:rPr>
            </w:pPr>
          </w:p>
          <w:p w:rsidR="009E1BD8" w:rsidRPr="009E1BD8" w:rsidRDefault="009E1BD8" w:rsidP="009E1BD8">
            <w:pPr>
              <w:rPr>
                <w:rFonts w:ascii="Calibri" w:hAnsi="Calibri" w:cs="Calibri"/>
              </w:rPr>
            </w:pPr>
          </w:p>
          <w:p w:rsidR="009E1BD8" w:rsidRDefault="009E1BD8" w:rsidP="009E1BD8">
            <w:pPr>
              <w:rPr>
                <w:rFonts w:ascii="Calibri" w:hAnsi="Calibri" w:cs="Calibri"/>
              </w:rPr>
            </w:pPr>
          </w:p>
          <w:p w:rsidR="009E1BD8" w:rsidRDefault="009E1BD8" w:rsidP="009E1BD8">
            <w:pPr>
              <w:rPr>
                <w:rFonts w:ascii="Calibri" w:hAnsi="Calibri" w:cs="Calibri"/>
              </w:rPr>
            </w:pPr>
          </w:p>
          <w:p w:rsidR="00F24D21" w:rsidRPr="009E1BD8" w:rsidRDefault="009E1BD8" w:rsidP="009E1BD8">
            <w:pPr>
              <w:tabs>
                <w:tab w:val="left" w:pos="1300"/>
              </w:tabs>
              <w:rPr>
                <w:rFonts w:ascii="Calibri" w:hAnsi="Calibri" w:cs="Calibri"/>
              </w:rPr>
            </w:pPr>
            <w:r>
              <w:rPr>
                <w:rFonts w:ascii="Calibri" w:hAnsi="Calibri" w:cs="Calibri"/>
              </w:rPr>
              <w:tab/>
            </w:r>
          </w:p>
        </w:tc>
        <w:tc>
          <w:tcPr>
            <w:tcW w:w="5103" w:type="dxa"/>
          </w:tcPr>
          <w:p w:rsidR="000566D4" w:rsidRPr="008B572D" w:rsidRDefault="000566D4" w:rsidP="00C550BE">
            <w:pPr>
              <w:jc w:val="both"/>
              <w:rPr>
                <w:b/>
              </w:rPr>
            </w:pPr>
            <w:r w:rsidRPr="008B572D">
              <w:rPr>
                <w:b/>
              </w:rPr>
              <w:t>Clarificat</w:t>
            </w:r>
          </w:p>
          <w:p w:rsidR="00F24D21" w:rsidRDefault="00146CB3" w:rsidP="00146CB3">
            <w:pPr>
              <w:jc w:val="both"/>
            </w:pPr>
            <w:r>
              <w:t>Î</w:t>
            </w:r>
            <w:r w:rsidR="0072736E">
              <w:t xml:space="preserve">n conformitate cu </w:t>
            </w:r>
            <w:r>
              <w:t>a</w:t>
            </w:r>
            <w:r w:rsidR="0072736E">
              <w:t xml:space="preserve">rt. 71 din Reg. (UE) 1303/2013, pentru proiectele de </w:t>
            </w:r>
            <w:r w:rsidRPr="00265F31">
              <w:rPr>
                <w:b/>
              </w:rPr>
              <w:t>investiții</w:t>
            </w:r>
            <w:r>
              <w:rPr>
                <w:b/>
              </w:rPr>
              <w:t xml:space="preserve"> în infrastructură</w:t>
            </w:r>
            <w:r w:rsidR="0072736E">
              <w:t xml:space="preserve">, caracterul durabil al </w:t>
            </w:r>
            <w:r>
              <w:t>operațiunilor</w:t>
            </w:r>
            <w:r w:rsidR="0072736E">
              <w:t xml:space="preserve"> este obligatoriu a fi</w:t>
            </w:r>
            <w:r w:rsidR="00C550BE">
              <w:t xml:space="preserve"> verificat pe parcursul </w:t>
            </w:r>
            <w:r w:rsidR="00C550BE" w:rsidRPr="000566D4">
              <w:rPr>
                <w:b/>
              </w:rPr>
              <w:t>a</w:t>
            </w:r>
            <w:r w:rsidR="0072736E" w:rsidRPr="000566D4">
              <w:rPr>
                <w:b/>
              </w:rPr>
              <w:t xml:space="preserve"> 5 ani</w:t>
            </w:r>
            <w:r w:rsidR="00C550BE" w:rsidRPr="000566D4">
              <w:rPr>
                <w:b/>
              </w:rPr>
              <w:t xml:space="preserve"> de</w:t>
            </w:r>
            <w:r w:rsidR="00C550BE">
              <w:t xml:space="preserve"> la finalizarea </w:t>
            </w:r>
            <w:r>
              <w:t>activităților</w:t>
            </w:r>
            <w:r w:rsidR="00C550BE">
              <w:t xml:space="preserve"> proiectului</w:t>
            </w:r>
            <w:r w:rsidR="0072736E">
              <w:t xml:space="preserve">. </w:t>
            </w:r>
          </w:p>
        </w:tc>
      </w:tr>
      <w:tr w:rsidR="00272FD5" w:rsidTr="006F2E05">
        <w:trPr>
          <w:trHeight w:val="2408"/>
        </w:trPr>
        <w:tc>
          <w:tcPr>
            <w:tcW w:w="546" w:type="dxa"/>
            <w:vAlign w:val="center"/>
          </w:tcPr>
          <w:p w:rsidR="00272FD5" w:rsidRDefault="00272FD5" w:rsidP="00A83568">
            <w:pPr>
              <w:jc w:val="both"/>
              <w:rPr>
                <w:rFonts w:ascii="Calibri" w:hAnsi="Calibri" w:cs="Calibri"/>
                <w:color w:val="000000"/>
              </w:rPr>
            </w:pPr>
          </w:p>
        </w:tc>
        <w:tc>
          <w:tcPr>
            <w:tcW w:w="1292" w:type="dxa"/>
          </w:tcPr>
          <w:p w:rsidR="00272FD5" w:rsidRPr="00A83568" w:rsidRDefault="00272FD5" w:rsidP="00631679">
            <w:pPr>
              <w:jc w:val="right"/>
              <w:rPr>
                <w:b/>
                <w:i/>
              </w:rPr>
            </w:pPr>
          </w:p>
        </w:tc>
        <w:tc>
          <w:tcPr>
            <w:tcW w:w="3355" w:type="dxa"/>
          </w:tcPr>
          <w:p w:rsidR="00272FD5" w:rsidRDefault="00272FD5" w:rsidP="00877820">
            <w:pPr>
              <w:jc w:val="both"/>
            </w:pPr>
            <w:r w:rsidRPr="00272FD5">
              <w:t xml:space="preserve">Plan de afaceri/DALI, elaborate conform HG nr. 907/2016 privind etapele de elaborare şi </w:t>
            </w:r>
            <w:r w:rsidR="007D705F" w:rsidRPr="00272FD5">
              <w:t>conținutul</w:t>
            </w:r>
            <w:r w:rsidRPr="00272FD5">
              <w:t xml:space="preserve">-cadru al </w:t>
            </w:r>
            <w:r w:rsidR="007D705F" w:rsidRPr="00272FD5">
              <w:t>documentațiilor</w:t>
            </w:r>
            <w:r w:rsidRPr="00272FD5">
              <w:t xml:space="preserve"> tehnico-economice aferente obiectivelor/proiectelor de </w:t>
            </w:r>
            <w:r w:rsidR="007D705F" w:rsidRPr="00272FD5">
              <w:t>investiții</w:t>
            </w:r>
            <w:r w:rsidRPr="00272FD5">
              <w:t xml:space="preserve"> </w:t>
            </w:r>
            <w:r w:rsidR="007D705F" w:rsidRPr="00272FD5">
              <w:t>finanțate</w:t>
            </w:r>
            <w:r w:rsidRPr="00272FD5">
              <w:t xml:space="preserve"> din fonduri publice, (pentru propunerile care conțin activități de investiții)</w:t>
            </w:r>
          </w:p>
        </w:tc>
        <w:tc>
          <w:tcPr>
            <w:tcW w:w="4536" w:type="dxa"/>
          </w:tcPr>
          <w:p w:rsidR="00272FD5" w:rsidRDefault="00513A71" w:rsidP="008A63B8">
            <w:pPr>
              <w:tabs>
                <w:tab w:val="left" w:pos="1575"/>
              </w:tabs>
            </w:pPr>
            <w:r>
              <w:t>De adăugat SF pt investiții noi</w:t>
            </w:r>
          </w:p>
        </w:tc>
        <w:tc>
          <w:tcPr>
            <w:tcW w:w="5103" w:type="dxa"/>
          </w:tcPr>
          <w:p w:rsidR="00B705B3" w:rsidRPr="008B572D" w:rsidRDefault="008B572D" w:rsidP="00D50381">
            <w:pPr>
              <w:jc w:val="both"/>
              <w:rPr>
                <w:b/>
              </w:rPr>
            </w:pPr>
            <w:r>
              <w:rPr>
                <w:b/>
              </w:rPr>
              <w:t>Admis şi c</w:t>
            </w:r>
            <w:r w:rsidR="00B705B3" w:rsidRPr="008B572D">
              <w:rPr>
                <w:b/>
              </w:rPr>
              <w:t>larificat</w:t>
            </w:r>
          </w:p>
          <w:p w:rsidR="00D55903" w:rsidRDefault="000566D4" w:rsidP="00D50381">
            <w:pPr>
              <w:jc w:val="both"/>
            </w:pPr>
            <w:r>
              <w:t xml:space="preserve">La depunerea </w:t>
            </w:r>
            <w:r w:rsidR="00D55903">
              <w:t>propunerii de proiect</w:t>
            </w:r>
            <w:r>
              <w:t xml:space="preserve"> </w:t>
            </w:r>
            <w:r w:rsidR="00D55903">
              <w:t>care vizează activități:</w:t>
            </w:r>
          </w:p>
          <w:p w:rsidR="00D55903" w:rsidRDefault="00D55903" w:rsidP="00D55903">
            <w:pPr>
              <w:pStyle w:val="ListParagraph"/>
              <w:numPr>
                <w:ilvl w:val="0"/>
                <w:numId w:val="4"/>
              </w:numPr>
              <w:spacing w:after="0" w:line="240" w:lineRule="auto"/>
              <w:jc w:val="both"/>
              <w:rPr>
                <w:rFonts w:asciiTheme="minorHAnsi" w:eastAsiaTheme="minorHAnsi" w:hAnsiTheme="minorHAnsi" w:cstheme="minorBidi"/>
                <w:sz w:val="22"/>
                <w:szCs w:val="22"/>
              </w:rPr>
            </w:pPr>
            <w:r w:rsidRPr="00D55903">
              <w:rPr>
                <w:rFonts w:asciiTheme="minorHAnsi" w:eastAsiaTheme="minorHAnsi" w:hAnsiTheme="minorHAnsi" w:cstheme="minorBidi"/>
                <w:sz w:val="22"/>
                <w:szCs w:val="22"/>
              </w:rPr>
              <w:t>de construcții este necesar sa se ataseze SF</w:t>
            </w:r>
            <w:r>
              <w:rPr>
                <w:rFonts w:asciiTheme="minorHAnsi" w:eastAsiaTheme="minorHAnsi" w:hAnsiTheme="minorHAnsi" w:cstheme="minorBidi"/>
                <w:sz w:val="22"/>
                <w:szCs w:val="22"/>
              </w:rPr>
              <w:t xml:space="preserve"> și </w:t>
            </w:r>
            <w:r w:rsidRPr="00D55903">
              <w:rPr>
                <w:rFonts w:asciiTheme="minorHAnsi" w:eastAsiaTheme="minorHAnsi" w:hAnsiTheme="minorHAnsi" w:cstheme="minorBidi"/>
                <w:sz w:val="22"/>
                <w:szCs w:val="22"/>
              </w:rPr>
              <w:t>PT</w:t>
            </w:r>
          </w:p>
          <w:p w:rsidR="000566D4" w:rsidRPr="00D55903" w:rsidRDefault="00D55903" w:rsidP="00D55903">
            <w:pPr>
              <w:pStyle w:val="ListParagraph"/>
              <w:numPr>
                <w:ilvl w:val="0"/>
                <w:numId w:val="4"/>
              </w:numPr>
              <w:spacing w:after="0" w:line="240" w:lineRule="auto"/>
              <w:jc w:val="both"/>
              <w:rPr>
                <w:rFonts w:asciiTheme="minorHAnsi" w:eastAsiaTheme="minorHAnsi" w:hAnsiTheme="minorHAnsi" w:cstheme="minorBidi"/>
                <w:sz w:val="22"/>
                <w:szCs w:val="22"/>
              </w:rPr>
            </w:pPr>
            <w:r w:rsidRPr="00D55903">
              <w:rPr>
                <w:rFonts w:asciiTheme="minorHAnsi" w:eastAsiaTheme="minorHAnsi" w:hAnsiTheme="minorHAnsi" w:cstheme="minorBidi"/>
                <w:sz w:val="22"/>
                <w:szCs w:val="22"/>
              </w:rPr>
              <w:t>modernizare/extindere/consolidare este necesar sa se ataseze</w:t>
            </w:r>
            <w:r>
              <w:rPr>
                <w:rFonts w:asciiTheme="minorHAnsi" w:eastAsiaTheme="minorHAnsi" w:hAnsiTheme="minorHAnsi" w:cstheme="minorBidi"/>
                <w:sz w:val="22"/>
                <w:szCs w:val="22"/>
              </w:rPr>
              <w:t xml:space="preserve"> DALI</w:t>
            </w:r>
          </w:p>
          <w:p w:rsidR="003E7517" w:rsidRPr="00D55903" w:rsidRDefault="00D55903" w:rsidP="00D55903">
            <w:pPr>
              <w:pStyle w:val="ListParagraph"/>
              <w:numPr>
                <w:ilvl w:val="0"/>
                <w:numId w:val="4"/>
              </w:numPr>
              <w:spacing w:after="0" w:line="240" w:lineRule="auto"/>
              <w:jc w:val="both"/>
            </w:pPr>
            <w:r w:rsidRPr="00D55903">
              <w:rPr>
                <w:rFonts w:asciiTheme="minorHAnsi" w:eastAsiaTheme="minorHAnsi" w:hAnsiTheme="minorHAnsi" w:cstheme="minorBidi"/>
                <w:sz w:val="22"/>
                <w:szCs w:val="22"/>
              </w:rPr>
              <w:t>dotare cu echipamente</w:t>
            </w:r>
            <w:r>
              <w:t xml:space="preserve"> </w:t>
            </w:r>
            <w:r w:rsidRPr="00D55903">
              <w:rPr>
                <w:rFonts w:asciiTheme="minorHAnsi" w:eastAsiaTheme="minorHAnsi" w:hAnsiTheme="minorHAnsi" w:cstheme="minorBidi"/>
                <w:sz w:val="22"/>
                <w:szCs w:val="22"/>
              </w:rPr>
              <w:t>este necesar sa se ataseze</w:t>
            </w:r>
            <w:r>
              <w:rPr>
                <w:rFonts w:asciiTheme="minorHAnsi" w:eastAsiaTheme="minorHAnsi" w:hAnsiTheme="minorHAnsi" w:cstheme="minorBidi"/>
                <w:sz w:val="22"/>
                <w:szCs w:val="22"/>
              </w:rPr>
              <w:t xml:space="preserve"> MT.</w:t>
            </w:r>
          </w:p>
          <w:p w:rsidR="00D55903" w:rsidRDefault="00D55903" w:rsidP="00D55903">
            <w:pPr>
              <w:jc w:val="both"/>
            </w:pPr>
            <w:r>
              <w:t>Pentru toate tip</w:t>
            </w:r>
            <w:r w:rsidR="008511B9">
              <w:t>urile de proiecte va fi atașat ş</w:t>
            </w:r>
            <w:r>
              <w:t>i plan</w:t>
            </w:r>
            <w:r w:rsidR="008511B9">
              <w:t>ul</w:t>
            </w:r>
            <w:r>
              <w:t xml:space="preserve"> de afaceri</w:t>
            </w:r>
          </w:p>
        </w:tc>
      </w:tr>
      <w:tr w:rsidR="008A63B8" w:rsidTr="004E7461">
        <w:trPr>
          <w:trHeight w:val="1238"/>
        </w:trPr>
        <w:tc>
          <w:tcPr>
            <w:tcW w:w="546" w:type="dxa"/>
            <w:vAlign w:val="center"/>
          </w:tcPr>
          <w:p w:rsidR="008A63B8" w:rsidRDefault="008A63B8" w:rsidP="008A63B8">
            <w:pPr>
              <w:jc w:val="both"/>
              <w:rPr>
                <w:rFonts w:ascii="Calibri" w:hAnsi="Calibri" w:cs="Calibri"/>
                <w:color w:val="000000"/>
              </w:rPr>
            </w:pPr>
          </w:p>
        </w:tc>
        <w:tc>
          <w:tcPr>
            <w:tcW w:w="1292" w:type="dxa"/>
          </w:tcPr>
          <w:p w:rsidR="008A63B8" w:rsidRPr="00A83568" w:rsidRDefault="008A63B8" w:rsidP="008A63B8">
            <w:pPr>
              <w:jc w:val="right"/>
              <w:rPr>
                <w:b/>
                <w:i/>
              </w:rPr>
            </w:pPr>
          </w:p>
        </w:tc>
        <w:tc>
          <w:tcPr>
            <w:tcW w:w="3355" w:type="dxa"/>
          </w:tcPr>
          <w:p w:rsidR="004E7461" w:rsidRDefault="004E7461" w:rsidP="004E7461">
            <w:pPr>
              <w:jc w:val="both"/>
            </w:pPr>
            <w:r>
              <w:t xml:space="preserve">Pct. 4.4 </w:t>
            </w:r>
          </w:p>
          <w:p w:rsidR="008A63B8" w:rsidRPr="003F22BF" w:rsidRDefault="008A63B8" w:rsidP="00EE2CBA">
            <w:pPr>
              <w:jc w:val="both"/>
              <w:rPr>
                <w:rFonts w:ascii="Trebuchet MS" w:hAnsi="Trebuchet MS"/>
              </w:rPr>
            </w:pPr>
            <w:r w:rsidRPr="00EE2CBA">
              <w:t>Situațiile financiare oficiale pentru solicitant pe ultimii trei ani, inclusiv Contul de Profit și Pierdere</w:t>
            </w:r>
          </w:p>
        </w:tc>
        <w:tc>
          <w:tcPr>
            <w:tcW w:w="4536" w:type="dxa"/>
          </w:tcPr>
          <w:p w:rsidR="008A63B8" w:rsidRDefault="008A63B8" w:rsidP="008A63B8">
            <w:pPr>
              <w:jc w:val="both"/>
            </w:pPr>
            <w:r>
              <w:t xml:space="preserve">De eliminat, deoarece vechimea nu e </w:t>
            </w:r>
            <w:r w:rsidR="00EE2CBA">
              <w:t>condiție</w:t>
            </w:r>
            <w:r>
              <w:t xml:space="preserve"> de eligibilitate</w:t>
            </w:r>
          </w:p>
        </w:tc>
        <w:tc>
          <w:tcPr>
            <w:tcW w:w="5103" w:type="dxa"/>
          </w:tcPr>
          <w:p w:rsidR="00B705B3" w:rsidRPr="003917CB" w:rsidRDefault="00B705B3" w:rsidP="00EA352A">
            <w:pPr>
              <w:rPr>
                <w:b/>
              </w:rPr>
            </w:pPr>
            <w:r w:rsidRPr="003917CB">
              <w:rPr>
                <w:b/>
              </w:rPr>
              <w:t>Respins</w:t>
            </w:r>
          </w:p>
          <w:p w:rsidR="00EA352A" w:rsidRDefault="00B705B3" w:rsidP="00EA352A">
            <w:r>
              <w:t>P</w:t>
            </w:r>
            <w:r w:rsidR="00EA352A">
              <w:t>entru cele 3 tipuri de clustere:</w:t>
            </w:r>
          </w:p>
          <w:p w:rsidR="00EA352A" w:rsidRDefault="00EA352A" w:rsidP="00EA352A">
            <w:pPr>
              <w:pStyle w:val="ListParagraph"/>
              <w:numPr>
                <w:ilvl w:val="0"/>
                <w:numId w:val="4"/>
              </w:numPr>
              <w:spacing w:after="0" w:line="240" w:lineRule="auto"/>
              <w:rPr>
                <w:rFonts w:asciiTheme="minorHAnsi" w:eastAsiaTheme="minorHAnsi" w:hAnsiTheme="minorHAnsi" w:cstheme="minorBidi"/>
                <w:sz w:val="22"/>
                <w:szCs w:val="22"/>
              </w:rPr>
            </w:pPr>
            <w:r w:rsidRPr="008F43C9">
              <w:rPr>
                <w:rFonts w:asciiTheme="minorHAnsi" w:eastAsiaTheme="minorHAnsi" w:hAnsiTheme="minorHAnsi" w:cstheme="minorBidi"/>
                <w:sz w:val="22"/>
                <w:szCs w:val="22"/>
              </w:rPr>
              <w:t xml:space="preserve">Clustere nou înființare </w:t>
            </w:r>
            <w:r>
              <w:rPr>
                <w:rFonts w:asciiTheme="minorHAnsi" w:eastAsiaTheme="minorHAnsi" w:hAnsiTheme="minorHAnsi" w:cstheme="minorBidi"/>
                <w:sz w:val="22"/>
                <w:szCs w:val="22"/>
              </w:rPr>
              <w:t>(nu este cazul de depunere a s</w:t>
            </w:r>
            <w:r w:rsidRPr="008F43C9">
              <w:rPr>
                <w:rFonts w:asciiTheme="minorHAnsi" w:eastAsiaTheme="minorHAnsi" w:hAnsiTheme="minorHAnsi" w:cstheme="minorBidi"/>
                <w:sz w:val="22"/>
                <w:szCs w:val="22"/>
              </w:rPr>
              <w:t>ituațiilor financiare oficiale</w:t>
            </w:r>
            <w:r>
              <w:rPr>
                <w:rFonts w:asciiTheme="minorHAnsi" w:eastAsiaTheme="minorHAnsi" w:hAnsiTheme="minorHAnsi" w:cstheme="minorBidi"/>
                <w:sz w:val="22"/>
                <w:szCs w:val="22"/>
              </w:rPr>
              <w:t>)</w:t>
            </w:r>
          </w:p>
          <w:p w:rsidR="00EA352A" w:rsidRDefault="00EA352A" w:rsidP="00EA352A">
            <w:pPr>
              <w:pStyle w:val="ListParagraph"/>
              <w:numPr>
                <w:ilvl w:val="0"/>
                <w:numId w:val="4"/>
              </w:numPr>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Clustere cu vechime mai mica de 2 ani (</w:t>
            </w:r>
            <w:r w:rsidRPr="008F43C9">
              <w:rPr>
                <w:rFonts w:asciiTheme="minorHAnsi" w:eastAsiaTheme="minorHAnsi" w:hAnsiTheme="minorHAnsi" w:cstheme="minorBidi"/>
                <w:sz w:val="22"/>
                <w:szCs w:val="22"/>
              </w:rPr>
              <w:t>Situații financiare oficiale pe ulti</w:t>
            </w:r>
            <w:r>
              <w:rPr>
                <w:rFonts w:asciiTheme="minorHAnsi" w:eastAsiaTheme="minorHAnsi" w:hAnsiTheme="minorHAnsi" w:cstheme="minorBidi"/>
                <w:sz w:val="22"/>
                <w:szCs w:val="22"/>
              </w:rPr>
              <w:t>mul an)</w:t>
            </w:r>
          </w:p>
          <w:p w:rsidR="002514AA" w:rsidRDefault="00EA352A" w:rsidP="008511B9">
            <w:pPr>
              <w:pStyle w:val="ListParagraph"/>
              <w:numPr>
                <w:ilvl w:val="0"/>
                <w:numId w:val="4"/>
              </w:numPr>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Clustere cu vechime mai mare de 2 ani (</w:t>
            </w:r>
            <w:r w:rsidRPr="008F43C9">
              <w:rPr>
                <w:rFonts w:asciiTheme="minorHAnsi" w:eastAsiaTheme="minorHAnsi" w:hAnsiTheme="minorHAnsi" w:cstheme="minorBidi"/>
                <w:sz w:val="22"/>
                <w:szCs w:val="22"/>
              </w:rPr>
              <w:t>Situații financiare oficiale pe ultimii</w:t>
            </w:r>
            <w:r>
              <w:rPr>
                <w:rFonts w:asciiTheme="minorHAnsi" w:eastAsiaTheme="minorHAnsi" w:hAnsiTheme="minorHAnsi" w:cstheme="minorBidi"/>
                <w:sz w:val="22"/>
                <w:szCs w:val="22"/>
              </w:rPr>
              <w:t xml:space="preserve"> 2 ani)</w:t>
            </w:r>
          </w:p>
          <w:p w:rsidR="007B31EA" w:rsidRDefault="007B31EA" w:rsidP="003917CB">
            <w:pPr>
              <w:jc w:val="both"/>
            </w:pPr>
            <w:r>
              <w:t>Organizația clusterului este asimilată unui IMM dacă a înregistrat activitate economică în anii anteriori depunerii cererii de finanțare.</w:t>
            </w:r>
          </w:p>
          <w:p w:rsidR="00B713CE" w:rsidRPr="007B31EA" w:rsidRDefault="00B713CE" w:rsidP="00720776">
            <w:pPr>
              <w:jc w:val="both"/>
            </w:pPr>
            <w:r>
              <w:t>A</w:t>
            </w:r>
            <w:r>
              <w:t xml:space="preserve">ceastă condiție </w:t>
            </w:r>
            <w:r w:rsidRPr="00D0738E">
              <w:t xml:space="preserve">prevăzută în ghid ca organizația clusterului să desfășoare activități economice </w:t>
            </w:r>
            <w:r w:rsidRPr="00972A96">
              <w:rPr>
                <w:b/>
              </w:rPr>
              <w:t>se aplică doar pentru proiectele care conțin activități de inovare</w:t>
            </w:r>
            <w:r w:rsidRPr="00D0738E">
              <w:t xml:space="preserve">. </w:t>
            </w:r>
          </w:p>
        </w:tc>
      </w:tr>
      <w:tr w:rsidR="00440653" w:rsidTr="004E7461">
        <w:trPr>
          <w:trHeight w:val="1238"/>
        </w:trPr>
        <w:tc>
          <w:tcPr>
            <w:tcW w:w="546" w:type="dxa"/>
            <w:vAlign w:val="center"/>
          </w:tcPr>
          <w:p w:rsidR="00440653" w:rsidRDefault="00440653" w:rsidP="008A63B8">
            <w:pPr>
              <w:jc w:val="both"/>
              <w:rPr>
                <w:rFonts w:ascii="Calibri" w:hAnsi="Calibri" w:cs="Calibri"/>
                <w:color w:val="000000"/>
              </w:rPr>
            </w:pPr>
          </w:p>
        </w:tc>
        <w:tc>
          <w:tcPr>
            <w:tcW w:w="1292" w:type="dxa"/>
          </w:tcPr>
          <w:p w:rsidR="00440653" w:rsidRPr="00A83568" w:rsidRDefault="00440653" w:rsidP="008A63B8">
            <w:pPr>
              <w:jc w:val="right"/>
              <w:rPr>
                <w:b/>
                <w:i/>
              </w:rPr>
            </w:pPr>
          </w:p>
        </w:tc>
        <w:tc>
          <w:tcPr>
            <w:tcW w:w="3355" w:type="dxa"/>
          </w:tcPr>
          <w:p w:rsidR="00440653" w:rsidRDefault="00440653" w:rsidP="004E7461">
            <w:pPr>
              <w:jc w:val="both"/>
            </w:pPr>
            <w:r>
              <w:t xml:space="preserve">Pct. 4.4 </w:t>
            </w:r>
          </w:p>
          <w:p w:rsidR="00440653" w:rsidRDefault="00440653" w:rsidP="004E7461">
            <w:pPr>
              <w:jc w:val="both"/>
            </w:pPr>
            <w:r>
              <w:t>E</w:t>
            </w:r>
            <w:r w:rsidRPr="00440653">
              <w:t>ligibilitatea solicitantului</w:t>
            </w:r>
          </w:p>
          <w:p w:rsidR="00440653" w:rsidRDefault="00440653" w:rsidP="004E7461">
            <w:pPr>
              <w:jc w:val="both"/>
            </w:pPr>
          </w:p>
        </w:tc>
        <w:tc>
          <w:tcPr>
            <w:tcW w:w="4536" w:type="dxa"/>
          </w:tcPr>
          <w:p w:rsidR="00440653" w:rsidRDefault="00440653" w:rsidP="008A63B8">
            <w:pPr>
              <w:jc w:val="both"/>
            </w:pPr>
            <w:r w:rsidRPr="00440653">
              <w:t>Protocol/Acord de colaborare (doar în cazul în care nu toți membrii clusterului sunt și membri ai organizației clusterului)</w:t>
            </w:r>
          </w:p>
        </w:tc>
        <w:tc>
          <w:tcPr>
            <w:tcW w:w="5103" w:type="dxa"/>
          </w:tcPr>
          <w:p w:rsidR="0047482B" w:rsidRPr="003917CB" w:rsidRDefault="00263FF7" w:rsidP="008A63B8">
            <w:pPr>
              <w:jc w:val="both"/>
              <w:rPr>
                <w:b/>
                <w:highlight w:val="yellow"/>
              </w:rPr>
            </w:pPr>
            <w:r w:rsidRPr="003917CB">
              <w:rPr>
                <w:b/>
              </w:rPr>
              <w:t>Clarificat</w:t>
            </w:r>
          </w:p>
          <w:p w:rsidR="00440653" w:rsidRDefault="0047482B" w:rsidP="00263FF7">
            <w:pPr>
              <w:jc w:val="both"/>
            </w:pPr>
            <w:r>
              <w:t>Me</w:t>
            </w:r>
            <w:r w:rsidR="00E73CBF">
              <w:t xml:space="preserve">mbrii </w:t>
            </w:r>
            <w:r w:rsidR="00DB6030">
              <w:t xml:space="preserve">organizației </w:t>
            </w:r>
            <w:r w:rsidR="004B7CDD">
              <w:t xml:space="preserve">clusterului este obligatoriu să apară in </w:t>
            </w:r>
            <w:r>
              <w:t>Actul juridic de constituire a organizației c</w:t>
            </w:r>
            <w:r w:rsidR="00DB6030">
              <w:t>lusterului, in statut,</w:t>
            </w:r>
            <w:r>
              <w:t xml:space="preserve"> </w:t>
            </w:r>
            <w:r w:rsidR="00DC7EFB">
              <w:t>care va fi însoțit de  l</w:t>
            </w:r>
            <w:r>
              <w:t xml:space="preserve">ista  entităților care fac parte din </w:t>
            </w:r>
            <w:r w:rsidR="00DB6030">
              <w:t>organizația</w:t>
            </w:r>
            <w:r>
              <w:t xml:space="preserve">  clusterului</w:t>
            </w:r>
            <w:r w:rsidR="00FC2E3F">
              <w:t>,</w:t>
            </w:r>
            <w:r>
              <w:t xml:space="preserve"> la data depunerii cererii de finanțare</w:t>
            </w:r>
            <w:r w:rsidR="00FC2E3F">
              <w:t>.</w:t>
            </w:r>
          </w:p>
        </w:tc>
      </w:tr>
      <w:tr w:rsidR="00440653" w:rsidTr="004E7461">
        <w:trPr>
          <w:trHeight w:val="1238"/>
        </w:trPr>
        <w:tc>
          <w:tcPr>
            <w:tcW w:w="546" w:type="dxa"/>
            <w:vAlign w:val="center"/>
          </w:tcPr>
          <w:p w:rsidR="00440653" w:rsidRDefault="00440653" w:rsidP="008A63B8">
            <w:pPr>
              <w:jc w:val="both"/>
              <w:rPr>
                <w:rFonts w:ascii="Calibri" w:hAnsi="Calibri" w:cs="Calibri"/>
                <w:color w:val="000000"/>
              </w:rPr>
            </w:pPr>
          </w:p>
        </w:tc>
        <w:tc>
          <w:tcPr>
            <w:tcW w:w="1292" w:type="dxa"/>
          </w:tcPr>
          <w:p w:rsidR="00440653" w:rsidRPr="00A83568" w:rsidRDefault="00440653" w:rsidP="008A63B8">
            <w:pPr>
              <w:jc w:val="right"/>
              <w:rPr>
                <w:b/>
                <w:i/>
              </w:rPr>
            </w:pPr>
          </w:p>
        </w:tc>
        <w:tc>
          <w:tcPr>
            <w:tcW w:w="3355" w:type="dxa"/>
          </w:tcPr>
          <w:p w:rsidR="00440653" w:rsidRPr="00440653" w:rsidRDefault="00440653" w:rsidP="004E7461">
            <w:pPr>
              <w:jc w:val="both"/>
            </w:pPr>
            <w:r w:rsidRPr="00440653">
              <w:t xml:space="preserve">Pct. 4.4 </w:t>
            </w:r>
          </w:p>
          <w:p w:rsidR="00440653" w:rsidRDefault="00440653" w:rsidP="004E7461">
            <w:pPr>
              <w:jc w:val="both"/>
            </w:pPr>
            <w:r w:rsidRPr="00440653">
              <w:t>Forma de organizar</w:t>
            </w:r>
            <w:r w:rsidR="00E07A94">
              <w:t>e a solicitantului este conformă</w:t>
            </w:r>
            <w:r w:rsidRPr="00440653">
              <w:t xml:space="preserve"> cu  precizările de la subcapitolul 2.1 din  Ghidul Solicitantului</w:t>
            </w:r>
          </w:p>
        </w:tc>
        <w:tc>
          <w:tcPr>
            <w:tcW w:w="4536" w:type="dxa"/>
          </w:tcPr>
          <w:p w:rsidR="00440653" w:rsidRPr="00440653" w:rsidRDefault="00440653" w:rsidP="00440653">
            <w:pPr>
              <w:jc w:val="both"/>
            </w:pPr>
            <w:r w:rsidRPr="00440653">
              <w:t>Certificat de înregistrare la Registrul Comerțului (dup</w:t>
            </w:r>
            <w:r>
              <w:t>ă</w:t>
            </w:r>
            <w:r w:rsidRPr="00440653">
              <w:t xml:space="preserve"> caz)</w:t>
            </w:r>
          </w:p>
          <w:p w:rsidR="00440653" w:rsidRPr="00440653" w:rsidRDefault="00440653" w:rsidP="008A63B8">
            <w:pPr>
              <w:jc w:val="both"/>
            </w:pPr>
          </w:p>
        </w:tc>
        <w:tc>
          <w:tcPr>
            <w:tcW w:w="5103" w:type="dxa"/>
          </w:tcPr>
          <w:p w:rsidR="00DC1A81" w:rsidRPr="003917CB" w:rsidRDefault="00DC1A81" w:rsidP="00DC1A81">
            <w:pPr>
              <w:tabs>
                <w:tab w:val="left" w:pos="4820"/>
              </w:tabs>
              <w:spacing w:before="100" w:beforeAutospacing="1" w:after="100" w:afterAutospacing="1"/>
              <w:rPr>
                <w:b/>
              </w:rPr>
            </w:pPr>
            <w:r w:rsidRPr="003917CB">
              <w:rPr>
                <w:b/>
              </w:rPr>
              <w:t>Clarificat</w:t>
            </w:r>
          </w:p>
          <w:p w:rsidR="00440653" w:rsidRDefault="00DB6030" w:rsidP="00DB6030">
            <w:pPr>
              <w:tabs>
                <w:tab w:val="left" w:pos="4820"/>
              </w:tabs>
              <w:spacing w:before="100" w:beforeAutospacing="1" w:after="100" w:afterAutospacing="1"/>
              <w:jc w:val="both"/>
            </w:pPr>
            <w:r>
              <w:t>Se va verifica î</w:t>
            </w:r>
            <w:r w:rsidR="00AD2B4D">
              <w:t xml:space="preserve">n cadrul </w:t>
            </w:r>
            <w:r w:rsidR="00DC1A81" w:rsidRPr="00DC1A81">
              <w:t xml:space="preserve">Certificatului de înscriere în Registrul asociațiilor și fundațiilor, precum și  </w:t>
            </w:r>
            <w:r w:rsidR="00AD2B4D" w:rsidRPr="00DC1A81">
              <w:t>Actului juridic de constituire a org</w:t>
            </w:r>
            <w:r w:rsidR="00DC1A81" w:rsidRPr="00DC1A81">
              <w:t>anizației clusterului, statutul.</w:t>
            </w:r>
          </w:p>
        </w:tc>
      </w:tr>
      <w:tr w:rsidR="008A63B8" w:rsidTr="006C0D0D">
        <w:trPr>
          <w:trHeight w:val="557"/>
        </w:trPr>
        <w:tc>
          <w:tcPr>
            <w:tcW w:w="546" w:type="dxa"/>
            <w:vAlign w:val="center"/>
          </w:tcPr>
          <w:p w:rsidR="008A63B8" w:rsidRDefault="008A63B8" w:rsidP="008A63B8">
            <w:pPr>
              <w:jc w:val="both"/>
              <w:rPr>
                <w:rFonts w:ascii="Calibri" w:hAnsi="Calibri" w:cs="Calibri"/>
                <w:color w:val="000000"/>
              </w:rPr>
            </w:pPr>
          </w:p>
        </w:tc>
        <w:tc>
          <w:tcPr>
            <w:tcW w:w="1292" w:type="dxa"/>
          </w:tcPr>
          <w:p w:rsidR="008A63B8" w:rsidRPr="00A83568" w:rsidRDefault="008A63B8" w:rsidP="008A63B8">
            <w:pPr>
              <w:jc w:val="right"/>
              <w:rPr>
                <w:b/>
                <w:i/>
              </w:rPr>
            </w:pPr>
          </w:p>
        </w:tc>
        <w:tc>
          <w:tcPr>
            <w:tcW w:w="3355" w:type="dxa"/>
          </w:tcPr>
          <w:p w:rsidR="006C0D0D" w:rsidRDefault="006C0D0D" w:rsidP="009218EF">
            <w:pPr>
              <w:jc w:val="both"/>
            </w:pPr>
            <w:r>
              <w:t>Pct. 4.5</w:t>
            </w:r>
          </w:p>
          <w:p w:rsidR="008A63B8" w:rsidRPr="009218EF" w:rsidRDefault="008A63B8" w:rsidP="009218EF">
            <w:pPr>
              <w:jc w:val="both"/>
            </w:pPr>
            <w:r w:rsidRPr="009218EF">
              <w:t xml:space="preserve">Se vor evalua rezultatele analizei financiare: analiza fluxului de numerar, valoarea netă actualizată și rata internă de rentabilitate, rata asistenței financiare nerambursabile prezentate în capitolul  6 din documentația de avizare a lucrărilor de interventii/Capitolul E </w:t>
            </w:r>
            <w:r w:rsidR="00424AC0">
              <w:t>Proiecț</w:t>
            </w:r>
            <w:r w:rsidRPr="009218EF">
              <w:t xml:space="preserve">ii financiare si /sau Capitolul C punctul 6 din Planul de afaceri. </w:t>
            </w:r>
          </w:p>
          <w:p w:rsidR="008A63B8" w:rsidRPr="003F22BF" w:rsidRDefault="008A63B8" w:rsidP="008A63B8">
            <w:pPr>
              <w:widowControl w:val="0"/>
              <w:tabs>
                <w:tab w:val="left" w:pos="795"/>
                <w:tab w:val="left" w:pos="6525"/>
              </w:tabs>
              <w:autoSpaceDE w:val="0"/>
              <w:autoSpaceDN w:val="0"/>
              <w:adjustRightInd w:val="0"/>
              <w:spacing w:before="100" w:beforeAutospacing="1" w:after="100" w:afterAutospacing="1"/>
              <w:jc w:val="both"/>
              <w:rPr>
                <w:rFonts w:ascii="Trebuchet MS" w:hAnsi="Trebuchet MS"/>
              </w:rPr>
            </w:pPr>
          </w:p>
        </w:tc>
        <w:tc>
          <w:tcPr>
            <w:tcW w:w="4536" w:type="dxa"/>
          </w:tcPr>
          <w:p w:rsidR="008A63B8" w:rsidRDefault="006C0D0D" w:rsidP="006C0D0D">
            <w:pPr>
              <w:jc w:val="both"/>
            </w:pPr>
            <w:r>
              <w:lastRenderedPageBreak/>
              <w:t>Vă rugăm să</w:t>
            </w:r>
            <w:r w:rsidR="008A63B8">
              <w:t xml:space="preserve"> </w:t>
            </w:r>
            <w:r w:rsidR="00064EFD">
              <w:t>clarificați</w:t>
            </w:r>
            <w:r w:rsidR="008A63B8">
              <w:t xml:space="preserve"> corelarea dint</w:t>
            </w:r>
            <w:r>
              <w:t>re analiza financiară solicitată</w:t>
            </w:r>
            <w:r w:rsidR="008A63B8">
              <w:t xml:space="preserve"> </w:t>
            </w:r>
            <w:r>
              <w:t>și</w:t>
            </w:r>
            <w:r w:rsidR="008A63B8">
              <w:t xml:space="preserve"> grila de evaluare.</w:t>
            </w:r>
          </w:p>
          <w:p w:rsidR="008A63B8" w:rsidRDefault="008A63B8" w:rsidP="008A63B8">
            <w:pPr>
              <w:jc w:val="both"/>
            </w:pPr>
          </w:p>
        </w:tc>
        <w:tc>
          <w:tcPr>
            <w:tcW w:w="5103" w:type="dxa"/>
          </w:tcPr>
          <w:p w:rsidR="003917CB" w:rsidRPr="005F5C5B" w:rsidRDefault="003917CB" w:rsidP="003917CB">
            <w:pPr>
              <w:jc w:val="both"/>
              <w:rPr>
                <w:b/>
              </w:rPr>
            </w:pPr>
            <w:r w:rsidRPr="005F5C5B">
              <w:rPr>
                <w:b/>
              </w:rPr>
              <w:t>Clarificat</w:t>
            </w:r>
          </w:p>
          <w:p w:rsidR="00260763" w:rsidRDefault="00260763" w:rsidP="000D3AD8">
            <w:pPr>
              <w:spacing w:before="100" w:beforeAutospacing="1" w:after="100" w:afterAutospacing="1"/>
              <w:jc w:val="both"/>
            </w:pPr>
            <w:r w:rsidRPr="00DC1A81">
              <w:t xml:space="preserve">Se vor evalua rezultatele analizei financiare, respectiv: </w:t>
            </w:r>
          </w:p>
          <w:p w:rsidR="000D3AD8" w:rsidRDefault="00260763" w:rsidP="000D3AD8">
            <w:pPr>
              <w:pStyle w:val="ListParagraph"/>
              <w:numPr>
                <w:ilvl w:val="0"/>
                <w:numId w:val="3"/>
              </w:numPr>
              <w:spacing w:before="100" w:beforeAutospacing="1" w:after="100" w:afterAutospacing="1" w:line="240" w:lineRule="auto"/>
              <w:jc w:val="both"/>
              <w:rPr>
                <w:rFonts w:asciiTheme="minorHAnsi" w:eastAsiaTheme="minorHAnsi" w:hAnsiTheme="minorHAnsi" w:cstheme="minorBidi"/>
                <w:sz w:val="22"/>
                <w:szCs w:val="22"/>
              </w:rPr>
            </w:pPr>
            <w:r w:rsidRPr="00DC1A81">
              <w:rPr>
                <w:rFonts w:asciiTheme="minorHAnsi" w:eastAsiaTheme="minorHAnsi" w:hAnsiTheme="minorHAnsi" w:cstheme="minorBidi"/>
                <w:sz w:val="22"/>
                <w:szCs w:val="22"/>
              </w:rPr>
              <w:t>Indicatorul VFNA/C trebuie sa fie negativ, astfel demonstrând necesitatea asistenței nerambursabile</w:t>
            </w:r>
          </w:p>
          <w:p w:rsidR="00260763" w:rsidRPr="000D3AD8" w:rsidRDefault="00260763" w:rsidP="000D3AD8">
            <w:pPr>
              <w:pStyle w:val="ListParagraph"/>
              <w:numPr>
                <w:ilvl w:val="0"/>
                <w:numId w:val="3"/>
              </w:numPr>
              <w:spacing w:before="100" w:beforeAutospacing="1" w:after="100" w:afterAutospacing="1" w:line="240" w:lineRule="auto"/>
              <w:jc w:val="both"/>
              <w:rPr>
                <w:rFonts w:asciiTheme="minorHAnsi" w:eastAsiaTheme="minorHAnsi" w:hAnsiTheme="minorHAnsi" w:cstheme="minorBidi"/>
                <w:sz w:val="22"/>
                <w:szCs w:val="22"/>
              </w:rPr>
            </w:pPr>
            <w:r w:rsidRPr="000D3AD8">
              <w:rPr>
                <w:rFonts w:asciiTheme="minorHAnsi" w:eastAsiaTheme="minorHAnsi" w:hAnsiTheme="minorHAnsi" w:cstheme="minorBidi"/>
                <w:sz w:val="22"/>
                <w:szCs w:val="22"/>
              </w:rPr>
              <w:t>Indicatoru</w:t>
            </w:r>
            <w:r w:rsidR="000D3AD8">
              <w:rPr>
                <w:rFonts w:asciiTheme="minorHAnsi" w:eastAsiaTheme="minorHAnsi" w:hAnsiTheme="minorHAnsi" w:cstheme="minorBidi"/>
                <w:sz w:val="22"/>
                <w:szCs w:val="22"/>
              </w:rPr>
              <w:t>l RRF/C  trebuie sa fie mai mic</w:t>
            </w:r>
            <w:r w:rsidRPr="000D3AD8">
              <w:rPr>
                <w:rFonts w:asciiTheme="minorHAnsi" w:eastAsiaTheme="minorHAnsi" w:hAnsiTheme="minorHAnsi" w:cstheme="minorBidi"/>
                <w:sz w:val="22"/>
                <w:szCs w:val="22"/>
              </w:rPr>
              <w:t xml:space="preserve"> decât 4% (cba guide – pg 42) (rata de actualizare), </w:t>
            </w:r>
          </w:p>
          <w:p w:rsidR="00260763" w:rsidRPr="00DC1A81" w:rsidRDefault="00260763" w:rsidP="00260763">
            <w:pPr>
              <w:pStyle w:val="ListParagraph"/>
              <w:numPr>
                <w:ilvl w:val="0"/>
                <w:numId w:val="3"/>
              </w:numPr>
              <w:spacing w:before="100" w:beforeAutospacing="1" w:after="100" w:afterAutospacing="1" w:line="240" w:lineRule="auto"/>
              <w:jc w:val="both"/>
              <w:rPr>
                <w:rFonts w:asciiTheme="minorHAnsi" w:eastAsiaTheme="minorHAnsi" w:hAnsiTheme="minorHAnsi" w:cstheme="minorBidi"/>
                <w:sz w:val="22"/>
                <w:szCs w:val="22"/>
              </w:rPr>
            </w:pPr>
            <w:r w:rsidRPr="00DC1A81">
              <w:rPr>
                <w:rFonts w:asciiTheme="minorHAnsi" w:eastAsiaTheme="minorHAnsi" w:hAnsiTheme="minorHAnsi" w:cstheme="minorBidi"/>
                <w:sz w:val="22"/>
                <w:szCs w:val="22"/>
              </w:rPr>
              <w:t>Indicatorul VNAF/K trebuie sa fie pozitiv</w:t>
            </w:r>
          </w:p>
          <w:p w:rsidR="00260763" w:rsidRPr="00DC1A81" w:rsidRDefault="00260763" w:rsidP="00260763">
            <w:pPr>
              <w:pStyle w:val="ListParagraph"/>
              <w:numPr>
                <w:ilvl w:val="0"/>
                <w:numId w:val="3"/>
              </w:numPr>
              <w:spacing w:before="100" w:beforeAutospacing="1" w:after="100" w:afterAutospacing="1" w:line="240" w:lineRule="auto"/>
              <w:jc w:val="both"/>
              <w:rPr>
                <w:rFonts w:asciiTheme="minorHAnsi" w:eastAsiaTheme="minorHAnsi" w:hAnsiTheme="minorHAnsi" w:cstheme="minorBidi"/>
                <w:sz w:val="22"/>
                <w:szCs w:val="22"/>
              </w:rPr>
            </w:pPr>
            <w:r w:rsidRPr="00DC1A81">
              <w:rPr>
                <w:rFonts w:asciiTheme="minorHAnsi" w:eastAsiaTheme="minorHAnsi" w:hAnsiTheme="minorHAnsi" w:cstheme="minorBidi"/>
                <w:sz w:val="22"/>
                <w:szCs w:val="22"/>
              </w:rPr>
              <w:t xml:space="preserve">Indicatorul RIRF/K nu trebuie sa depăşească valorile de referinţă privind profitabilitatea aşteptată pentru sectorul respectiv. Valorile de </w:t>
            </w:r>
            <w:r w:rsidRPr="00DC1A81">
              <w:rPr>
                <w:rFonts w:asciiTheme="minorHAnsi" w:eastAsiaTheme="minorHAnsi" w:hAnsiTheme="minorHAnsi" w:cstheme="minorBidi"/>
                <w:sz w:val="22"/>
                <w:szCs w:val="22"/>
              </w:rPr>
              <w:lastRenderedPageBreak/>
              <w:t>referinţa la care se va raporta solicitantul vor fi justificate in mod corespunzător de către acesta</w:t>
            </w:r>
          </w:p>
          <w:p w:rsidR="00260763" w:rsidRPr="00DC1A81" w:rsidRDefault="00260763" w:rsidP="00260763">
            <w:pPr>
              <w:pStyle w:val="ListParagraph"/>
              <w:numPr>
                <w:ilvl w:val="0"/>
                <w:numId w:val="3"/>
              </w:numPr>
              <w:spacing w:before="100" w:beforeAutospacing="1" w:after="100" w:afterAutospacing="1" w:line="240" w:lineRule="auto"/>
              <w:jc w:val="both"/>
              <w:rPr>
                <w:rFonts w:asciiTheme="minorHAnsi" w:eastAsiaTheme="minorHAnsi" w:hAnsiTheme="minorHAnsi" w:cstheme="minorBidi"/>
                <w:sz w:val="22"/>
                <w:szCs w:val="22"/>
              </w:rPr>
            </w:pPr>
            <w:r w:rsidRPr="00DC1A81">
              <w:rPr>
                <w:rFonts w:asciiTheme="minorHAnsi" w:eastAsiaTheme="minorHAnsi" w:hAnsiTheme="minorHAnsi" w:cstheme="minorBidi"/>
                <w:sz w:val="22"/>
                <w:szCs w:val="22"/>
              </w:rPr>
              <w:t xml:space="preserve">Sustenabilitatea financiară, respectiv fluxul de numerar cumulat să fie pozitiv pe fiecare an al perioadei analizate demonstrând că proiectul nu întâmpină riscul unui deficit de numerar (lichidităţi) care să pună în pericol realizarea sau operarea investiţiei. </w:t>
            </w:r>
          </w:p>
          <w:p w:rsidR="00260763" w:rsidRPr="00DC1A81" w:rsidRDefault="00260763" w:rsidP="00260763">
            <w:pPr>
              <w:spacing w:before="100" w:beforeAutospacing="1" w:after="100" w:afterAutospacing="1"/>
              <w:jc w:val="both"/>
            </w:pPr>
            <w:r w:rsidRPr="00DC1A81">
              <w:t>În elaborarea proiecțiilor financiare se va folosi metoda fluxului net de numererar actualizat, unde se vor prezenta indicatorii strict legați de proiect; calculate pe baza fluxurilor financiare incrementale/marginale.</w:t>
            </w:r>
          </w:p>
          <w:p w:rsidR="00260763" w:rsidRPr="00DC1A81" w:rsidRDefault="00260763" w:rsidP="00260763">
            <w:pPr>
              <w:spacing w:before="100" w:beforeAutospacing="1" w:after="100" w:afterAutospacing="1"/>
              <w:jc w:val="both"/>
            </w:pPr>
            <w:r w:rsidRPr="00DC1A81">
              <w:t>Orizontul de analiza pentru proiectele de investiții finanțate din fonduri structural este de 15 ani de la terminarea investiției.</w:t>
            </w:r>
          </w:p>
          <w:p w:rsidR="00260763" w:rsidRPr="00DC1A81" w:rsidRDefault="00260763" w:rsidP="000D3AD8">
            <w:pPr>
              <w:spacing w:before="100" w:beforeAutospacing="1" w:after="100" w:afterAutospacing="1"/>
              <w:jc w:val="both"/>
            </w:pPr>
            <w:r w:rsidRPr="00DC1A81">
              <w:t>Totodată, în cadrul acestui subcriteriu se va evalua și rata asistenței financiare nerambursabile prezentate în capitolul  6 din documentația de avizare a lucrărilor de interventii/Capitolul E Proiectii financiare si /sau Capitolul C punctul 6 din Planul de afaceri. Informatiile vor fi verificate si pe baza documentului cu metodologia de calcul al indicatorilor financiari in formt excel, ce va fi pus la dispozitie de catre aplicanti. Rezultatele analizei financiare trebuie să demonstreze capacitatea financiară a solicitantului de implementare a proiectului și de a susține financiar investiția cel puțin 5 ani după finalizarea proiectului, prin acoperirea costurilor de operare și întreținere.</w:t>
            </w:r>
          </w:p>
          <w:p w:rsidR="008A63B8" w:rsidRPr="00260763" w:rsidRDefault="008A63B8" w:rsidP="00260763"/>
        </w:tc>
      </w:tr>
      <w:tr w:rsidR="008A63B8" w:rsidTr="006F2E05">
        <w:trPr>
          <w:trHeight w:val="2408"/>
        </w:trPr>
        <w:tc>
          <w:tcPr>
            <w:tcW w:w="546" w:type="dxa"/>
            <w:vAlign w:val="center"/>
          </w:tcPr>
          <w:p w:rsidR="008A63B8" w:rsidRDefault="008A63B8" w:rsidP="008A63B8">
            <w:pPr>
              <w:jc w:val="both"/>
              <w:rPr>
                <w:rFonts w:ascii="Calibri" w:hAnsi="Calibri" w:cs="Calibri"/>
                <w:color w:val="000000"/>
              </w:rPr>
            </w:pPr>
          </w:p>
        </w:tc>
        <w:tc>
          <w:tcPr>
            <w:tcW w:w="1292" w:type="dxa"/>
          </w:tcPr>
          <w:p w:rsidR="008A63B8" w:rsidRPr="00A83568" w:rsidRDefault="008A63B8" w:rsidP="008A63B8">
            <w:pPr>
              <w:jc w:val="right"/>
              <w:rPr>
                <w:b/>
                <w:i/>
              </w:rPr>
            </w:pPr>
          </w:p>
        </w:tc>
        <w:tc>
          <w:tcPr>
            <w:tcW w:w="3355" w:type="dxa"/>
          </w:tcPr>
          <w:p w:rsidR="00800B06" w:rsidRPr="00800B06" w:rsidRDefault="00800B06" w:rsidP="00800B06">
            <w:pPr>
              <w:jc w:val="both"/>
            </w:pPr>
            <w:r w:rsidRPr="00800B06">
              <w:t>Cap. 5</w:t>
            </w:r>
          </w:p>
          <w:p w:rsidR="008A63B8" w:rsidRPr="000515AC" w:rsidRDefault="008A63B8" w:rsidP="000515AC">
            <w:pPr>
              <w:jc w:val="both"/>
              <w:rPr>
                <w:rFonts w:ascii="Trebuchet MS" w:hAnsi="Trebuchet MS"/>
              </w:rPr>
            </w:pPr>
            <w:r w:rsidRPr="00800B06">
              <w:t>După înregistrarea contestațiilor la OIC, acestea sunt analizate de experți evaluatori, diferiți de cei care au efectuat evaluarea inițială</w:t>
            </w:r>
            <w:r w:rsidR="000515AC">
              <w:rPr>
                <w:rFonts w:ascii="Trebuchet MS" w:hAnsi="Trebuchet MS"/>
              </w:rPr>
              <w:t>.</w:t>
            </w:r>
          </w:p>
        </w:tc>
        <w:tc>
          <w:tcPr>
            <w:tcW w:w="4536" w:type="dxa"/>
          </w:tcPr>
          <w:p w:rsidR="008A63B8" w:rsidRDefault="00367F30" w:rsidP="00C82738">
            <w:pPr>
              <w:jc w:val="both"/>
            </w:pPr>
            <w:r>
              <w:t>Recomandă</w:t>
            </w:r>
            <w:r w:rsidR="00C82738">
              <w:t>m un termen limită</w:t>
            </w:r>
            <w:r w:rsidR="008A63B8">
              <w:t xml:space="preserve"> de </w:t>
            </w:r>
            <w:r w:rsidR="00C82738">
              <w:t>soluționare</w:t>
            </w:r>
            <w:r w:rsidR="008A63B8">
              <w:t xml:space="preserve"> a </w:t>
            </w:r>
            <w:r w:rsidR="00C82738">
              <w:t>contestațiilor menționat în</w:t>
            </w:r>
            <w:r w:rsidR="008A63B8">
              <w:t xml:space="preserve"> GS.</w:t>
            </w:r>
          </w:p>
        </w:tc>
        <w:tc>
          <w:tcPr>
            <w:tcW w:w="5103" w:type="dxa"/>
          </w:tcPr>
          <w:p w:rsidR="003917CB" w:rsidRPr="003917CB" w:rsidRDefault="003917CB" w:rsidP="00A75662">
            <w:pPr>
              <w:jc w:val="both"/>
              <w:rPr>
                <w:b/>
              </w:rPr>
            </w:pPr>
            <w:r w:rsidRPr="003917CB">
              <w:rPr>
                <w:b/>
              </w:rPr>
              <w:t>Admis</w:t>
            </w:r>
            <w:r w:rsidR="00193A3C">
              <w:rPr>
                <w:b/>
              </w:rPr>
              <w:t xml:space="preserve"> </w:t>
            </w:r>
          </w:p>
          <w:p w:rsidR="00044BDD" w:rsidRDefault="000515AC" w:rsidP="00A75662">
            <w:pPr>
              <w:jc w:val="both"/>
            </w:pPr>
            <w:r w:rsidRPr="000515AC">
              <w:t>Depunerea și s</w:t>
            </w:r>
            <w:r>
              <w:t>oluționarea contestațiilor se vor</w:t>
            </w:r>
            <w:r w:rsidRPr="000515AC">
              <w:t xml:space="preserve"> realiza conform termenelor stipulate de Legea nr. 554/2004.</w:t>
            </w:r>
          </w:p>
        </w:tc>
      </w:tr>
      <w:tr w:rsidR="008A63B8" w:rsidTr="006F2E05">
        <w:trPr>
          <w:trHeight w:val="2408"/>
        </w:trPr>
        <w:tc>
          <w:tcPr>
            <w:tcW w:w="546" w:type="dxa"/>
            <w:vAlign w:val="center"/>
          </w:tcPr>
          <w:p w:rsidR="008A63B8" w:rsidRDefault="008A63B8" w:rsidP="008A63B8">
            <w:pPr>
              <w:jc w:val="both"/>
              <w:rPr>
                <w:rFonts w:ascii="Calibri" w:hAnsi="Calibri" w:cs="Calibri"/>
                <w:color w:val="000000"/>
              </w:rPr>
            </w:pPr>
          </w:p>
        </w:tc>
        <w:tc>
          <w:tcPr>
            <w:tcW w:w="1292" w:type="dxa"/>
          </w:tcPr>
          <w:p w:rsidR="008A63B8" w:rsidRPr="00A83568" w:rsidRDefault="008A63B8" w:rsidP="008A63B8">
            <w:pPr>
              <w:jc w:val="right"/>
              <w:rPr>
                <w:b/>
                <w:i/>
              </w:rPr>
            </w:pPr>
          </w:p>
        </w:tc>
        <w:tc>
          <w:tcPr>
            <w:tcW w:w="3355" w:type="dxa"/>
          </w:tcPr>
          <w:p w:rsidR="00775AE4" w:rsidRPr="00775AE4" w:rsidRDefault="006D51E2" w:rsidP="00775AE4">
            <w:pPr>
              <w:pStyle w:val="CommentText"/>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Cap 10 </w:t>
            </w:r>
            <w:r w:rsidR="00775AE4" w:rsidRPr="00775AE4">
              <w:rPr>
                <w:rFonts w:asciiTheme="minorHAnsi" w:eastAsiaTheme="minorHAnsi" w:hAnsiTheme="minorHAnsi" w:cstheme="minorBidi"/>
                <w:sz w:val="22"/>
                <w:szCs w:val="22"/>
              </w:rPr>
              <w:t xml:space="preserve">Lista de anexe necesare la contractarea proiectelor </w:t>
            </w:r>
          </w:p>
          <w:p w:rsidR="008A63B8" w:rsidRPr="003F22BF" w:rsidRDefault="008A63B8" w:rsidP="00775AE4">
            <w:pPr>
              <w:pStyle w:val="CommentText"/>
              <w:jc w:val="both"/>
              <w:rPr>
                <w:rFonts w:ascii="Trebuchet MS" w:hAnsi="Trebuchet MS"/>
                <w:color w:val="000000" w:themeColor="text1"/>
              </w:rPr>
            </w:pPr>
            <w:r w:rsidRPr="00052125">
              <w:rPr>
                <w:rFonts w:asciiTheme="minorHAnsi" w:eastAsiaTheme="minorHAnsi" w:hAnsiTheme="minorHAnsi" w:cstheme="minorBidi"/>
                <w:sz w:val="22"/>
                <w:szCs w:val="22"/>
              </w:rPr>
              <w:t>Extras de carte funciară</w:t>
            </w:r>
          </w:p>
        </w:tc>
        <w:tc>
          <w:tcPr>
            <w:tcW w:w="4536" w:type="dxa"/>
          </w:tcPr>
          <w:p w:rsidR="007954A3" w:rsidRPr="007954A3" w:rsidRDefault="007954A3" w:rsidP="007954A3">
            <w:pPr>
              <w:pStyle w:val="CommentText"/>
              <w:rPr>
                <w:rFonts w:asciiTheme="minorHAnsi" w:eastAsiaTheme="minorHAnsi" w:hAnsiTheme="minorHAnsi" w:cstheme="minorBidi"/>
                <w:sz w:val="22"/>
                <w:szCs w:val="22"/>
              </w:rPr>
            </w:pPr>
            <w:r w:rsidRPr="007954A3">
              <w:rPr>
                <w:rFonts w:asciiTheme="minorHAnsi" w:eastAsiaTheme="minorHAnsi" w:hAnsiTheme="minorHAnsi" w:cstheme="minorBidi"/>
                <w:sz w:val="22"/>
                <w:szCs w:val="22"/>
              </w:rPr>
              <w:t>De clarificat situațiile</w:t>
            </w:r>
            <w:r>
              <w:rPr>
                <w:rFonts w:asciiTheme="minorHAnsi" w:eastAsiaTheme="minorHAnsi" w:hAnsiTheme="minorHAnsi" w:cstheme="minorBidi"/>
                <w:sz w:val="22"/>
                <w:szCs w:val="22"/>
              </w:rPr>
              <w:t xml:space="preserve"> î</w:t>
            </w:r>
            <w:r w:rsidRPr="007954A3">
              <w:rPr>
                <w:rFonts w:asciiTheme="minorHAnsi" w:eastAsiaTheme="minorHAnsi" w:hAnsiTheme="minorHAnsi" w:cstheme="minorBidi"/>
                <w:sz w:val="22"/>
                <w:szCs w:val="22"/>
              </w:rPr>
              <w:t>n care se impune extrasul de CF; la acest moment apare de dou</w:t>
            </w:r>
            <w:r>
              <w:rPr>
                <w:rFonts w:asciiTheme="minorHAnsi" w:eastAsiaTheme="minorHAnsi" w:hAnsiTheme="minorHAnsi" w:cstheme="minorBidi"/>
                <w:sz w:val="22"/>
                <w:szCs w:val="22"/>
              </w:rPr>
              <w:t>ă ori î</w:t>
            </w:r>
            <w:r w:rsidRPr="007954A3">
              <w:rPr>
                <w:rFonts w:asciiTheme="minorHAnsi" w:eastAsiaTheme="minorHAnsi" w:hAnsiTheme="minorHAnsi" w:cstheme="minorBidi"/>
                <w:sz w:val="22"/>
                <w:szCs w:val="22"/>
              </w:rPr>
              <w:t>n aceast</w:t>
            </w:r>
            <w:r>
              <w:rPr>
                <w:rFonts w:asciiTheme="minorHAnsi" w:eastAsiaTheme="minorHAnsi" w:hAnsiTheme="minorHAnsi" w:cstheme="minorBidi"/>
                <w:sz w:val="22"/>
                <w:szCs w:val="22"/>
              </w:rPr>
              <w:t>ă Listă</w:t>
            </w:r>
            <w:r w:rsidRPr="007954A3">
              <w:rPr>
                <w:rFonts w:asciiTheme="minorHAnsi" w:eastAsiaTheme="minorHAnsi" w:hAnsiTheme="minorHAnsi" w:cstheme="minorBidi"/>
                <w:sz w:val="22"/>
                <w:szCs w:val="22"/>
              </w:rPr>
              <w:t xml:space="preserve">. </w:t>
            </w:r>
          </w:p>
          <w:p w:rsidR="008A63B8" w:rsidRDefault="008A63B8" w:rsidP="008A63B8">
            <w:pPr>
              <w:pStyle w:val="CommentText"/>
            </w:pPr>
            <w:bookmarkStart w:id="0" w:name="_GoBack"/>
            <w:bookmarkEnd w:id="0"/>
          </w:p>
        </w:tc>
        <w:tc>
          <w:tcPr>
            <w:tcW w:w="5103" w:type="dxa"/>
          </w:tcPr>
          <w:p w:rsidR="007A3FB0" w:rsidRPr="003917CB" w:rsidRDefault="0055175F" w:rsidP="00A36B66">
            <w:pPr>
              <w:jc w:val="both"/>
              <w:rPr>
                <w:b/>
              </w:rPr>
            </w:pPr>
            <w:r w:rsidRPr="003917CB">
              <w:rPr>
                <w:b/>
              </w:rPr>
              <w:t>Admis și rectificat</w:t>
            </w:r>
          </w:p>
          <w:p w:rsidR="008A63B8" w:rsidRDefault="002C16D0" w:rsidP="00A36B66">
            <w:pPr>
              <w:jc w:val="both"/>
            </w:pPr>
            <w:r>
              <w:t xml:space="preserve">Extrasul de carte funciară se va solicita in etapa de contractare a proiectului. </w:t>
            </w:r>
          </w:p>
          <w:p w:rsidR="007A3FB0" w:rsidRPr="001B2CFF" w:rsidRDefault="007A3FB0" w:rsidP="002F0979"/>
        </w:tc>
      </w:tr>
      <w:tr w:rsidR="00DD76E9" w:rsidTr="006F2E05">
        <w:trPr>
          <w:trHeight w:val="2408"/>
        </w:trPr>
        <w:tc>
          <w:tcPr>
            <w:tcW w:w="546" w:type="dxa"/>
            <w:vAlign w:val="center"/>
          </w:tcPr>
          <w:p w:rsidR="00DD76E9" w:rsidRDefault="00DD76E9" w:rsidP="008A63B8">
            <w:pPr>
              <w:jc w:val="both"/>
              <w:rPr>
                <w:rFonts w:ascii="Calibri" w:hAnsi="Calibri" w:cs="Calibri"/>
                <w:color w:val="000000"/>
              </w:rPr>
            </w:pPr>
          </w:p>
        </w:tc>
        <w:tc>
          <w:tcPr>
            <w:tcW w:w="1292" w:type="dxa"/>
          </w:tcPr>
          <w:p w:rsidR="00DD76E9" w:rsidRPr="00A83568" w:rsidRDefault="00DD76E9" w:rsidP="008A63B8">
            <w:pPr>
              <w:jc w:val="right"/>
              <w:rPr>
                <w:b/>
                <w:i/>
              </w:rPr>
            </w:pPr>
          </w:p>
        </w:tc>
        <w:tc>
          <w:tcPr>
            <w:tcW w:w="3355" w:type="dxa"/>
          </w:tcPr>
          <w:p w:rsidR="00DD76E9" w:rsidRPr="003F22BF" w:rsidRDefault="00460BC3" w:rsidP="008A63B8">
            <w:pPr>
              <w:spacing w:before="100" w:beforeAutospacing="1" w:after="100" w:afterAutospacing="1"/>
              <w:jc w:val="both"/>
              <w:rPr>
                <w:rFonts w:ascii="Trebuchet MS" w:hAnsi="Trebuchet MS"/>
                <w:noProof/>
                <w:color w:val="000000" w:themeColor="text1"/>
              </w:rPr>
            </w:pPr>
            <w:r w:rsidRPr="00460BC3">
              <w:t xml:space="preserve">Anexa 1 Cerere de finanțare </w:t>
            </w:r>
            <w:r w:rsidR="00DD76E9" w:rsidRPr="00460BC3">
              <w:t>CURRICULUM VITAE</w:t>
            </w:r>
          </w:p>
        </w:tc>
        <w:tc>
          <w:tcPr>
            <w:tcW w:w="4536" w:type="dxa"/>
          </w:tcPr>
          <w:p w:rsidR="00DD76E9" w:rsidRPr="00460BC3" w:rsidRDefault="00DD76E9" w:rsidP="00460BC3">
            <w:pPr>
              <w:spacing w:before="100" w:beforeAutospacing="1" w:after="100" w:afterAutospacing="1"/>
              <w:jc w:val="both"/>
            </w:pPr>
            <w:r>
              <w:t>Conform comunicatului de presa mfe.gov din 04.06.21 a</w:t>
            </w:r>
            <w:r w:rsidRPr="00050567">
              <w:t xml:space="preserve"> fost eliminată componenta descriptivă a CV-ului, fiind necesară doar încărcarea electronică a CV-ului, în format PDF, și a documentelor justificative</w:t>
            </w:r>
            <w:r>
              <w:t xml:space="preserve">. A se corela </w:t>
            </w:r>
            <w:r w:rsidR="0011540A">
              <w:t>și</w:t>
            </w:r>
            <w:r>
              <w:t xml:space="preserve"> </w:t>
            </w:r>
            <w:r w:rsidR="0011540A">
              <w:t>în ghid această</w:t>
            </w:r>
            <w:r>
              <w:t xml:space="preserve"> </w:t>
            </w:r>
            <w:r w:rsidR="0011540A">
              <w:t>secțiune</w:t>
            </w:r>
            <w:r>
              <w:t>.</w:t>
            </w:r>
          </w:p>
          <w:p w:rsidR="00DD76E9" w:rsidRDefault="00DD76E9" w:rsidP="008A63B8">
            <w:pPr>
              <w:pStyle w:val="CommentText"/>
            </w:pPr>
          </w:p>
        </w:tc>
        <w:tc>
          <w:tcPr>
            <w:tcW w:w="5103" w:type="dxa"/>
          </w:tcPr>
          <w:p w:rsidR="00333CB9" w:rsidRPr="00193A3C" w:rsidRDefault="00333CB9" w:rsidP="008A63B8">
            <w:pPr>
              <w:jc w:val="both"/>
              <w:rPr>
                <w:b/>
              </w:rPr>
            </w:pPr>
            <w:r w:rsidRPr="00193A3C">
              <w:rPr>
                <w:b/>
              </w:rPr>
              <w:t>Respins și clarificat</w:t>
            </w:r>
          </w:p>
          <w:p w:rsidR="00DD76E9" w:rsidRDefault="00333CB9" w:rsidP="008A63B8">
            <w:pPr>
              <w:jc w:val="both"/>
            </w:pPr>
            <w:r>
              <w:t>Conform</w:t>
            </w:r>
            <w:r w:rsidR="00F56881">
              <w:t xml:space="preserve"> OMIPE nr. 721/13.07.2021 nu reiese ca a fost eliminata componenta descriptiva, ci doar </w:t>
            </w:r>
            <w:r w:rsidR="00A36B66">
              <w:t>semnătura</w:t>
            </w:r>
            <w:r w:rsidR="00F56881">
              <w:t xml:space="preserve"> olografa si ștampila cf cu originalul pe fiecare pagina a CV-ului, fiind suficienta </w:t>
            </w:r>
            <w:r w:rsidR="00A36B66">
              <w:t>încărcarea</w:t>
            </w:r>
            <w:r w:rsidR="00F56881">
              <w:t xml:space="preserve"> cu </w:t>
            </w:r>
            <w:r w:rsidR="00A36B66">
              <w:t>semnătura</w:t>
            </w:r>
            <w:r w:rsidR="00F56881">
              <w:t xml:space="preserve"> electronica a reprezentantului legal</w:t>
            </w:r>
          </w:p>
        </w:tc>
      </w:tr>
    </w:tbl>
    <w:p w:rsidR="00986F63" w:rsidRDefault="00986F63" w:rsidP="00A83568">
      <w:pPr>
        <w:jc w:val="both"/>
      </w:pPr>
    </w:p>
    <w:sectPr w:rsidR="00986F63" w:rsidSect="00631679">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BD4" w:rsidRDefault="00FD2BD4" w:rsidP="00631679">
      <w:pPr>
        <w:spacing w:after="0" w:line="240" w:lineRule="auto"/>
      </w:pPr>
      <w:r>
        <w:separator/>
      </w:r>
    </w:p>
  </w:endnote>
  <w:endnote w:type="continuationSeparator" w:id="0">
    <w:p w:rsidR="00FD2BD4" w:rsidRDefault="00FD2BD4" w:rsidP="0063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Helvetica">
    <w:panose1 w:val="020B0504020202030204"/>
    <w:charset w:val="EE"/>
    <w:family w:val="swiss"/>
    <w:pitch w:val="variable"/>
    <w:sig w:usb0="00000007" w:usb1="00000000" w:usb2="00000000" w:usb3="00000000" w:csb0="00000093"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BD4" w:rsidRDefault="00FD2BD4" w:rsidP="00631679">
      <w:pPr>
        <w:spacing w:after="0" w:line="240" w:lineRule="auto"/>
      </w:pPr>
      <w:r>
        <w:separator/>
      </w:r>
    </w:p>
  </w:footnote>
  <w:footnote w:type="continuationSeparator" w:id="0">
    <w:p w:rsidR="00FD2BD4" w:rsidRDefault="00FD2BD4" w:rsidP="00631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563EB"/>
    <w:multiLevelType w:val="hybridMultilevel"/>
    <w:tmpl w:val="1A349FB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24800358"/>
    <w:multiLevelType w:val="hybridMultilevel"/>
    <w:tmpl w:val="3084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06815"/>
    <w:multiLevelType w:val="hybridMultilevel"/>
    <w:tmpl w:val="B1A821BE"/>
    <w:lvl w:ilvl="0" w:tplc="FB326FF0">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A5E6FBE"/>
    <w:multiLevelType w:val="hybridMultilevel"/>
    <w:tmpl w:val="052834D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2F"/>
    <w:rsid w:val="00000879"/>
    <w:rsid w:val="00005866"/>
    <w:rsid w:val="000062A0"/>
    <w:rsid w:val="0001125E"/>
    <w:rsid w:val="00013A5A"/>
    <w:rsid w:val="00015E5C"/>
    <w:rsid w:val="0001712F"/>
    <w:rsid w:val="0002687B"/>
    <w:rsid w:val="00027DFE"/>
    <w:rsid w:val="0003148D"/>
    <w:rsid w:val="00032D85"/>
    <w:rsid w:val="00033BC8"/>
    <w:rsid w:val="00033C6E"/>
    <w:rsid w:val="00035843"/>
    <w:rsid w:val="00036F96"/>
    <w:rsid w:val="00041583"/>
    <w:rsid w:val="00044BDD"/>
    <w:rsid w:val="000515AC"/>
    <w:rsid w:val="00052125"/>
    <w:rsid w:val="00054493"/>
    <w:rsid w:val="00054CF7"/>
    <w:rsid w:val="000566D4"/>
    <w:rsid w:val="00064DFC"/>
    <w:rsid w:val="00064EFD"/>
    <w:rsid w:val="00065824"/>
    <w:rsid w:val="00067402"/>
    <w:rsid w:val="00071DC9"/>
    <w:rsid w:val="000730B6"/>
    <w:rsid w:val="0008074D"/>
    <w:rsid w:val="00081810"/>
    <w:rsid w:val="0008627F"/>
    <w:rsid w:val="00086E51"/>
    <w:rsid w:val="000904D7"/>
    <w:rsid w:val="00091BCC"/>
    <w:rsid w:val="0009491C"/>
    <w:rsid w:val="000A0CEC"/>
    <w:rsid w:val="000B0835"/>
    <w:rsid w:val="000B37D3"/>
    <w:rsid w:val="000B4CD9"/>
    <w:rsid w:val="000B6538"/>
    <w:rsid w:val="000C1259"/>
    <w:rsid w:val="000C5CBF"/>
    <w:rsid w:val="000D0BFC"/>
    <w:rsid w:val="000D3AD8"/>
    <w:rsid w:val="000D6F2E"/>
    <w:rsid w:val="000E027F"/>
    <w:rsid w:val="000E0FF6"/>
    <w:rsid w:val="000F0B3E"/>
    <w:rsid w:val="000F6C29"/>
    <w:rsid w:val="00101855"/>
    <w:rsid w:val="00103E97"/>
    <w:rsid w:val="00105378"/>
    <w:rsid w:val="001057C1"/>
    <w:rsid w:val="00105F8A"/>
    <w:rsid w:val="00115279"/>
    <w:rsid w:val="0011540A"/>
    <w:rsid w:val="001157CF"/>
    <w:rsid w:val="001166CC"/>
    <w:rsid w:val="00116B56"/>
    <w:rsid w:val="00121E01"/>
    <w:rsid w:val="00122F4D"/>
    <w:rsid w:val="00124A72"/>
    <w:rsid w:val="00126B7F"/>
    <w:rsid w:val="00133322"/>
    <w:rsid w:val="00135CC6"/>
    <w:rsid w:val="00136305"/>
    <w:rsid w:val="0014609E"/>
    <w:rsid w:val="00146CB3"/>
    <w:rsid w:val="00151B8F"/>
    <w:rsid w:val="00153B24"/>
    <w:rsid w:val="00154D74"/>
    <w:rsid w:val="00155012"/>
    <w:rsid w:val="0015552D"/>
    <w:rsid w:val="00155E58"/>
    <w:rsid w:val="001614DC"/>
    <w:rsid w:val="00161EC5"/>
    <w:rsid w:val="00172CC6"/>
    <w:rsid w:val="00175030"/>
    <w:rsid w:val="00175DF8"/>
    <w:rsid w:val="0018190C"/>
    <w:rsid w:val="00186186"/>
    <w:rsid w:val="00191754"/>
    <w:rsid w:val="00191884"/>
    <w:rsid w:val="001935E8"/>
    <w:rsid w:val="00193A3C"/>
    <w:rsid w:val="00196B57"/>
    <w:rsid w:val="001A0B94"/>
    <w:rsid w:val="001A2413"/>
    <w:rsid w:val="001A6863"/>
    <w:rsid w:val="001B2CFF"/>
    <w:rsid w:val="001C12C6"/>
    <w:rsid w:val="001C1475"/>
    <w:rsid w:val="001C2C7C"/>
    <w:rsid w:val="001C6DD8"/>
    <w:rsid w:val="001D3EA3"/>
    <w:rsid w:val="001D4265"/>
    <w:rsid w:val="001E2902"/>
    <w:rsid w:val="001E33C1"/>
    <w:rsid w:val="001E5383"/>
    <w:rsid w:val="001E6428"/>
    <w:rsid w:val="001F0DFD"/>
    <w:rsid w:val="001F1135"/>
    <w:rsid w:val="001F4B15"/>
    <w:rsid w:val="001F617A"/>
    <w:rsid w:val="002019A1"/>
    <w:rsid w:val="002034D1"/>
    <w:rsid w:val="002049E0"/>
    <w:rsid w:val="002065B6"/>
    <w:rsid w:val="0020677A"/>
    <w:rsid w:val="00210D5C"/>
    <w:rsid w:val="00211A17"/>
    <w:rsid w:val="002127B1"/>
    <w:rsid w:val="002137E1"/>
    <w:rsid w:val="00214521"/>
    <w:rsid w:val="00220295"/>
    <w:rsid w:val="00220C6F"/>
    <w:rsid w:val="00220EEC"/>
    <w:rsid w:val="00222B28"/>
    <w:rsid w:val="0022353F"/>
    <w:rsid w:val="00225F3C"/>
    <w:rsid w:val="00243228"/>
    <w:rsid w:val="00243865"/>
    <w:rsid w:val="00244AB2"/>
    <w:rsid w:val="00244AE0"/>
    <w:rsid w:val="002454B8"/>
    <w:rsid w:val="0024626C"/>
    <w:rsid w:val="002514AA"/>
    <w:rsid w:val="0025212F"/>
    <w:rsid w:val="002541EC"/>
    <w:rsid w:val="002565F1"/>
    <w:rsid w:val="002576D7"/>
    <w:rsid w:val="00260763"/>
    <w:rsid w:val="00263FF7"/>
    <w:rsid w:val="00264C74"/>
    <w:rsid w:val="00265F31"/>
    <w:rsid w:val="00267771"/>
    <w:rsid w:val="00267984"/>
    <w:rsid w:val="002714C4"/>
    <w:rsid w:val="00272FD5"/>
    <w:rsid w:val="00274A92"/>
    <w:rsid w:val="00274C06"/>
    <w:rsid w:val="00291F20"/>
    <w:rsid w:val="00293B8F"/>
    <w:rsid w:val="0029442F"/>
    <w:rsid w:val="002947B3"/>
    <w:rsid w:val="002A7CD4"/>
    <w:rsid w:val="002B0ADD"/>
    <w:rsid w:val="002B1FEC"/>
    <w:rsid w:val="002B3C90"/>
    <w:rsid w:val="002B4E3A"/>
    <w:rsid w:val="002B720D"/>
    <w:rsid w:val="002C16D0"/>
    <w:rsid w:val="002C4BB3"/>
    <w:rsid w:val="002C5CEA"/>
    <w:rsid w:val="002C6CCA"/>
    <w:rsid w:val="002D2162"/>
    <w:rsid w:val="002D2E83"/>
    <w:rsid w:val="002D6982"/>
    <w:rsid w:val="002D77EB"/>
    <w:rsid w:val="002E2D90"/>
    <w:rsid w:val="002F0979"/>
    <w:rsid w:val="002F45CF"/>
    <w:rsid w:val="0030086F"/>
    <w:rsid w:val="003029FD"/>
    <w:rsid w:val="00306EB8"/>
    <w:rsid w:val="0030733E"/>
    <w:rsid w:val="00312EA3"/>
    <w:rsid w:val="00313FED"/>
    <w:rsid w:val="00314F4E"/>
    <w:rsid w:val="00322103"/>
    <w:rsid w:val="003228D6"/>
    <w:rsid w:val="0032412C"/>
    <w:rsid w:val="00325B64"/>
    <w:rsid w:val="00325BDC"/>
    <w:rsid w:val="003304FD"/>
    <w:rsid w:val="00332AA1"/>
    <w:rsid w:val="00333CB9"/>
    <w:rsid w:val="00337014"/>
    <w:rsid w:val="00337A4A"/>
    <w:rsid w:val="00337BE7"/>
    <w:rsid w:val="00346344"/>
    <w:rsid w:val="00350B13"/>
    <w:rsid w:val="00350E1A"/>
    <w:rsid w:val="00355C88"/>
    <w:rsid w:val="0036088F"/>
    <w:rsid w:val="0036280D"/>
    <w:rsid w:val="00366EDA"/>
    <w:rsid w:val="00367F30"/>
    <w:rsid w:val="003714F9"/>
    <w:rsid w:val="0037461C"/>
    <w:rsid w:val="00376C78"/>
    <w:rsid w:val="0039071E"/>
    <w:rsid w:val="003917CB"/>
    <w:rsid w:val="003A4E93"/>
    <w:rsid w:val="003A629E"/>
    <w:rsid w:val="003B2EE9"/>
    <w:rsid w:val="003B4A77"/>
    <w:rsid w:val="003B53E5"/>
    <w:rsid w:val="003B5A7D"/>
    <w:rsid w:val="003C37E6"/>
    <w:rsid w:val="003C7833"/>
    <w:rsid w:val="003D4282"/>
    <w:rsid w:val="003E1D38"/>
    <w:rsid w:val="003E6980"/>
    <w:rsid w:val="003E7517"/>
    <w:rsid w:val="003F0995"/>
    <w:rsid w:val="003F33A4"/>
    <w:rsid w:val="003F62C1"/>
    <w:rsid w:val="003F7DD7"/>
    <w:rsid w:val="00400240"/>
    <w:rsid w:val="00400530"/>
    <w:rsid w:val="00400E56"/>
    <w:rsid w:val="00402A0D"/>
    <w:rsid w:val="00403DF4"/>
    <w:rsid w:val="00404579"/>
    <w:rsid w:val="0041104A"/>
    <w:rsid w:val="00411E2F"/>
    <w:rsid w:val="00413B4A"/>
    <w:rsid w:val="0041502D"/>
    <w:rsid w:val="0041506B"/>
    <w:rsid w:val="00415FF5"/>
    <w:rsid w:val="00420EC1"/>
    <w:rsid w:val="00421B0A"/>
    <w:rsid w:val="00422F47"/>
    <w:rsid w:val="00424AC0"/>
    <w:rsid w:val="00426DC2"/>
    <w:rsid w:val="00430380"/>
    <w:rsid w:val="0043147A"/>
    <w:rsid w:val="004341F9"/>
    <w:rsid w:val="00435D35"/>
    <w:rsid w:val="00440653"/>
    <w:rsid w:val="00441BF6"/>
    <w:rsid w:val="00442777"/>
    <w:rsid w:val="00445A39"/>
    <w:rsid w:val="004505DE"/>
    <w:rsid w:val="00451CB1"/>
    <w:rsid w:val="00453E7D"/>
    <w:rsid w:val="00457C0D"/>
    <w:rsid w:val="00460BC3"/>
    <w:rsid w:val="0046171E"/>
    <w:rsid w:val="00464128"/>
    <w:rsid w:val="004653DE"/>
    <w:rsid w:val="0047482B"/>
    <w:rsid w:val="00475066"/>
    <w:rsid w:val="00476391"/>
    <w:rsid w:val="0048060F"/>
    <w:rsid w:val="0048594C"/>
    <w:rsid w:val="004A201A"/>
    <w:rsid w:val="004A5066"/>
    <w:rsid w:val="004A601A"/>
    <w:rsid w:val="004A612E"/>
    <w:rsid w:val="004B27BF"/>
    <w:rsid w:val="004B3B44"/>
    <w:rsid w:val="004B5A36"/>
    <w:rsid w:val="004B71DD"/>
    <w:rsid w:val="004B7CDD"/>
    <w:rsid w:val="004C067E"/>
    <w:rsid w:val="004C3296"/>
    <w:rsid w:val="004C4D9F"/>
    <w:rsid w:val="004C741D"/>
    <w:rsid w:val="004D1726"/>
    <w:rsid w:val="004E2FB6"/>
    <w:rsid w:val="004E3986"/>
    <w:rsid w:val="004E3B1A"/>
    <w:rsid w:val="004E4636"/>
    <w:rsid w:val="004E7461"/>
    <w:rsid w:val="00500CF1"/>
    <w:rsid w:val="00503D06"/>
    <w:rsid w:val="00513A71"/>
    <w:rsid w:val="005211CF"/>
    <w:rsid w:val="00523D1E"/>
    <w:rsid w:val="00525021"/>
    <w:rsid w:val="00526D80"/>
    <w:rsid w:val="0053598D"/>
    <w:rsid w:val="00540D74"/>
    <w:rsid w:val="00540FE1"/>
    <w:rsid w:val="00542C19"/>
    <w:rsid w:val="00544F58"/>
    <w:rsid w:val="0054569D"/>
    <w:rsid w:val="0055175F"/>
    <w:rsid w:val="00563212"/>
    <w:rsid w:val="005643B4"/>
    <w:rsid w:val="0058367B"/>
    <w:rsid w:val="00585C72"/>
    <w:rsid w:val="005866D6"/>
    <w:rsid w:val="005A40B2"/>
    <w:rsid w:val="005A4472"/>
    <w:rsid w:val="005A5E3C"/>
    <w:rsid w:val="005A7D79"/>
    <w:rsid w:val="005B4D17"/>
    <w:rsid w:val="005B675A"/>
    <w:rsid w:val="005C12BE"/>
    <w:rsid w:val="005C1E97"/>
    <w:rsid w:val="005C7A23"/>
    <w:rsid w:val="005D149E"/>
    <w:rsid w:val="005D6A74"/>
    <w:rsid w:val="005E1D59"/>
    <w:rsid w:val="005E38D5"/>
    <w:rsid w:val="005E3C9D"/>
    <w:rsid w:val="005E691F"/>
    <w:rsid w:val="005F5C5B"/>
    <w:rsid w:val="005F6095"/>
    <w:rsid w:val="005F684E"/>
    <w:rsid w:val="00603345"/>
    <w:rsid w:val="00605A70"/>
    <w:rsid w:val="00612322"/>
    <w:rsid w:val="00613FA9"/>
    <w:rsid w:val="006164FE"/>
    <w:rsid w:val="00622810"/>
    <w:rsid w:val="00631679"/>
    <w:rsid w:val="00632EE7"/>
    <w:rsid w:val="00632F7B"/>
    <w:rsid w:val="00636717"/>
    <w:rsid w:val="00641CD6"/>
    <w:rsid w:val="0064339D"/>
    <w:rsid w:val="00647F44"/>
    <w:rsid w:val="0065272B"/>
    <w:rsid w:val="0066136D"/>
    <w:rsid w:val="0066499A"/>
    <w:rsid w:val="0067079A"/>
    <w:rsid w:val="00675881"/>
    <w:rsid w:val="006772BD"/>
    <w:rsid w:val="006774D3"/>
    <w:rsid w:val="00684EAD"/>
    <w:rsid w:val="006872DB"/>
    <w:rsid w:val="00695E14"/>
    <w:rsid w:val="00697586"/>
    <w:rsid w:val="006A1244"/>
    <w:rsid w:val="006A31D8"/>
    <w:rsid w:val="006A334B"/>
    <w:rsid w:val="006A731D"/>
    <w:rsid w:val="006A7AA2"/>
    <w:rsid w:val="006B0C4C"/>
    <w:rsid w:val="006B48F2"/>
    <w:rsid w:val="006C0D0D"/>
    <w:rsid w:val="006C17FA"/>
    <w:rsid w:val="006D07AB"/>
    <w:rsid w:val="006D13F4"/>
    <w:rsid w:val="006D4777"/>
    <w:rsid w:val="006D51E2"/>
    <w:rsid w:val="006E49C0"/>
    <w:rsid w:val="006E521C"/>
    <w:rsid w:val="006E6DC7"/>
    <w:rsid w:val="006F1034"/>
    <w:rsid w:val="006F2DFF"/>
    <w:rsid w:val="006F2E05"/>
    <w:rsid w:val="007039E8"/>
    <w:rsid w:val="00705127"/>
    <w:rsid w:val="00707F60"/>
    <w:rsid w:val="00712825"/>
    <w:rsid w:val="00712A09"/>
    <w:rsid w:val="00716FAF"/>
    <w:rsid w:val="00720776"/>
    <w:rsid w:val="00721E1B"/>
    <w:rsid w:val="00722066"/>
    <w:rsid w:val="00723E97"/>
    <w:rsid w:val="00727194"/>
    <w:rsid w:val="0072736E"/>
    <w:rsid w:val="00734F3A"/>
    <w:rsid w:val="00737D38"/>
    <w:rsid w:val="00740F56"/>
    <w:rsid w:val="007440D9"/>
    <w:rsid w:val="00746DB0"/>
    <w:rsid w:val="00751C0F"/>
    <w:rsid w:val="0075749C"/>
    <w:rsid w:val="00757C45"/>
    <w:rsid w:val="00760F2B"/>
    <w:rsid w:val="00761A1B"/>
    <w:rsid w:val="0076439E"/>
    <w:rsid w:val="00764880"/>
    <w:rsid w:val="00772973"/>
    <w:rsid w:val="00775175"/>
    <w:rsid w:val="00775AE4"/>
    <w:rsid w:val="007774CB"/>
    <w:rsid w:val="007824CF"/>
    <w:rsid w:val="0078408F"/>
    <w:rsid w:val="00784320"/>
    <w:rsid w:val="00786029"/>
    <w:rsid w:val="007861B4"/>
    <w:rsid w:val="00786C5F"/>
    <w:rsid w:val="007954A3"/>
    <w:rsid w:val="007A2353"/>
    <w:rsid w:val="007A3D17"/>
    <w:rsid w:val="007A3FB0"/>
    <w:rsid w:val="007A6EC7"/>
    <w:rsid w:val="007A79A0"/>
    <w:rsid w:val="007B076B"/>
    <w:rsid w:val="007B0B6C"/>
    <w:rsid w:val="007B31EA"/>
    <w:rsid w:val="007B4D8A"/>
    <w:rsid w:val="007B6966"/>
    <w:rsid w:val="007B6AA3"/>
    <w:rsid w:val="007C2327"/>
    <w:rsid w:val="007C50E7"/>
    <w:rsid w:val="007C7AFF"/>
    <w:rsid w:val="007D0811"/>
    <w:rsid w:val="007D65C0"/>
    <w:rsid w:val="007D705F"/>
    <w:rsid w:val="007D73FE"/>
    <w:rsid w:val="007D7AFE"/>
    <w:rsid w:val="007E2774"/>
    <w:rsid w:val="007E4035"/>
    <w:rsid w:val="007E41BA"/>
    <w:rsid w:val="007E50D0"/>
    <w:rsid w:val="007E6F69"/>
    <w:rsid w:val="007E73CE"/>
    <w:rsid w:val="007F02C2"/>
    <w:rsid w:val="007F15C6"/>
    <w:rsid w:val="007F4F28"/>
    <w:rsid w:val="00800B06"/>
    <w:rsid w:val="0080517A"/>
    <w:rsid w:val="008078EA"/>
    <w:rsid w:val="008134C4"/>
    <w:rsid w:val="00817482"/>
    <w:rsid w:val="00822DA4"/>
    <w:rsid w:val="00823937"/>
    <w:rsid w:val="00830BF4"/>
    <w:rsid w:val="00830F4F"/>
    <w:rsid w:val="00832947"/>
    <w:rsid w:val="0084535E"/>
    <w:rsid w:val="00845E99"/>
    <w:rsid w:val="00846C5B"/>
    <w:rsid w:val="008475BC"/>
    <w:rsid w:val="00850047"/>
    <w:rsid w:val="008511B9"/>
    <w:rsid w:val="00851EA0"/>
    <w:rsid w:val="00855226"/>
    <w:rsid w:val="0085614C"/>
    <w:rsid w:val="008562D2"/>
    <w:rsid w:val="00863591"/>
    <w:rsid w:val="008648D2"/>
    <w:rsid w:val="0086589C"/>
    <w:rsid w:val="00867892"/>
    <w:rsid w:val="00867D21"/>
    <w:rsid w:val="0087133B"/>
    <w:rsid w:val="008745F7"/>
    <w:rsid w:val="00874AB6"/>
    <w:rsid w:val="00877820"/>
    <w:rsid w:val="008814DD"/>
    <w:rsid w:val="0088420B"/>
    <w:rsid w:val="00886D9A"/>
    <w:rsid w:val="008A1C51"/>
    <w:rsid w:val="008A63B8"/>
    <w:rsid w:val="008A7E9F"/>
    <w:rsid w:val="008B092E"/>
    <w:rsid w:val="008B30DF"/>
    <w:rsid w:val="008B572D"/>
    <w:rsid w:val="008C1777"/>
    <w:rsid w:val="008C3DB3"/>
    <w:rsid w:val="008C643B"/>
    <w:rsid w:val="008C75F2"/>
    <w:rsid w:val="008C7B0E"/>
    <w:rsid w:val="008D1287"/>
    <w:rsid w:val="008D2465"/>
    <w:rsid w:val="008D24B8"/>
    <w:rsid w:val="008D2E26"/>
    <w:rsid w:val="008D3D91"/>
    <w:rsid w:val="008E5D5F"/>
    <w:rsid w:val="008F43C9"/>
    <w:rsid w:val="008F5E6A"/>
    <w:rsid w:val="008F7E8E"/>
    <w:rsid w:val="00903936"/>
    <w:rsid w:val="00904CA6"/>
    <w:rsid w:val="009052E7"/>
    <w:rsid w:val="009067AE"/>
    <w:rsid w:val="009127CD"/>
    <w:rsid w:val="009218EF"/>
    <w:rsid w:val="00923523"/>
    <w:rsid w:val="00934F63"/>
    <w:rsid w:val="00935274"/>
    <w:rsid w:val="00940E80"/>
    <w:rsid w:val="00950D9F"/>
    <w:rsid w:val="00952706"/>
    <w:rsid w:val="00953285"/>
    <w:rsid w:val="00954E1C"/>
    <w:rsid w:val="00955B63"/>
    <w:rsid w:val="009562AB"/>
    <w:rsid w:val="00957263"/>
    <w:rsid w:val="0096167A"/>
    <w:rsid w:val="0096662A"/>
    <w:rsid w:val="009700AA"/>
    <w:rsid w:val="009703F7"/>
    <w:rsid w:val="009716A1"/>
    <w:rsid w:val="0097404A"/>
    <w:rsid w:val="00974636"/>
    <w:rsid w:val="00980561"/>
    <w:rsid w:val="00980E64"/>
    <w:rsid w:val="009819A6"/>
    <w:rsid w:val="00984C26"/>
    <w:rsid w:val="00986F63"/>
    <w:rsid w:val="009A54D4"/>
    <w:rsid w:val="009A7731"/>
    <w:rsid w:val="009A7BC0"/>
    <w:rsid w:val="009B4751"/>
    <w:rsid w:val="009B4E51"/>
    <w:rsid w:val="009B7AEB"/>
    <w:rsid w:val="009C23AD"/>
    <w:rsid w:val="009C3AFC"/>
    <w:rsid w:val="009C41C4"/>
    <w:rsid w:val="009C645E"/>
    <w:rsid w:val="009D3E9D"/>
    <w:rsid w:val="009D3EE0"/>
    <w:rsid w:val="009D69D8"/>
    <w:rsid w:val="009E1BD8"/>
    <w:rsid w:val="009E2025"/>
    <w:rsid w:val="009E5FB4"/>
    <w:rsid w:val="009E66D5"/>
    <w:rsid w:val="009F3E8B"/>
    <w:rsid w:val="009F616B"/>
    <w:rsid w:val="009F7602"/>
    <w:rsid w:val="00A03EA6"/>
    <w:rsid w:val="00A04061"/>
    <w:rsid w:val="00A24F72"/>
    <w:rsid w:val="00A2627D"/>
    <w:rsid w:val="00A262F8"/>
    <w:rsid w:val="00A26A7B"/>
    <w:rsid w:val="00A30E08"/>
    <w:rsid w:val="00A3110B"/>
    <w:rsid w:val="00A338C5"/>
    <w:rsid w:val="00A338EA"/>
    <w:rsid w:val="00A36B66"/>
    <w:rsid w:val="00A41036"/>
    <w:rsid w:val="00A422F5"/>
    <w:rsid w:val="00A423B2"/>
    <w:rsid w:val="00A504FB"/>
    <w:rsid w:val="00A5119A"/>
    <w:rsid w:val="00A5314C"/>
    <w:rsid w:val="00A550F6"/>
    <w:rsid w:val="00A57735"/>
    <w:rsid w:val="00A64456"/>
    <w:rsid w:val="00A649B3"/>
    <w:rsid w:val="00A65D9C"/>
    <w:rsid w:val="00A66884"/>
    <w:rsid w:val="00A70DA0"/>
    <w:rsid w:val="00A72DF1"/>
    <w:rsid w:val="00A7521F"/>
    <w:rsid w:val="00A75662"/>
    <w:rsid w:val="00A8238B"/>
    <w:rsid w:val="00A823B2"/>
    <w:rsid w:val="00A83568"/>
    <w:rsid w:val="00A83F2A"/>
    <w:rsid w:val="00A86FA8"/>
    <w:rsid w:val="00A87487"/>
    <w:rsid w:val="00A905C3"/>
    <w:rsid w:val="00A92BCC"/>
    <w:rsid w:val="00A97542"/>
    <w:rsid w:val="00AA1AA9"/>
    <w:rsid w:val="00AB0618"/>
    <w:rsid w:val="00AB2DE1"/>
    <w:rsid w:val="00AB2ECB"/>
    <w:rsid w:val="00AB3FE5"/>
    <w:rsid w:val="00AB62AE"/>
    <w:rsid w:val="00AB707E"/>
    <w:rsid w:val="00AB7531"/>
    <w:rsid w:val="00AC6F97"/>
    <w:rsid w:val="00AC7011"/>
    <w:rsid w:val="00AC7A05"/>
    <w:rsid w:val="00AD2B4D"/>
    <w:rsid w:val="00AD4840"/>
    <w:rsid w:val="00AD67AB"/>
    <w:rsid w:val="00AE04AE"/>
    <w:rsid w:val="00AE1100"/>
    <w:rsid w:val="00AE184B"/>
    <w:rsid w:val="00AE6E8A"/>
    <w:rsid w:val="00AE74BF"/>
    <w:rsid w:val="00AF0622"/>
    <w:rsid w:val="00AF0E14"/>
    <w:rsid w:val="00AF0E45"/>
    <w:rsid w:val="00AF64B5"/>
    <w:rsid w:val="00B0199C"/>
    <w:rsid w:val="00B01C1D"/>
    <w:rsid w:val="00B03E77"/>
    <w:rsid w:val="00B120A1"/>
    <w:rsid w:val="00B1340B"/>
    <w:rsid w:val="00B15C96"/>
    <w:rsid w:val="00B322DD"/>
    <w:rsid w:val="00B3533A"/>
    <w:rsid w:val="00B4078C"/>
    <w:rsid w:val="00B423A2"/>
    <w:rsid w:val="00B46799"/>
    <w:rsid w:val="00B56234"/>
    <w:rsid w:val="00B6277B"/>
    <w:rsid w:val="00B67CB7"/>
    <w:rsid w:val="00B705B3"/>
    <w:rsid w:val="00B70730"/>
    <w:rsid w:val="00B70E68"/>
    <w:rsid w:val="00B713CE"/>
    <w:rsid w:val="00B76B12"/>
    <w:rsid w:val="00B80ADF"/>
    <w:rsid w:val="00B862E1"/>
    <w:rsid w:val="00B931DB"/>
    <w:rsid w:val="00B9566B"/>
    <w:rsid w:val="00BA313F"/>
    <w:rsid w:val="00BB58AC"/>
    <w:rsid w:val="00BC2F7F"/>
    <w:rsid w:val="00BC37B2"/>
    <w:rsid w:val="00BC49E8"/>
    <w:rsid w:val="00BC69E5"/>
    <w:rsid w:val="00BD55AC"/>
    <w:rsid w:val="00BE10D4"/>
    <w:rsid w:val="00BE38A6"/>
    <w:rsid w:val="00BE539E"/>
    <w:rsid w:val="00BE5B91"/>
    <w:rsid w:val="00BE7007"/>
    <w:rsid w:val="00C0165D"/>
    <w:rsid w:val="00C0325E"/>
    <w:rsid w:val="00C04725"/>
    <w:rsid w:val="00C048C0"/>
    <w:rsid w:val="00C0601C"/>
    <w:rsid w:val="00C06A69"/>
    <w:rsid w:val="00C108DA"/>
    <w:rsid w:val="00C16DA9"/>
    <w:rsid w:val="00C22B6A"/>
    <w:rsid w:val="00C2397E"/>
    <w:rsid w:val="00C258C0"/>
    <w:rsid w:val="00C25E06"/>
    <w:rsid w:val="00C3557F"/>
    <w:rsid w:val="00C450C5"/>
    <w:rsid w:val="00C45C21"/>
    <w:rsid w:val="00C4702C"/>
    <w:rsid w:val="00C550BE"/>
    <w:rsid w:val="00C56D49"/>
    <w:rsid w:val="00C57F97"/>
    <w:rsid w:val="00C60818"/>
    <w:rsid w:val="00C60C05"/>
    <w:rsid w:val="00C63C90"/>
    <w:rsid w:val="00C6643B"/>
    <w:rsid w:val="00C72711"/>
    <w:rsid w:val="00C72964"/>
    <w:rsid w:val="00C758B1"/>
    <w:rsid w:val="00C770B2"/>
    <w:rsid w:val="00C8064A"/>
    <w:rsid w:val="00C820F5"/>
    <w:rsid w:val="00C82738"/>
    <w:rsid w:val="00C85192"/>
    <w:rsid w:val="00C86AD6"/>
    <w:rsid w:val="00C92B94"/>
    <w:rsid w:val="00CA06C1"/>
    <w:rsid w:val="00CA136E"/>
    <w:rsid w:val="00CA1C31"/>
    <w:rsid w:val="00CA24E4"/>
    <w:rsid w:val="00CA4AC2"/>
    <w:rsid w:val="00CA4D9E"/>
    <w:rsid w:val="00CA58F6"/>
    <w:rsid w:val="00CA607D"/>
    <w:rsid w:val="00CB0885"/>
    <w:rsid w:val="00CB1ABF"/>
    <w:rsid w:val="00CB42BC"/>
    <w:rsid w:val="00CC093B"/>
    <w:rsid w:val="00CC15C4"/>
    <w:rsid w:val="00CC3B6E"/>
    <w:rsid w:val="00CD265B"/>
    <w:rsid w:val="00CD3B85"/>
    <w:rsid w:val="00CD65D3"/>
    <w:rsid w:val="00CE2976"/>
    <w:rsid w:val="00CE2CB8"/>
    <w:rsid w:val="00CE6FD9"/>
    <w:rsid w:val="00CF06AD"/>
    <w:rsid w:val="00D01F4F"/>
    <w:rsid w:val="00D03420"/>
    <w:rsid w:val="00D07A1A"/>
    <w:rsid w:val="00D11871"/>
    <w:rsid w:val="00D20C3C"/>
    <w:rsid w:val="00D21370"/>
    <w:rsid w:val="00D22287"/>
    <w:rsid w:val="00D23BEA"/>
    <w:rsid w:val="00D24F4D"/>
    <w:rsid w:val="00D24F88"/>
    <w:rsid w:val="00D2696B"/>
    <w:rsid w:val="00D313A1"/>
    <w:rsid w:val="00D34101"/>
    <w:rsid w:val="00D402B7"/>
    <w:rsid w:val="00D40559"/>
    <w:rsid w:val="00D41054"/>
    <w:rsid w:val="00D41ACB"/>
    <w:rsid w:val="00D50381"/>
    <w:rsid w:val="00D532C1"/>
    <w:rsid w:val="00D53DF9"/>
    <w:rsid w:val="00D55903"/>
    <w:rsid w:val="00D61B2B"/>
    <w:rsid w:val="00D63BD8"/>
    <w:rsid w:val="00D64573"/>
    <w:rsid w:val="00D64E5C"/>
    <w:rsid w:val="00D77876"/>
    <w:rsid w:val="00D83847"/>
    <w:rsid w:val="00D83F56"/>
    <w:rsid w:val="00D87E29"/>
    <w:rsid w:val="00D90486"/>
    <w:rsid w:val="00D943F8"/>
    <w:rsid w:val="00D967B1"/>
    <w:rsid w:val="00DA2CD6"/>
    <w:rsid w:val="00DA6DC9"/>
    <w:rsid w:val="00DB6030"/>
    <w:rsid w:val="00DB666C"/>
    <w:rsid w:val="00DC1A81"/>
    <w:rsid w:val="00DC5532"/>
    <w:rsid w:val="00DC5657"/>
    <w:rsid w:val="00DC6D13"/>
    <w:rsid w:val="00DC7EFB"/>
    <w:rsid w:val="00DD76E9"/>
    <w:rsid w:val="00DE07EC"/>
    <w:rsid w:val="00DE6AD0"/>
    <w:rsid w:val="00DF5411"/>
    <w:rsid w:val="00DF6B3C"/>
    <w:rsid w:val="00DF6F48"/>
    <w:rsid w:val="00E00B00"/>
    <w:rsid w:val="00E01F43"/>
    <w:rsid w:val="00E07A94"/>
    <w:rsid w:val="00E07AFE"/>
    <w:rsid w:val="00E07EC7"/>
    <w:rsid w:val="00E11AFB"/>
    <w:rsid w:val="00E1655F"/>
    <w:rsid w:val="00E170BA"/>
    <w:rsid w:val="00E2201B"/>
    <w:rsid w:val="00E221B8"/>
    <w:rsid w:val="00E22384"/>
    <w:rsid w:val="00E23882"/>
    <w:rsid w:val="00E360DD"/>
    <w:rsid w:val="00E419D5"/>
    <w:rsid w:val="00E41F3F"/>
    <w:rsid w:val="00E41F97"/>
    <w:rsid w:val="00E43FAE"/>
    <w:rsid w:val="00E45FEA"/>
    <w:rsid w:val="00E5289E"/>
    <w:rsid w:val="00E52FA4"/>
    <w:rsid w:val="00E555AF"/>
    <w:rsid w:val="00E55BA7"/>
    <w:rsid w:val="00E64B08"/>
    <w:rsid w:val="00E662FA"/>
    <w:rsid w:val="00E66DCF"/>
    <w:rsid w:val="00E67686"/>
    <w:rsid w:val="00E67C91"/>
    <w:rsid w:val="00E73CBF"/>
    <w:rsid w:val="00E74692"/>
    <w:rsid w:val="00E76C80"/>
    <w:rsid w:val="00E77D5E"/>
    <w:rsid w:val="00E820A7"/>
    <w:rsid w:val="00E84FA9"/>
    <w:rsid w:val="00E877C6"/>
    <w:rsid w:val="00E90AB1"/>
    <w:rsid w:val="00E954B3"/>
    <w:rsid w:val="00EA2891"/>
    <w:rsid w:val="00EA352A"/>
    <w:rsid w:val="00EA6945"/>
    <w:rsid w:val="00EA6E08"/>
    <w:rsid w:val="00EA70F8"/>
    <w:rsid w:val="00EB1A7A"/>
    <w:rsid w:val="00EB6190"/>
    <w:rsid w:val="00EC06B3"/>
    <w:rsid w:val="00EC0CC6"/>
    <w:rsid w:val="00EC1B1E"/>
    <w:rsid w:val="00EC45E5"/>
    <w:rsid w:val="00EC6FCF"/>
    <w:rsid w:val="00EC7E19"/>
    <w:rsid w:val="00ED6977"/>
    <w:rsid w:val="00ED7EB3"/>
    <w:rsid w:val="00EE00A8"/>
    <w:rsid w:val="00EE2CBA"/>
    <w:rsid w:val="00EE63D1"/>
    <w:rsid w:val="00EF3BE3"/>
    <w:rsid w:val="00EF579F"/>
    <w:rsid w:val="00EF7789"/>
    <w:rsid w:val="00F007F9"/>
    <w:rsid w:val="00F01342"/>
    <w:rsid w:val="00F03ACC"/>
    <w:rsid w:val="00F04087"/>
    <w:rsid w:val="00F0426C"/>
    <w:rsid w:val="00F106B7"/>
    <w:rsid w:val="00F117F1"/>
    <w:rsid w:val="00F21F07"/>
    <w:rsid w:val="00F22DA7"/>
    <w:rsid w:val="00F23679"/>
    <w:rsid w:val="00F24D21"/>
    <w:rsid w:val="00F30402"/>
    <w:rsid w:val="00F33EFA"/>
    <w:rsid w:val="00F340C9"/>
    <w:rsid w:val="00F44938"/>
    <w:rsid w:val="00F4563C"/>
    <w:rsid w:val="00F46BAE"/>
    <w:rsid w:val="00F46E2C"/>
    <w:rsid w:val="00F47BBA"/>
    <w:rsid w:val="00F50B4C"/>
    <w:rsid w:val="00F50C91"/>
    <w:rsid w:val="00F5108C"/>
    <w:rsid w:val="00F56881"/>
    <w:rsid w:val="00F63DB7"/>
    <w:rsid w:val="00F642C4"/>
    <w:rsid w:val="00F67CDF"/>
    <w:rsid w:val="00F75335"/>
    <w:rsid w:val="00F75349"/>
    <w:rsid w:val="00F80868"/>
    <w:rsid w:val="00F80911"/>
    <w:rsid w:val="00F80AA4"/>
    <w:rsid w:val="00F823D0"/>
    <w:rsid w:val="00F85CE8"/>
    <w:rsid w:val="00F90551"/>
    <w:rsid w:val="00F93B42"/>
    <w:rsid w:val="00F96F2F"/>
    <w:rsid w:val="00F972F0"/>
    <w:rsid w:val="00FA30FD"/>
    <w:rsid w:val="00FA4364"/>
    <w:rsid w:val="00FA4DF5"/>
    <w:rsid w:val="00FB38B2"/>
    <w:rsid w:val="00FC2194"/>
    <w:rsid w:val="00FC2E3F"/>
    <w:rsid w:val="00FD2BD4"/>
    <w:rsid w:val="00FD2E27"/>
    <w:rsid w:val="00FD55AF"/>
    <w:rsid w:val="00FD74D4"/>
    <w:rsid w:val="00FE1838"/>
    <w:rsid w:val="00FE37D7"/>
    <w:rsid w:val="00FF1CFB"/>
    <w:rsid w:val="00FF2B64"/>
    <w:rsid w:val="00FF64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38FE7-470A-4707-AC22-15467285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16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1679"/>
  </w:style>
  <w:style w:type="paragraph" w:styleId="Footer">
    <w:name w:val="footer"/>
    <w:basedOn w:val="Normal"/>
    <w:link w:val="FooterChar"/>
    <w:uiPriority w:val="99"/>
    <w:unhideWhenUsed/>
    <w:rsid w:val="00631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1679"/>
  </w:style>
  <w:style w:type="paragraph" w:styleId="NoSpacing">
    <w:name w:val="No Spacing"/>
    <w:link w:val="NoSpacingChar"/>
    <w:uiPriority w:val="1"/>
    <w:qFormat/>
    <w:rsid w:val="0063167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31679"/>
    <w:rPr>
      <w:rFonts w:eastAsiaTheme="minorEastAsia"/>
      <w:lang w:val="en-US"/>
    </w:rPr>
  </w:style>
  <w:style w:type="paragraph" w:styleId="ListParagraph">
    <w:name w:val="List Paragraph"/>
    <w:aliases w:val="List Paragraph1,List1,Списък на абзаци,Normal bullet 2,body 2,List Paragraph11,Akapit z listą BS,Outlines a.b.c.,List_Paragraph,Multilevel para_II,Akapit z lista BS,Akapit z list¹ BS,List Paragraph111,Forth level"/>
    <w:basedOn w:val="Normal"/>
    <w:link w:val="ListParagraphChar"/>
    <w:uiPriority w:val="34"/>
    <w:qFormat/>
    <w:rsid w:val="00065824"/>
    <w:pPr>
      <w:spacing w:after="200" w:line="276"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1 Char,List1 Char,Списък на абзаци Char,Normal bullet 2 Char,body 2 Char,List Paragraph11 Char,Akapit z listą BS Char,Outlines a.b.c. Char,List_Paragraph Char,Multilevel para_II Char,Akapit z lista BS Char"/>
    <w:link w:val="ListParagraph"/>
    <w:uiPriority w:val="34"/>
    <w:locked/>
    <w:rsid w:val="00065824"/>
    <w:rPr>
      <w:rFonts w:ascii="Times New Roman" w:eastAsia="Calibri" w:hAnsi="Times New Roman" w:cs="Times New Roman"/>
      <w:sz w:val="20"/>
      <w:szCs w:val="20"/>
    </w:rPr>
  </w:style>
  <w:style w:type="paragraph" w:styleId="CommentText">
    <w:name w:val="annotation text"/>
    <w:basedOn w:val="Normal"/>
    <w:link w:val="CommentTextChar"/>
    <w:uiPriority w:val="99"/>
    <w:rsid w:val="007B6966"/>
    <w:pPr>
      <w:spacing w:after="20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B6966"/>
    <w:rPr>
      <w:rFonts w:ascii="Times New Roman" w:eastAsia="Calibri" w:hAnsi="Times New Roman" w:cs="Times New Roman"/>
      <w:sz w:val="20"/>
      <w:szCs w:val="20"/>
    </w:rPr>
  </w:style>
  <w:style w:type="character" w:customStyle="1" w:styleId="cf01">
    <w:name w:val="cf01"/>
    <w:basedOn w:val="DefaultParagraphFont"/>
    <w:rsid w:val="001F1135"/>
    <w:rPr>
      <w:rFonts w:ascii="Segoe UI" w:hAnsi="Segoe UI" w:cs="Segoe UI" w:hint="default"/>
    </w:rPr>
  </w:style>
  <w:style w:type="character" w:styleId="CommentReference">
    <w:name w:val="annotation reference"/>
    <w:basedOn w:val="DefaultParagraphFont"/>
    <w:uiPriority w:val="99"/>
    <w:rsid w:val="00EF7789"/>
    <w:rPr>
      <w:rFonts w:cs="Times New Roman"/>
      <w:sz w:val="16"/>
      <w:szCs w:val="16"/>
    </w:rPr>
  </w:style>
  <w:style w:type="paragraph" w:styleId="BalloonText">
    <w:name w:val="Balloon Text"/>
    <w:basedOn w:val="Normal"/>
    <w:link w:val="BalloonTextChar"/>
    <w:uiPriority w:val="99"/>
    <w:semiHidden/>
    <w:unhideWhenUsed/>
    <w:rsid w:val="00EF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789"/>
    <w:rPr>
      <w:rFonts w:ascii="Segoe UI" w:hAnsi="Segoe UI" w:cs="Segoe UI"/>
      <w:sz w:val="18"/>
      <w:szCs w:val="18"/>
    </w:rPr>
  </w:style>
  <w:style w:type="character" w:customStyle="1" w:styleId="ln2articol1">
    <w:name w:val="ln2articol1"/>
    <w:rsid w:val="008A63B8"/>
    <w:rPr>
      <w:b/>
      <w:color w:val="0000AF"/>
    </w:rPr>
  </w:style>
  <w:style w:type="paragraph" w:styleId="NormalWeb">
    <w:name w:val="Normal (Web)"/>
    <w:basedOn w:val="Normal"/>
    <w:uiPriority w:val="99"/>
    <w:semiHidden/>
    <w:unhideWhenUsed/>
    <w:rsid w:val="00C820F5"/>
    <w:pPr>
      <w:spacing w:before="100" w:beforeAutospacing="1" w:after="100" w:afterAutospacing="1" w:line="240" w:lineRule="auto"/>
    </w:pPr>
    <w:rPr>
      <w:rFonts w:ascii="Times New Roman" w:eastAsiaTheme="minorEastAsia" w:hAnsi="Times New Roman" w:cs="Times New Roman"/>
      <w:sz w:val="24"/>
      <w:szCs w:val="24"/>
      <w:lang w:eastAsia="ro-RO"/>
    </w:rPr>
  </w:style>
  <w:style w:type="paragraph" w:styleId="FootnoteText">
    <w:name w:val="footnote text"/>
    <w:basedOn w:val="Normal"/>
    <w:link w:val="FootnoteTextChar"/>
    <w:uiPriority w:val="99"/>
    <w:semiHidden/>
    <w:unhideWhenUsed/>
    <w:rsid w:val="00B862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62E1"/>
    <w:rPr>
      <w:sz w:val="20"/>
      <w:szCs w:val="20"/>
    </w:rPr>
  </w:style>
  <w:style w:type="character" w:styleId="FootnoteReference">
    <w:name w:val="footnote reference"/>
    <w:basedOn w:val="DefaultParagraphFont"/>
    <w:uiPriority w:val="99"/>
    <w:semiHidden/>
    <w:unhideWhenUsed/>
    <w:rsid w:val="00B862E1"/>
    <w:rPr>
      <w:vertAlign w:val="superscript"/>
    </w:rPr>
  </w:style>
  <w:style w:type="paragraph" w:customStyle="1" w:styleId="Default">
    <w:name w:val="Default"/>
    <w:rsid w:val="00E676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15">
      <w:bodyDiv w:val="1"/>
      <w:marLeft w:val="0"/>
      <w:marRight w:val="0"/>
      <w:marTop w:val="0"/>
      <w:marBottom w:val="0"/>
      <w:divBdr>
        <w:top w:val="none" w:sz="0" w:space="0" w:color="auto"/>
        <w:left w:val="none" w:sz="0" w:space="0" w:color="auto"/>
        <w:bottom w:val="none" w:sz="0" w:space="0" w:color="auto"/>
        <w:right w:val="none" w:sz="0" w:space="0" w:color="auto"/>
      </w:divBdr>
    </w:div>
    <w:div w:id="12534126">
      <w:bodyDiv w:val="1"/>
      <w:marLeft w:val="0"/>
      <w:marRight w:val="0"/>
      <w:marTop w:val="0"/>
      <w:marBottom w:val="0"/>
      <w:divBdr>
        <w:top w:val="none" w:sz="0" w:space="0" w:color="auto"/>
        <w:left w:val="none" w:sz="0" w:space="0" w:color="auto"/>
        <w:bottom w:val="none" w:sz="0" w:space="0" w:color="auto"/>
        <w:right w:val="none" w:sz="0" w:space="0" w:color="auto"/>
      </w:divBdr>
    </w:div>
    <w:div w:id="17971540">
      <w:bodyDiv w:val="1"/>
      <w:marLeft w:val="0"/>
      <w:marRight w:val="0"/>
      <w:marTop w:val="0"/>
      <w:marBottom w:val="0"/>
      <w:divBdr>
        <w:top w:val="none" w:sz="0" w:space="0" w:color="auto"/>
        <w:left w:val="none" w:sz="0" w:space="0" w:color="auto"/>
        <w:bottom w:val="none" w:sz="0" w:space="0" w:color="auto"/>
        <w:right w:val="none" w:sz="0" w:space="0" w:color="auto"/>
      </w:divBdr>
    </w:div>
    <w:div w:id="55973582">
      <w:bodyDiv w:val="1"/>
      <w:marLeft w:val="0"/>
      <w:marRight w:val="0"/>
      <w:marTop w:val="0"/>
      <w:marBottom w:val="0"/>
      <w:divBdr>
        <w:top w:val="none" w:sz="0" w:space="0" w:color="auto"/>
        <w:left w:val="none" w:sz="0" w:space="0" w:color="auto"/>
        <w:bottom w:val="none" w:sz="0" w:space="0" w:color="auto"/>
        <w:right w:val="none" w:sz="0" w:space="0" w:color="auto"/>
      </w:divBdr>
    </w:div>
    <w:div w:id="122575567">
      <w:bodyDiv w:val="1"/>
      <w:marLeft w:val="0"/>
      <w:marRight w:val="0"/>
      <w:marTop w:val="0"/>
      <w:marBottom w:val="0"/>
      <w:divBdr>
        <w:top w:val="none" w:sz="0" w:space="0" w:color="auto"/>
        <w:left w:val="none" w:sz="0" w:space="0" w:color="auto"/>
        <w:bottom w:val="none" w:sz="0" w:space="0" w:color="auto"/>
        <w:right w:val="none" w:sz="0" w:space="0" w:color="auto"/>
      </w:divBdr>
    </w:div>
    <w:div w:id="161430675">
      <w:bodyDiv w:val="1"/>
      <w:marLeft w:val="0"/>
      <w:marRight w:val="0"/>
      <w:marTop w:val="0"/>
      <w:marBottom w:val="0"/>
      <w:divBdr>
        <w:top w:val="none" w:sz="0" w:space="0" w:color="auto"/>
        <w:left w:val="none" w:sz="0" w:space="0" w:color="auto"/>
        <w:bottom w:val="none" w:sz="0" w:space="0" w:color="auto"/>
        <w:right w:val="none" w:sz="0" w:space="0" w:color="auto"/>
      </w:divBdr>
    </w:div>
    <w:div w:id="185025975">
      <w:bodyDiv w:val="1"/>
      <w:marLeft w:val="0"/>
      <w:marRight w:val="0"/>
      <w:marTop w:val="0"/>
      <w:marBottom w:val="0"/>
      <w:divBdr>
        <w:top w:val="none" w:sz="0" w:space="0" w:color="auto"/>
        <w:left w:val="none" w:sz="0" w:space="0" w:color="auto"/>
        <w:bottom w:val="none" w:sz="0" w:space="0" w:color="auto"/>
        <w:right w:val="none" w:sz="0" w:space="0" w:color="auto"/>
      </w:divBdr>
    </w:div>
    <w:div w:id="208036413">
      <w:bodyDiv w:val="1"/>
      <w:marLeft w:val="0"/>
      <w:marRight w:val="0"/>
      <w:marTop w:val="0"/>
      <w:marBottom w:val="0"/>
      <w:divBdr>
        <w:top w:val="none" w:sz="0" w:space="0" w:color="auto"/>
        <w:left w:val="none" w:sz="0" w:space="0" w:color="auto"/>
        <w:bottom w:val="none" w:sz="0" w:space="0" w:color="auto"/>
        <w:right w:val="none" w:sz="0" w:space="0" w:color="auto"/>
      </w:divBdr>
    </w:div>
    <w:div w:id="209417090">
      <w:bodyDiv w:val="1"/>
      <w:marLeft w:val="0"/>
      <w:marRight w:val="0"/>
      <w:marTop w:val="0"/>
      <w:marBottom w:val="0"/>
      <w:divBdr>
        <w:top w:val="none" w:sz="0" w:space="0" w:color="auto"/>
        <w:left w:val="none" w:sz="0" w:space="0" w:color="auto"/>
        <w:bottom w:val="none" w:sz="0" w:space="0" w:color="auto"/>
        <w:right w:val="none" w:sz="0" w:space="0" w:color="auto"/>
      </w:divBdr>
    </w:div>
    <w:div w:id="244339132">
      <w:bodyDiv w:val="1"/>
      <w:marLeft w:val="0"/>
      <w:marRight w:val="0"/>
      <w:marTop w:val="0"/>
      <w:marBottom w:val="0"/>
      <w:divBdr>
        <w:top w:val="none" w:sz="0" w:space="0" w:color="auto"/>
        <w:left w:val="none" w:sz="0" w:space="0" w:color="auto"/>
        <w:bottom w:val="none" w:sz="0" w:space="0" w:color="auto"/>
        <w:right w:val="none" w:sz="0" w:space="0" w:color="auto"/>
      </w:divBdr>
    </w:div>
    <w:div w:id="292759844">
      <w:bodyDiv w:val="1"/>
      <w:marLeft w:val="0"/>
      <w:marRight w:val="0"/>
      <w:marTop w:val="0"/>
      <w:marBottom w:val="0"/>
      <w:divBdr>
        <w:top w:val="none" w:sz="0" w:space="0" w:color="auto"/>
        <w:left w:val="none" w:sz="0" w:space="0" w:color="auto"/>
        <w:bottom w:val="none" w:sz="0" w:space="0" w:color="auto"/>
        <w:right w:val="none" w:sz="0" w:space="0" w:color="auto"/>
      </w:divBdr>
    </w:div>
    <w:div w:id="319382638">
      <w:bodyDiv w:val="1"/>
      <w:marLeft w:val="0"/>
      <w:marRight w:val="0"/>
      <w:marTop w:val="0"/>
      <w:marBottom w:val="0"/>
      <w:divBdr>
        <w:top w:val="none" w:sz="0" w:space="0" w:color="auto"/>
        <w:left w:val="none" w:sz="0" w:space="0" w:color="auto"/>
        <w:bottom w:val="none" w:sz="0" w:space="0" w:color="auto"/>
        <w:right w:val="none" w:sz="0" w:space="0" w:color="auto"/>
      </w:divBdr>
    </w:div>
    <w:div w:id="444539099">
      <w:bodyDiv w:val="1"/>
      <w:marLeft w:val="0"/>
      <w:marRight w:val="0"/>
      <w:marTop w:val="0"/>
      <w:marBottom w:val="0"/>
      <w:divBdr>
        <w:top w:val="none" w:sz="0" w:space="0" w:color="auto"/>
        <w:left w:val="none" w:sz="0" w:space="0" w:color="auto"/>
        <w:bottom w:val="none" w:sz="0" w:space="0" w:color="auto"/>
        <w:right w:val="none" w:sz="0" w:space="0" w:color="auto"/>
      </w:divBdr>
    </w:div>
    <w:div w:id="587080696">
      <w:bodyDiv w:val="1"/>
      <w:marLeft w:val="0"/>
      <w:marRight w:val="0"/>
      <w:marTop w:val="0"/>
      <w:marBottom w:val="0"/>
      <w:divBdr>
        <w:top w:val="none" w:sz="0" w:space="0" w:color="auto"/>
        <w:left w:val="none" w:sz="0" w:space="0" w:color="auto"/>
        <w:bottom w:val="none" w:sz="0" w:space="0" w:color="auto"/>
        <w:right w:val="none" w:sz="0" w:space="0" w:color="auto"/>
      </w:divBdr>
    </w:div>
    <w:div w:id="604382725">
      <w:bodyDiv w:val="1"/>
      <w:marLeft w:val="0"/>
      <w:marRight w:val="0"/>
      <w:marTop w:val="0"/>
      <w:marBottom w:val="0"/>
      <w:divBdr>
        <w:top w:val="none" w:sz="0" w:space="0" w:color="auto"/>
        <w:left w:val="none" w:sz="0" w:space="0" w:color="auto"/>
        <w:bottom w:val="none" w:sz="0" w:space="0" w:color="auto"/>
        <w:right w:val="none" w:sz="0" w:space="0" w:color="auto"/>
      </w:divBdr>
    </w:div>
    <w:div w:id="623733688">
      <w:bodyDiv w:val="1"/>
      <w:marLeft w:val="0"/>
      <w:marRight w:val="0"/>
      <w:marTop w:val="0"/>
      <w:marBottom w:val="0"/>
      <w:divBdr>
        <w:top w:val="none" w:sz="0" w:space="0" w:color="auto"/>
        <w:left w:val="none" w:sz="0" w:space="0" w:color="auto"/>
        <w:bottom w:val="none" w:sz="0" w:space="0" w:color="auto"/>
        <w:right w:val="none" w:sz="0" w:space="0" w:color="auto"/>
      </w:divBdr>
    </w:div>
    <w:div w:id="675114068">
      <w:bodyDiv w:val="1"/>
      <w:marLeft w:val="0"/>
      <w:marRight w:val="0"/>
      <w:marTop w:val="0"/>
      <w:marBottom w:val="0"/>
      <w:divBdr>
        <w:top w:val="none" w:sz="0" w:space="0" w:color="auto"/>
        <w:left w:val="none" w:sz="0" w:space="0" w:color="auto"/>
        <w:bottom w:val="none" w:sz="0" w:space="0" w:color="auto"/>
        <w:right w:val="none" w:sz="0" w:space="0" w:color="auto"/>
      </w:divBdr>
    </w:div>
    <w:div w:id="696546857">
      <w:bodyDiv w:val="1"/>
      <w:marLeft w:val="0"/>
      <w:marRight w:val="0"/>
      <w:marTop w:val="0"/>
      <w:marBottom w:val="0"/>
      <w:divBdr>
        <w:top w:val="none" w:sz="0" w:space="0" w:color="auto"/>
        <w:left w:val="none" w:sz="0" w:space="0" w:color="auto"/>
        <w:bottom w:val="none" w:sz="0" w:space="0" w:color="auto"/>
        <w:right w:val="none" w:sz="0" w:space="0" w:color="auto"/>
      </w:divBdr>
    </w:div>
    <w:div w:id="716203084">
      <w:bodyDiv w:val="1"/>
      <w:marLeft w:val="0"/>
      <w:marRight w:val="0"/>
      <w:marTop w:val="0"/>
      <w:marBottom w:val="0"/>
      <w:divBdr>
        <w:top w:val="none" w:sz="0" w:space="0" w:color="auto"/>
        <w:left w:val="none" w:sz="0" w:space="0" w:color="auto"/>
        <w:bottom w:val="none" w:sz="0" w:space="0" w:color="auto"/>
        <w:right w:val="none" w:sz="0" w:space="0" w:color="auto"/>
      </w:divBdr>
    </w:div>
    <w:div w:id="733311313">
      <w:bodyDiv w:val="1"/>
      <w:marLeft w:val="0"/>
      <w:marRight w:val="0"/>
      <w:marTop w:val="0"/>
      <w:marBottom w:val="0"/>
      <w:divBdr>
        <w:top w:val="none" w:sz="0" w:space="0" w:color="auto"/>
        <w:left w:val="none" w:sz="0" w:space="0" w:color="auto"/>
        <w:bottom w:val="none" w:sz="0" w:space="0" w:color="auto"/>
        <w:right w:val="none" w:sz="0" w:space="0" w:color="auto"/>
      </w:divBdr>
    </w:div>
    <w:div w:id="759984314">
      <w:bodyDiv w:val="1"/>
      <w:marLeft w:val="0"/>
      <w:marRight w:val="0"/>
      <w:marTop w:val="0"/>
      <w:marBottom w:val="0"/>
      <w:divBdr>
        <w:top w:val="none" w:sz="0" w:space="0" w:color="auto"/>
        <w:left w:val="none" w:sz="0" w:space="0" w:color="auto"/>
        <w:bottom w:val="none" w:sz="0" w:space="0" w:color="auto"/>
        <w:right w:val="none" w:sz="0" w:space="0" w:color="auto"/>
      </w:divBdr>
    </w:div>
    <w:div w:id="769398570">
      <w:bodyDiv w:val="1"/>
      <w:marLeft w:val="0"/>
      <w:marRight w:val="0"/>
      <w:marTop w:val="0"/>
      <w:marBottom w:val="0"/>
      <w:divBdr>
        <w:top w:val="none" w:sz="0" w:space="0" w:color="auto"/>
        <w:left w:val="none" w:sz="0" w:space="0" w:color="auto"/>
        <w:bottom w:val="none" w:sz="0" w:space="0" w:color="auto"/>
        <w:right w:val="none" w:sz="0" w:space="0" w:color="auto"/>
      </w:divBdr>
    </w:div>
    <w:div w:id="825587786">
      <w:bodyDiv w:val="1"/>
      <w:marLeft w:val="0"/>
      <w:marRight w:val="0"/>
      <w:marTop w:val="0"/>
      <w:marBottom w:val="0"/>
      <w:divBdr>
        <w:top w:val="none" w:sz="0" w:space="0" w:color="auto"/>
        <w:left w:val="none" w:sz="0" w:space="0" w:color="auto"/>
        <w:bottom w:val="none" w:sz="0" w:space="0" w:color="auto"/>
        <w:right w:val="none" w:sz="0" w:space="0" w:color="auto"/>
      </w:divBdr>
    </w:div>
    <w:div w:id="827209845">
      <w:bodyDiv w:val="1"/>
      <w:marLeft w:val="0"/>
      <w:marRight w:val="0"/>
      <w:marTop w:val="0"/>
      <w:marBottom w:val="0"/>
      <w:divBdr>
        <w:top w:val="none" w:sz="0" w:space="0" w:color="auto"/>
        <w:left w:val="none" w:sz="0" w:space="0" w:color="auto"/>
        <w:bottom w:val="none" w:sz="0" w:space="0" w:color="auto"/>
        <w:right w:val="none" w:sz="0" w:space="0" w:color="auto"/>
      </w:divBdr>
    </w:div>
    <w:div w:id="830221974">
      <w:bodyDiv w:val="1"/>
      <w:marLeft w:val="0"/>
      <w:marRight w:val="0"/>
      <w:marTop w:val="0"/>
      <w:marBottom w:val="0"/>
      <w:divBdr>
        <w:top w:val="none" w:sz="0" w:space="0" w:color="auto"/>
        <w:left w:val="none" w:sz="0" w:space="0" w:color="auto"/>
        <w:bottom w:val="none" w:sz="0" w:space="0" w:color="auto"/>
        <w:right w:val="none" w:sz="0" w:space="0" w:color="auto"/>
      </w:divBdr>
    </w:div>
    <w:div w:id="862206210">
      <w:bodyDiv w:val="1"/>
      <w:marLeft w:val="0"/>
      <w:marRight w:val="0"/>
      <w:marTop w:val="0"/>
      <w:marBottom w:val="0"/>
      <w:divBdr>
        <w:top w:val="none" w:sz="0" w:space="0" w:color="auto"/>
        <w:left w:val="none" w:sz="0" w:space="0" w:color="auto"/>
        <w:bottom w:val="none" w:sz="0" w:space="0" w:color="auto"/>
        <w:right w:val="none" w:sz="0" w:space="0" w:color="auto"/>
      </w:divBdr>
    </w:div>
    <w:div w:id="878669458">
      <w:bodyDiv w:val="1"/>
      <w:marLeft w:val="0"/>
      <w:marRight w:val="0"/>
      <w:marTop w:val="0"/>
      <w:marBottom w:val="0"/>
      <w:divBdr>
        <w:top w:val="none" w:sz="0" w:space="0" w:color="auto"/>
        <w:left w:val="none" w:sz="0" w:space="0" w:color="auto"/>
        <w:bottom w:val="none" w:sz="0" w:space="0" w:color="auto"/>
        <w:right w:val="none" w:sz="0" w:space="0" w:color="auto"/>
      </w:divBdr>
    </w:div>
    <w:div w:id="960184911">
      <w:bodyDiv w:val="1"/>
      <w:marLeft w:val="0"/>
      <w:marRight w:val="0"/>
      <w:marTop w:val="0"/>
      <w:marBottom w:val="0"/>
      <w:divBdr>
        <w:top w:val="none" w:sz="0" w:space="0" w:color="auto"/>
        <w:left w:val="none" w:sz="0" w:space="0" w:color="auto"/>
        <w:bottom w:val="none" w:sz="0" w:space="0" w:color="auto"/>
        <w:right w:val="none" w:sz="0" w:space="0" w:color="auto"/>
      </w:divBdr>
    </w:div>
    <w:div w:id="990911911">
      <w:bodyDiv w:val="1"/>
      <w:marLeft w:val="0"/>
      <w:marRight w:val="0"/>
      <w:marTop w:val="0"/>
      <w:marBottom w:val="0"/>
      <w:divBdr>
        <w:top w:val="none" w:sz="0" w:space="0" w:color="auto"/>
        <w:left w:val="none" w:sz="0" w:space="0" w:color="auto"/>
        <w:bottom w:val="none" w:sz="0" w:space="0" w:color="auto"/>
        <w:right w:val="none" w:sz="0" w:space="0" w:color="auto"/>
      </w:divBdr>
    </w:div>
    <w:div w:id="1002509938">
      <w:bodyDiv w:val="1"/>
      <w:marLeft w:val="0"/>
      <w:marRight w:val="0"/>
      <w:marTop w:val="0"/>
      <w:marBottom w:val="0"/>
      <w:divBdr>
        <w:top w:val="none" w:sz="0" w:space="0" w:color="auto"/>
        <w:left w:val="none" w:sz="0" w:space="0" w:color="auto"/>
        <w:bottom w:val="none" w:sz="0" w:space="0" w:color="auto"/>
        <w:right w:val="none" w:sz="0" w:space="0" w:color="auto"/>
      </w:divBdr>
    </w:div>
    <w:div w:id="1076632497">
      <w:bodyDiv w:val="1"/>
      <w:marLeft w:val="0"/>
      <w:marRight w:val="0"/>
      <w:marTop w:val="0"/>
      <w:marBottom w:val="0"/>
      <w:divBdr>
        <w:top w:val="none" w:sz="0" w:space="0" w:color="auto"/>
        <w:left w:val="none" w:sz="0" w:space="0" w:color="auto"/>
        <w:bottom w:val="none" w:sz="0" w:space="0" w:color="auto"/>
        <w:right w:val="none" w:sz="0" w:space="0" w:color="auto"/>
      </w:divBdr>
    </w:div>
    <w:div w:id="1105686226">
      <w:bodyDiv w:val="1"/>
      <w:marLeft w:val="0"/>
      <w:marRight w:val="0"/>
      <w:marTop w:val="0"/>
      <w:marBottom w:val="0"/>
      <w:divBdr>
        <w:top w:val="none" w:sz="0" w:space="0" w:color="auto"/>
        <w:left w:val="none" w:sz="0" w:space="0" w:color="auto"/>
        <w:bottom w:val="none" w:sz="0" w:space="0" w:color="auto"/>
        <w:right w:val="none" w:sz="0" w:space="0" w:color="auto"/>
      </w:divBdr>
    </w:div>
    <w:div w:id="1106122969">
      <w:bodyDiv w:val="1"/>
      <w:marLeft w:val="0"/>
      <w:marRight w:val="0"/>
      <w:marTop w:val="0"/>
      <w:marBottom w:val="0"/>
      <w:divBdr>
        <w:top w:val="none" w:sz="0" w:space="0" w:color="auto"/>
        <w:left w:val="none" w:sz="0" w:space="0" w:color="auto"/>
        <w:bottom w:val="none" w:sz="0" w:space="0" w:color="auto"/>
        <w:right w:val="none" w:sz="0" w:space="0" w:color="auto"/>
      </w:divBdr>
    </w:div>
    <w:div w:id="1124694392">
      <w:bodyDiv w:val="1"/>
      <w:marLeft w:val="0"/>
      <w:marRight w:val="0"/>
      <w:marTop w:val="0"/>
      <w:marBottom w:val="0"/>
      <w:divBdr>
        <w:top w:val="none" w:sz="0" w:space="0" w:color="auto"/>
        <w:left w:val="none" w:sz="0" w:space="0" w:color="auto"/>
        <w:bottom w:val="none" w:sz="0" w:space="0" w:color="auto"/>
        <w:right w:val="none" w:sz="0" w:space="0" w:color="auto"/>
      </w:divBdr>
    </w:div>
    <w:div w:id="1135485705">
      <w:bodyDiv w:val="1"/>
      <w:marLeft w:val="0"/>
      <w:marRight w:val="0"/>
      <w:marTop w:val="0"/>
      <w:marBottom w:val="0"/>
      <w:divBdr>
        <w:top w:val="none" w:sz="0" w:space="0" w:color="auto"/>
        <w:left w:val="none" w:sz="0" w:space="0" w:color="auto"/>
        <w:bottom w:val="none" w:sz="0" w:space="0" w:color="auto"/>
        <w:right w:val="none" w:sz="0" w:space="0" w:color="auto"/>
      </w:divBdr>
    </w:div>
    <w:div w:id="1154831400">
      <w:bodyDiv w:val="1"/>
      <w:marLeft w:val="0"/>
      <w:marRight w:val="0"/>
      <w:marTop w:val="0"/>
      <w:marBottom w:val="0"/>
      <w:divBdr>
        <w:top w:val="none" w:sz="0" w:space="0" w:color="auto"/>
        <w:left w:val="none" w:sz="0" w:space="0" w:color="auto"/>
        <w:bottom w:val="none" w:sz="0" w:space="0" w:color="auto"/>
        <w:right w:val="none" w:sz="0" w:space="0" w:color="auto"/>
      </w:divBdr>
    </w:div>
    <w:div w:id="1215118529">
      <w:bodyDiv w:val="1"/>
      <w:marLeft w:val="0"/>
      <w:marRight w:val="0"/>
      <w:marTop w:val="0"/>
      <w:marBottom w:val="0"/>
      <w:divBdr>
        <w:top w:val="none" w:sz="0" w:space="0" w:color="auto"/>
        <w:left w:val="none" w:sz="0" w:space="0" w:color="auto"/>
        <w:bottom w:val="none" w:sz="0" w:space="0" w:color="auto"/>
        <w:right w:val="none" w:sz="0" w:space="0" w:color="auto"/>
      </w:divBdr>
    </w:div>
    <w:div w:id="1215266745">
      <w:bodyDiv w:val="1"/>
      <w:marLeft w:val="0"/>
      <w:marRight w:val="0"/>
      <w:marTop w:val="0"/>
      <w:marBottom w:val="0"/>
      <w:divBdr>
        <w:top w:val="none" w:sz="0" w:space="0" w:color="auto"/>
        <w:left w:val="none" w:sz="0" w:space="0" w:color="auto"/>
        <w:bottom w:val="none" w:sz="0" w:space="0" w:color="auto"/>
        <w:right w:val="none" w:sz="0" w:space="0" w:color="auto"/>
      </w:divBdr>
    </w:div>
    <w:div w:id="1270890352">
      <w:bodyDiv w:val="1"/>
      <w:marLeft w:val="0"/>
      <w:marRight w:val="0"/>
      <w:marTop w:val="0"/>
      <w:marBottom w:val="0"/>
      <w:divBdr>
        <w:top w:val="none" w:sz="0" w:space="0" w:color="auto"/>
        <w:left w:val="none" w:sz="0" w:space="0" w:color="auto"/>
        <w:bottom w:val="none" w:sz="0" w:space="0" w:color="auto"/>
        <w:right w:val="none" w:sz="0" w:space="0" w:color="auto"/>
      </w:divBdr>
    </w:div>
    <w:div w:id="1307276486">
      <w:bodyDiv w:val="1"/>
      <w:marLeft w:val="0"/>
      <w:marRight w:val="0"/>
      <w:marTop w:val="0"/>
      <w:marBottom w:val="0"/>
      <w:divBdr>
        <w:top w:val="none" w:sz="0" w:space="0" w:color="auto"/>
        <w:left w:val="none" w:sz="0" w:space="0" w:color="auto"/>
        <w:bottom w:val="none" w:sz="0" w:space="0" w:color="auto"/>
        <w:right w:val="none" w:sz="0" w:space="0" w:color="auto"/>
      </w:divBdr>
    </w:div>
    <w:div w:id="1352494279">
      <w:bodyDiv w:val="1"/>
      <w:marLeft w:val="0"/>
      <w:marRight w:val="0"/>
      <w:marTop w:val="0"/>
      <w:marBottom w:val="0"/>
      <w:divBdr>
        <w:top w:val="none" w:sz="0" w:space="0" w:color="auto"/>
        <w:left w:val="none" w:sz="0" w:space="0" w:color="auto"/>
        <w:bottom w:val="none" w:sz="0" w:space="0" w:color="auto"/>
        <w:right w:val="none" w:sz="0" w:space="0" w:color="auto"/>
      </w:divBdr>
    </w:div>
    <w:div w:id="1371612711">
      <w:bodyDiv w:val="1"/>
      <w:marLeft w:val="0"/>
      <w:marRight w:val="0"/>
      <w:marTop w:val="0"/>
      <w:marBottom w:val="0"/>
      <w:divBdr>
        <w:top w:val="none" w:sz="0" w:space="0" w:color="auto"/>
        <w:left w:val="none" w:sz="0" w:space="0" w:color="auto"/>
        <w:bottom w:val="none" w:sz="0" w:space="0" w:color="auto"/>
        <w:right w:val="none" w:sz="0" w:space="0" w:color="auto"/>
      </w:divBdr>
    </w:div>
    <w:div w:id="1392538741">
      <w:bodyDiv w:val="1"/>
      <w:marLeft w:val="0"/>
      <w:marRight w:val="0"/>
      <w:marTop w:val="0"/>
      <w:marBottom w:val="0"/>
      <w:divBdr>
        <w:top w:val="none" w:sz="0" w:space="0" w:color="auto"/>
        <w:left w:val="none" w:sz="0" w:space="0" w:color="auto"/>
        <w:bottom w:val="none" w:sz="0" w:space="0" w:color="auto"/>
        <w:right w:val="none" w:sz="0" w:space="0" w:color="auto"/>
      </w:divBdr>
    </w:div>
    <w:div w:id="1406341336">
      <w:bodyDiv w:val="1"/>
      <w:marLeft w:val="0"/>
      <w:marRight w:val="0"/>
      <w:marTop w:val="0"/>
      <w:marBottom w:val="0"/>
      <w:divBdr>
        <w:top w:val="none" w:sz="0" w:space="0" w:color="auto"/>
        <w:left w:val="none" w:sz="0" w:space="0" w:color="auto"/>
        <w:bottom w:val="none" w:sz="0" w:space="0" w:color="auto"/>
        <w:right w:val="none" w:sz="0" w:space="0" w:color="auto"/>
      </w:divBdr>
    </w:div>
    <w:div w:id="1444033795">
      <w:bodyDiv w:val="1"/>
      <w:marLeft w:val="0"/>
      <w:marRight w:val="0"/>
      <w:marTop w:val="0"/>
      <w:marBottom w:val="0"/>
      <w:divBdr>
        <w:top w:val="none" w:sz="0" w:space="0" w:color="auto"/>
        <w:left w:val="none" w:sz="0" w:space="0" w:color="auto"/>
        <w:bottom w:val="none" w:sz="0" w:space="0" w:color="auto"/>
        <w:right w:val="none" w:sz="0" w:space="0" w:color="auto"/>
      </w:divBdr>
    </w:div>
    <w:div w:id="1444379775">
      <w:bodyDiv w:val="1"/>
      <w:marLeft w:val="0"/>
      <w:marRight w:val="0"/>
      <w:marTop w:val="0"/>
      <w:marBottom w:val="0"/>
      <w:divBdr>
        <w:top w:val="none" w:sz="0" w:space="0" w:color="auto"/>
        <w:left w:val="none" w:sz="0" w:space="0" w:color="auto"/>
        <w:bottom w:val="none" w:sz="0" w:space="0" w:color="auto"/>
        <w:right w:val="none" w:sz="0" w:space="0" w:color="auto"/>
      </w:divBdr>
    </w:div>
    <w:div w:id="1446778626">
      <w:bodyDiv w:val="1"/>
      <w:marLeft w:val="0"/>
      <w:marRight w:val="0"/>
      <w:marTop w:val="0"/>
      <w:marBottom w:val="0"/>
      <w:divBdr>
        <w:top w:val="none" w:sz="0" w:space="0" w:color="auto"/>
        <w:left w:val="none" w:sz="0" w:space="0" w:color="auto"/>
        <w:bottom w:val="none" w:sz="0" w:space="0" w:color="auto"/>
        <w:right w:val="none" w:sz="0" w:space="0" w:color="auto"/>
      </w:divBdr>
    </w:div>
    <w:div w:id="1459952814">
      <w:bodyDiv w:val="1"/>
      <w:marLeft w:val="0"/>
      <w:marRight w:val="0"/>
      <w:marTop w:val="0"/>
      <w:marBottom w:val="0"/>
      <w:divBdr>
        <w:top w:val="none" w:sz="0" w:space="0" w:color="auto"/>
        <w:left w:val="none" w:sz="0" w:space="0" w:color="auto"/>
        <w:bottom w:val="none" w:sz="0" w:space="0" w:color="auto"/>
        <w:right w:val="none" w:sz="0" w:space="0" w:color="auto"/>
      </w:divBdr>
    </w:div>
    <w:div w:id="1469204573">
      <w:bodyDiv w:val="1"/>
      <w:marLeft w:val="0"/>
      <w:marRight w:val="0"/>
      <w:marTop w:val="0"/>
      <w:marBottom w:val="0"/>
      <w:divBdr>
        <w:top w:val="none" w:sz="0" w:space="0" w:color="auto"/>
        <w:left w:val="none" w:sz="0" w:space="0" w:color="auto"/>
        <w:bottom w:val="none" w:sz="0" w:space="0" w:color="auto"/>
        <w:right w:val="none" w:sz="0" w:space="0" w:color="auto"/>
      </w:divBdr>
    </w:div>
    <w:div w:id="1493764322">
      <w:bodyDiv w:val="1"/>
      <w:marLeft w:val="0"/>
      <w:marRight w:val="0"/>
      <w:marTop w:val="0"/>
      <w:marBottom w:val="0"/>
      <w:divBdr>
        <w:top w:val="none" w:sz="0" w:space="0" w:color="auto"/>
        <w:left w:val="none" w:sz="0" w:space="0" w:color="auto"/>
        <w:bottom w:val="none" w:sz="0" w:space="0" w:color="auto"/>
        <w:right w:val="none" w:sz="0" w:space="0" w:color="auto"/>
      </w:divBdr>
    </w:div>
    <w:div w:id="1532451105">
      <w:bodyDiv w:val="1"/>
      <w:marLeft w:val="0"/>
      <w:marRight w:val="0"/>
      <w:marTop w:val="0"/>
      <w:marBottom w:val="0"/>
      <w:divBdr>
        <w:top w:val="none" w:sz="0" w:space="0" w:color="auto"/>
        <w:left w:val="none" w:sz="0" w:space="0" w:color="auto"/>
        <w:bottom w:val="none" w:sz="0" w:space="0" w:color="auto"/>
        <w:right w:val="none" w:sz="0" w:space="0" w:color="auto"/>
      </w:divBdr>
    </w:div>
    <w:div w:id="1535461577">
      <w:bodyDiv w:val="1"/>
      <w:marLeft w:val="0"/>
      <w:marRight w:val="0"/>
      <w:marTop w:val="0"/>
      <w:marBottom w:val="0"/>
      <w:divBdr>
        <w:top w:val="none" w:sz="0" w:space="0" w:color="auto"/>
        <w:left w:val="none" w:sz="0" w:space="0" w:color="auto"/>
        <w:bottom w:val="none" w:sz="0" w:space="0" w:color="auto"/>
        <w:right w:val="none" w:sz="0" w:space="0" w:color="auto"/>
      </w:divBdr>
    </w:div>
    <w:div w:id="1537158697">
      <w:bodyDiv w:val="1"/>
      <w:marLeft w:val="0"/>
      <w:marRight w:val="0"/>
      <w:marTop w:val="0"/>
      <w:marBottom w:val="0"/>
      <w:divBdr>
        <w:top w:val="none" w:sz="0" w:space="0" w:color="auto"/>
        <w:left w:val="none" w:sz="0" w:space="0" w:color="auto"/>
        <w:bottom w:val="none" w:sz="0" w:space="0" w:color="auto"/>
        <w:right w:val="none" w:sz="0" w:space="0" w:color="auto"/>
      </w:divBdr>
    </w:div>
    <w:div w:id="1545142446">
      <w:bodyDiv w:val="1"/>
      <w:marLeft w:val="0"/>
      <w:marRight w:val="0"/>
      <w:marTop w:val="0"/>
      <w:marBottom w:val="0"/>
      <w:divBdr>
        <w:top w:val="none" w:sz="0" w:space="0" w:color="auto"/>
        <w:left w:val="none" w:sz="0" w:space="0" w:color="auto"/>
        <w:bottom w:val="none" w:sz="0" w:space="0" w:color="auto"/>
        <w:right w:val="none" w:sz="0" w:space="0" w:color="auto"/>
      </w:divBdr>
    </w:div>
    <w:div w:id="1594321926">
      <w:bodyDiv w:val="1"/>
      <w:marLeft w:val="0"/>
      <w:marRight w:val="0"/>
      <w:marTop w:val="0"/>
      <w:marBottom w:val="0"/>
      <w:divBdr>
        <w:top w:val="none" w:sz="0" w:space="0" w:color="auto"/>
        <w:left w:val="none" w:sz="0" w:space="0" w:color="auto"/>
        <w:bottom w:val="none" w:sz="0" w:space="0" w:color="auto"/>
        <w:right w:val="none" w:sz="0" w:space="0" w:color="auto"/>
      </w:divBdr>
    </w:div>
    <w:div w:id="1734504937">
      <w:bodyDiv w:val="1"/>
      <w:marLeft w:val="0"/>
      <w:marRight w:val="0"/>
      <w:marTop w:val="0"/>
      <w:marBottom w:val="0"/>
      <w:divBdr>
        <w:top w:val="none" w:sz="0" w:space="0" w:color="auto"/>
        <w:left w:val="none" w:sz="0" w:space="0" w:color="auto"/>
        <w:bottom w:val="none" w:sz="0" w:space="0" w:color="auto"/>
        <w:right w:val="none" w:sz="0" w:space="0" w:color="auto"/>
      </w:divBdr>
    </w:div>
    <w:div w:id="1764062580">
      <w:bodyDiv w:val="1"/>
      <w:marLeft w:val="0"/>
      <w:marRight w:val="0"/>
      <w:marTop w:val="0"/>
      <w:marBottom w:val="0"/>
      <w:divBdr>
        <w:top w:val="none" w:sz="0" w:space="0" w:color="auto"/>
        <w:left w:val="none" w:sz="0" w:space="0" w:color="auto"/>
        <w:bottom w:val="none" w:sz="0" w:space="0" w:color="auto"/>
        <w:right w:val="none" w:sz="0" w:space="0" w:color="auto"/>
      </w:divBdr>
    </w:div>
    <w:div w:id="1863397583">
      <w:bodyDiv w:val="1"/>
      <w:marLeft w:val="0"/>
      <w:marRight w:val="0"/>
      <w:marTop w:val="0"/>
      <w:marBottom w:val="0"/>
      <w:divBdr>
        <w:top w:val="none" w:sz="0" w:space="0" w:color="auto"/>
        <w:left w:val="none" w:sz="0" w:space="0" w:color="auto"/>
        <w:bottom w:val="none" w:sz="0" w:space="0" w:color="auto"/>
        <w:right w:val="none" w:sz="0" w:space="0" w:color="auto"/>
      </w:divBdr>
    </w:div>
    <w:div w:id="1875070517">
      <w:bodyDiv w:val="1"/>
      <w:marLeft w:val="0"/>
      <w:marRight w:val="0"/>
      <w:marTop w:val="0"/>
      <w:marBottom w:val="0"/>
      <w:divBdr>
        <w:top w:val="none" w:sz="0" w:space="0" w:color="auto"/>
        <w:left w:val="none" w:sz="0" w:space="0" w:color="auto"/>
        <w:bottom w:val="none" w:sz="0" w:space="0" w:color="auto"/>
        <w:right w:val="none" w:sz="0" w:space="0" w:color="auto"/>
      </w:divBdr>
    </w:div>
    <w:div w:id="1891569522">
      <w:bodyDiv w:val="1"/>
      <w:marLeft w:val="0"/>
      <w:marRight w:val="0"/>
      <w:marTop w:val="0"/>
      <w:marBottom w:val="0"/>
      <w:divBdr>
        <w:top w:val="none" w:sz="0" w:space="0" w:color="auto"/>
        <w:left w:val="none" w:sz="0" w:space="0" w:color="auto"/>
        <w:bottom w:val="none" w:sz="0" w:space="0" w:color="auto"/>
        <w:right w:val="none" w:sz="0" w:space="0" w:color="auto"/>
      </w:divBdr>
    </w:div>
    <w:div w:id="1906993173">
      <w:bodyDiv w:val="1"/>
      <w:marLeft w:val="0"/>
      <w:marRight w:val="0"/>
      <w:marTop w:val="0"/>
      <w:marBottom w:val="0"/>
      <w:divBdr>
        <w:top w:val="none" w:sz="0" w:space="0" w:color="auto"/>
        <w:left w:val="none" w:sz="0" w:space="0" w:color="auto"/>
        <w:bottom w:val="none" w:sz="0" w:space="0" w:color="auto"/>
        <w:right w:val="none" w:sz="0" w:space="0" w:color="auto"/>
      </w:divBdr>
    </w:div>
    <w:div w:id="1967276673">
      <w:bodyDiv w:val="1"/>
      <w:marLeft w:val="0"/>
      <w:marRight w:val="0"/>
      <w:marTop w:val="0"/>
      <w:marBottom w:val="0"/>
      <w:divBdr>
        <w:top w:val="none" w:sz="0" w:space="0" w:color="auto"/>
        <w:left w:val="none" w:sz="0" w:space="0" w:color="auto"/>
        <w:bottom w:val="none" w:sz="0" w:space="0" w:color="auto"/>
        <w:right w:val="none" w:sz="0" w:space="0" w:color="auto"/>
      </w:divBdr>
    </w:div>
    <w:div w:id="1968120870">
      <w:bodyDiv w:val="1"/>
      <w:marLeft w:val="0"/>
      <w:marRight w:val="0"/>
      <w:marTop w:val="0"/>
      <w:marBottom w:val="0"/>
      <w:divBdr>
        <w:top w:val="none" w:sz="0" w:space="0" w:color="auto"/>
        <w:left w:val="none" w:sz="0" w:space="0" w:color="auto"/>
        <w:bottom w:val="none" w:sz="0" w:space="0" w:color="auto"/>
        <w:right w:val="none" w:sz="0" w:space="0" w:color="auto"/>
      </w:divBdr>
    </w:div>
    <w:div w:id="2000883163">
      <w:bodyDiv w:val="1"/>
      <w:marLeft w:val="0"/>
      <w:marRight w:val="0"/>
      <w:marTop w:val="0"/>
      <w:marBottom w:val="0"/>
      <w:divBdr>
        <w:top w:val="none" w:sz="0" w:space="0" w:color="auto"/>
        <w:left w:val="none" w:sz="0" w:space="0" w:color="auto"/>
        <w:bottom w:val="none" w:sz="0" w:space="0" w:color="auto"/>
        <w:right w:val="none" w:sz="0" w:space="0" w:color="auto"/>
      </w:divBdr>
    </w:div>
    <w:div w:id="2019697025">
      <w:bodyDiv w:val="1"/>
      <w:marLeft w:val="0"/>
      <w:marRight w:val="0"/>
      <w:marTop w:val="0"/>
      <w:marBottom w:val="0"/>
      <w:divBdr>
        <w:top w:val="none" w:sz="0" w:space="0" w:color="auto"/>
        <w:left w:val="none" w:sz="0" w:space="0" w:color="auto"/>
        <w:bottom w:val="none" w:sz="0" w:space="0" w:color="auto"/>
        <w:right w:val="none" w:sz="0" w:space="0" w:color="auto"/>
      </w:divBdr>
    </w:div>
    <w:div w:id="2055499671">
      <w:bodyDiv w:val="1"/>
      <w:marLeft w:val="0"/>
      <w:marRight w:val="0"/>
      <w:marTop w:val="0"/>
      <w:marBottom w:val="0"/>
      <w:divBdr>
        <w:top w:val="none" w:sz="0" w:space="0" w:color="auto"/>
        <w:left w:val="none" w:sz="0" w:space="0" w:color="auto"/>
        <w:bottom w:val="none" w:sz="0" w:space="0" w:color="auto"/>
        <w:right w:val="none" w:sz="0" w:space="0" w:color="auto"/>
      </w:divBdr>
    </w:div>
    <w:div w:id="2059550928">
      <w:bodyDiv w:val="1"/>
      <w:marLeft w:val="0"/>
      <w:marRight w:val="0"/>
      <w:marTop w:val="0"/>
      <w:marBottom w:val="0"/>
      <w:divBdr>
        <w:top w:val="none" w:sz="0" w:space="0" w:color="auto"/>
        <w:left w:val="none" w:sz="0" w:space="0" w:color="auto"/>
        <w:bottom w:val="none" w:sz="0" w:space="0" w:color="auto"/>
        <w:right w:val="none" w:sz="0" w:space="0" w:color="auto"/>
      </w:divBdr>
    </w:div>
    <w:div w:id="2075616499">
      <w:bodyDiv w:val="1"/>
      <w:marLeft w:val="0"/>
      <w:marRight w:val="0"/>
      <w:marTop w:val="0"/>
      <w:marBottom w:val="0"/>
      <w:divBdr>
        <w:top w:val="none" w:sz="0" w:space="0" w:color="auto"/>
        <w:left w:val="none" w:sz="0" w:space="0" w:color="auto"/>
        <w:bottom w:val="none" w:sz="0" w:space="0" w:color="auto"/>
        <w:right w:val="none" w:sz="0" w:space="0" w:color="auto"/>
      </w:divBdr>
    </w:div>
    <w:div w:id="2087261151">
      <w:bodyDiv w:val="1"/>
      <w:marLeft w:val="0"/>
      <w:marRight w:val="0"/>
      <w:marTop w:val="0"/>
      <w:marBottom w:val="0"/>
      <w:divBdr>
        <w:top w:val="none" w:sz="0" w:space="0" w:color="auto"/>
        <w:left w:val="none" w:sz="0" w:space="0" w:color="auto"/>
        <w:bottom w:val="none" w:sz="0" w:space="0" w:color="auto"/>
        <w:right w:val="none" w:sz="0" w:space="0" w:color="auto"/>
      </w:divBdr>
    </w:div>
    <w:div w:id="21427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9465C-D4BB-4DD8-87E4-8B42B49F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4597</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simona.marinescu</cp:lastModifiedBy>
  <cp:revision>2</cp:revision>
  <cp:lastPrinted>2021-07-15T06:56:00Z</cp:lastPrinted>
  <dcterms:created xsi:type="dcterms:W3CDTF">2021-09-08T09:08:00Z</dcterms:created>
  <dcterms:modified xsi:type="dcterms:W3CDTF">2021-09-08T09:08:00Z</dcterms:modified>
</cp:coreProperties>
</file>