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94F4D" w14:textId="3C1779B4" w:rsidR="003D4427" w:rsidRPr="00B12662" w:rsidRDefault="003D4427" w:rsidP="003D4427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7.3.1.1.5.1 Descrierea sistemului de control şi penalități pentru intervențiile IACS</w:t>
      </w:r>
    </w:p>
    <w:p w14:paraId="4B66A12B" w14:textId="77777777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57E52C03" w14:textId="018C6525" w:rsidR="003D4427" w:rsidRPr="00B12662" w:rsidRDefault="003D4427" w:rsidP="003D4427">
      <w:pPr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  <w:t>Intervenţii FEGA</w:t>
      </w:r>
      <w:r w:rsidR="00FB2AE3" w:rsidRPr="00B1266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  <w:t xml:space="preserve"> </w:t>
      </w:r>
      <w:r w:rsidR="00FB2AE3" w:rsidRPr="00C8499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  <w:t>şi FEADR</w:t>
      </w:r>
      <w:r w:rsidRPr="00C8499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  <w:t>-</w:t>
      </w:r>
      <w:r w:rsidRPr="00B1266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  <w:t xml:space="preserve"> IACS</w:t>
      </w:r>
    </w:p>
    <w:p w14:paraId="37F1CCE6" w14:textId="2EED0DA6" w:rsidR="00B12662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Controlul administrativ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se realizează pentru 100% din cererile depuse pentru stabilirea eligibilității, iar după finalizarea tuturor controalelor administrative și a controalelor pe teren sistemul de sancțiuni va cuprinde următoarele sancțiuni generale, valabile pentru toate </w:t>
      </w:r>
      <w:r w:rsidR="00247403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intervențiile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:</w:t>
      </w:r>
    </w:p>
    <w:p w14:paraId="33892EA8" w14:textId="77777777" w:rsidR="00B12662" w:rsidRPr="00C84990" w:rsidRDefault="003D4427" w:rsidP="00B126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Sancțiuni pentru supradeclararea suprafetelor</w:t>
      </w:r>
      <w:r w:rsidR="00B12662" w:rsidRPr="00C84990"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 xml:space="preserve">/sancțiuni administrative în ceea ce privește animalele declarate;  </w:t>
      </w:r>
    </w:p>
    <w:p w14:paraId="30CFB96D" w14:textId="1E774B7D" w:rsidR="00B12662" w:rsidRPr="00B12662" w:rsidRDefault="00B12662" w:rsidP="00B1266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C84990"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>Sancțiuni pentru nerespectarea condițiilor de eligibilitate generale, a cerințelor specifice și a cerințelor de bază relevante; </w:t>
      </w:r>
    </w:p>
    <w:p w14:paraId="176612D6" w14:textId="32F0E2EF" w:rsidR="003D4427" w:rsidRPr="00B12662" w:rsidRDefault="003D4427" w:rsidP="003D442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Sancțiuni pentru nedeclararea suprafețelor;</w:t>
      </w:r>
    </w:p>
    <w:p w14:paraId="41ED52AA" w14:textId="6EC43C17" w:rsidR="003D4427" w:rsidRPr="00B12662" w:rsidRDefault="003D4427" w:rsidP="003D442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Sancțiuni pentru depunerea cu întârziere a cererii de plată;</w:t>
      </w:r>
    </w:p>
    <w:p w14:paraId="48892311" w14:textId="5566625B" w:rsidR="003D4427" w:rsidRPr="00B12662" w:rsidRDefault="003D4427" w:rsidP="003D442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Sancțiuni pentru nerespectarea condiționalității</w:t>
      </w:r>
      <w:r w:rsidR="00B12662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4C3EF6B3" w14:textId="7013D497" w:rsidR="00B12662" w:rsidRPr="00B12662" w:rsidRDefault="00B12662" w:rsidP="00B1266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C84990"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>Sancțiuni suplimentare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o-RO"/>
        </w:rPr>
        <w:t>.</w:t>
      </w:r>
      <w:bookmarkStart w:id="0" w:name="_GoBack"/>
      <w:bookmarkEnd w:id="0"/>
    </w:p>
    <w:p w14:paraId="50131ED0" w14:textId="17D76D78" w:rsidR="003D4427" w:rsidRPr="00B12662" w:rsidRDefault="00C84990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Î</w:t>
      </w:r>
      <w:r w:rsidR="003D4427"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n funcție de data la care vor fi finalizate şi aprobate pachetele legislative, exista posibilitatea ca </w:t>
      </w:r>
      <w:r w:rsidR="003D4427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în 2023 să apară unele întârzieri în implementarea tuturor cerințelor.</w:t>
      </w:r>
    </w:p>
    <w:p w14:paraId="0891F106" w14:textId="1CC0AA33" w:rsidR="003D4427" w:rsidRPr="00B12662" w:rsidRDefault="00C84990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Î</w:t>
      </w:r>
      <w:r w:rsidR="003D4427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n cadrul sistemului de administrare şi control se efectuează controlul administrativ în procent de 100% pentru toate cererile cu scheme pentru animale în cadrul controlului administrativ:</w:t>
      </w:r>
    </w:p>
    <w:p w14:paraId="3DAFACE4" w14:textId="21841948" w:rsidR="003D4427" w:rsidRPr="00B12662" w:rsidRDefault="003D4427" w:rsidP="003D442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îndeplinirea condițiilor de eligibilitate generale ale plăților directe si ale condițiilor specifice schemelor pentru animale/ ecoschemelor prin verificări încrucișate cu datele din documentele justificative operate 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>î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n sistemul  informatic, cât și cu datele înregistrate în alte baze de date : Baza Națională  de Date a Animalelor (BND a ANSVSA)/ONRC/ANZ, după caz;</w:t>
      </w:r>
    </w:p>
    <w:p w14:paraId="3EAB718C" w14:textId="67F9BD7D" w:rsidR="003D4427" w:rsidRPr="00B12662" w:rsidRDefault="003D4427" w:rsidP="003D442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pentru ecoschemele în zootehnie verificarea respectării cerințelor/standardelor de bază relevante și cerințelor/standardelor specifice/superioare pe întreaga perioadă a angajamentului;</w:t>
      </w:r>
    </w:p>
    <w:p w14:paraId="522FCBD2" w14:textId="7F8549D0" w:rsidR="003D4427" w:rsidRPr="00B12662" w:rsidRDefault="003D4427" w:rsidP="003D442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pe lângă controlul administrativ se efectuează și controale/supracontrol la fața locului pe un eșantion extras anual de % din cererile depuse şi control pe condiționalitate.</w:t>
      </w:r>
    </w:p>
    <w:p w14:paraId="0EAB0777" w14:textId="77777777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În cadrul controlului la fața locului se verifică:</w:t>
      </w:r>
    </w:p>
    <w:p w14:paraId="524A2158" w14:textId="3AD6D05A" w:rsidR="003D4427" w:rsidRPr="00B12662" w:rsidRDefault="003D4427" w:rsidP="00C8499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respectarea condițiilor de eligibilitate, 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a 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cerinţelor de bază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/cerințelor specifice în funcție de fiecare schema/ ecoschemă în parte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00EE00E5" w14:textId="531810D3" w:rsidR="003D4427" w:rsidRPr="00B12662" w:rsidRDefault="003D4427" w:rsidP="00C8499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verificarea existentei documentelor specifice existente 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î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n cadrul exploatațiilor din care rezultă respectarea condițiilor de eligibilitate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generale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, a cerinţelor de bază 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/specifice /standarde superioare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45A4EF16" w14:textId="2F8D9EDA" w:rsidR="003D4427" w:rsidRPr="00B12662" w:rsidRDefault="003D4427" w:rsidP="00C8499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detalierea la nivel de element verificat în cadrul controlului la fa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ţ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a locului  va fi cuprins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ă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în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960360" w:rsidRPr="00C84990">
        <w:rPr>
          <w:rFonts w:ascii="Times New Roman" w:hAnsi="Times New Roman" w:cs="Times New Roman"/>
          <w:noProof/>
          <w:sz w:val="24"/>
          <w:szCs w:val="24"/>
          <w:lang w:val="ro-RO"/>
        </w:rPr>
        <w:t>P</w:t>
      </w:r>
      <w:r w:rsidR="009E2F64" w:rsidRPr="00C8499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rocedurile </w:t>
      </w:r>
      <w:r w:rsidR="00960360" w:rsidRPr="00C84990">
        <w:rPr>
          <w:rFonts w:ascii="Times New Roman" w:hAnsi="Times New Roman" w:cs="Times New Roman"/>
          <w:noProof/>
          <w:sz w:val="24"/>
          <w:szCs w:val="24"/>
          <w:lang w:val="ro-RO"/>
        </w:rPr>
        <w:t>Op</w:t>
      </w:r>
      <w:r w:rsidR="009E2F64" w:rsidRPr="00C84990">
        <w:rPr>
          <w:rFonts w:ascii="Times New Roman" w:hAnsi="Times New Roman" w:cs="Times New Roman"/>
          <w:noProof/>
          <w:sz w:val="24"/>
          <w:szCs w:val="24"/>
          <w:lang w:val="ro-RO"/>
        </w:rPr>
        <w:t>eraţionale de control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</w:p>
    <w:p w14:paraId="63750B0A" w14:textId="3CF70A22" w:rsidR="003D4427" w:rsidRPr="00DC0497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lastRenderedPageBreak/>
        <w:t>După finalizarea tuturor verificărilor (administrative și la fața locului) sistemul informatic atribuie automat neconformități la nivel de animal, la nivel de exploatație sau schemă de plată solicitată.</w:t>
      </w:r>
    </w:p>
    <w:p w14:paraId="1C356117" w14:textId="19816072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Sistemul de sancțiuni va fi reglementat prin legislația națională </w:t>
      </w:r>
      <w:r w:rsidR="001A4EE0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î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n conformitate cu prevederile legislației europene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și 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va fi un sistem gradual aplicat în funcție de raportul dintre numărul de animale cu neconformități și numărul de animale determinate/eligibile la plată, adaptat fiecărui tip de intervenție /ecoschemă.</w:t>
      </w:r>
    </w:p>
    <w:p w14:paraId="46DA7CC2" w14:textId="30143793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În funcție de neconformitatea atribuită la nivel de animal/condiție eligibilitate general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>ă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/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cerinţă de bază/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specific</w:t>
      </w:r>
      <w:r w:rsidR="009E2F64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ă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/standard, se poate ajunge la  respingerea de la plată a exploatației/a animalului/a angajamentului sau la reducerea valorii sprijinului.</w:t>
      </w:r>
    </w:p>
    <w:p w14:paraId="46F0EA4E" w14:textId="7A16100E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Sistemul de sancțiuni implementat este în conformitate cu prevederile legislației europene și naționale.</w:t>
      </w:r>
    </w:p>
    <w:p w14:paraId="23598549" w14:textId="06828793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Sistemul de sancțiuni este un sistem gradual aplicat 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>î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n funcție de raportul dintre numărul de animale cu neconformități și numărul de animale determinate la plată.</w:t>
      </w:r>
    </w:p>
    <w:p w14:paraId="7D10768D" w14:textId="6D0F4040" w:rsidR="00A136C7" w:rsidRPr="00C84990" w:rsidRDefault="00A136C7" w:rsidP="00B12662">
      <w:pPr>
        <w:jc w:val="both"/>
        <w:rPr>
          <w:rFonts w:asciiTheme="majorBidi" w:hAnsiTheme="majorBidi" w:cstheme="majorBidi"/>
          <w:noProof/>
          <w:sz w:val="24"/>
          <w:szCs w:val="24"/>
          <w:lang w:val="ro-RO"/>
        </w:rPr>
      </w:pPr>
      <w:r w:rsidRPr="00C84990">
        <w:rPr>
          <w:rFonts w:asciiTheme="majorBidi" w:hAnsiTheme="majorBidi" w:cstheme="majorBidi"/>
          <w:noProof/>
          <w:sz w:val="24"/>
          <w:szCs w:val="24"/>
          <w:lang w:val="ro-RO"/>
        </w:rPr>
        <w:t>În vederea  obţinerii unei asigurări rezonabile referitoare la asigurarea unui sistem de administrare și control care să  permită garantarea unei bune gestiuni financiare APIA a decis să folosească atât controlul prin măsurători clasice pe teren cât și controlul prin teledetecţie pentru controlul cererilor de sprijin depuse de către fermieri.</w:t>
      </w:r>
    </w:p>
    <w:p w14:paraId="3C5AF7EB" w14:textId="52BA23F4" w:rsidR="003D4427" w:rsidRPr="00DC0497" w:rsidRDefault="003D4427" w:rsidP="009804DD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Control</w:t>
      </w:r>
      <w:r w:rsidR="009804DD"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ul</w:t>
      </w: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 xml:space="preserve"> clasic la </w:t>
      </w:r>
      <w:r w:rsidR="00C84990"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fața</w:t>
      </w: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 xml:space="preserve"> locului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este</w:t>
      </w: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 xml:space="preserve"> </w:t>
      </w:r>
      <w:r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t>bazat pe inspecţii fizice pe teren.</w:t>
      </w:r>
    </w:p>
    <w:p w14:paraId="721A4DD2" w14:textId="4FD69154" w:rsidR="003D4427" w:rsidRPr="00B12662" w:rsidRDefault="003D4427" w:rsidP="00EE227A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t>Controlul pe teren se află în responsabilitatea Centrelor judeţene APIA</w:t>
      </w:r>
      <w:r w:rsidR="00C8499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(42). </w:t>
      </w:r>
      <w:r w:rsidR="009804DD"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t>Funcționarii</w:t>
      </w:r>
      <w:r w:rsidRPr="00DC0497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APIA efectuează controlul la faţa locului în baza normelor şi procedurilor APIA în vigoare.</w:t>
      </w:r>
    </w:p>
    <w:p w14:paraId="7628747C" w14:textId="77777777" w:rsidR="003D4427" w:rsidRPr="00B12662" w:rsidRDefault="003D4427" w:rsidP="00EE227A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Elementele controalelor la faţa locului:      </w:t>
      </w:r>
    </w:p>
    <w:p w14:paraId="0909BB5A" w14:textId="5A358D61" w:rsidR="003D4427" w:rsidRPr="00B12662" w:rsidRDefault="003D4427" w:rsidP="00EE227A">
      <w:pPr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(1)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Controalele la faţa locului vizează exploatația și toate parcelele agricole pentru care se solicită sprijin </w:t>
      </w:r>
      <w:r w:rsidR="001A4EE0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ş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i care intră în sfera de aplicare a sistemului integrat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</w:p>
    <w:p w14:paraId="55651A60" w14:textId="2EF380FA" w:rsidR="003D4427" w:rsidRPr="00B12662" w:rsidRDefault="001A4EE0" w:rsidP="00EE227A">
      <w:pPr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 w:rsidDel="001A4EE0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3D4427"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>(2)</w:t>
      </w: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 xml:space="preserve"> </w:t>
      </w:r>
      <w:r w:rsidR="003D4427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Controalele vizează măsurarea suprafeţelor 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agricole</w:t>
      </w:r>
      <w:r w:rsidR="0018378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, confirmarea culturii declarate, a categoriei de folosință a terenului,</w:t>
      </w:r>
      <w:r w:rsidR="00D73BAD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</w:t>
      </w:r>
      <w:r w:rsidR="003D4427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verificarea criteriilor de eligibilitate, a angajamentelor şi altor obligaţii privind suprafaţa declarată de beneficiar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22B1B4EF" w14:textId="50976432" w:rsidR="003D4427" w:rsidRPr="00B12662" w:rsidRDefault="003D4427" w:rsidP="00EE227A">
      <w:pPr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t xml:space="preserve">(3) 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Controalele referitoare la practicile de ecologizare vizează toate 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obligațiile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care trebuie respectate de beneficiar. </w:t>
      </w:r>
    </w:p>
    <w:p w14:paraId="6FB12A7B" w14:textId="2E7512D4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Controlul prin teledetecție se efectuează pe baza imaginilor multispectrale de înaltă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și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foarte înaltă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rezoluție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pe care s-au interpretat stadiul de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vegetație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al culturilor, limitele de culturi sau parcelele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și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tipurile de culturi, imaginile fiind preluate în etape diferite în lunile aprilie, mai, iunie, iulie</w:t>
      </w:r>
      <w:r w:rsidR="00D73BAD">
        <w:rPr>
          <w:rFonts w:ascii="Times New Roman" w:hAnsi="Times New Roman" w:cs="Times New Roman"/>
          <w:noProof/>
          <w:sz w:val="24"/>
          <w:szCs w:val="24"/>
          <w:lang w:val="ro-RO"/>
        </w:rPr>
        <w:t>,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august și septembrie. Zona de control este structurată pe </w:t>
      </w:r>
      <w:r w:rsidR="00A136C7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mai multe 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zone separate (site-uri) amplasate pe întreg teritoriul 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României.</w:t>
      </w:r>
    </w:p>
    <w:p w14:paraId="7AB79E00" w14:textId="2812D6BA" w:rsidR="003D4427" w:rsidRPr="00B12662" w:rsidRDefault="003D4427" w:rsidP="003D4427">
      <w:pPr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În procesul de fotointerpretare, ce are în vedere identificarea și digitizarea parcelelor realizată de fermieri în IPA –online, se determină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suprafața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fiecărei parcele ținând cont de  limitele parcelelor din care au fost excluse suprafețele neeligibile intersectate cu schițele realizate de fermieri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</w:p>
    <w:p w14:paraId="437D45BC" w14:textId="6AC7BC4A" w:rsidR="00063DF8" w:rsidRPr="00C84990" w:rsidRDefault="003D4427" w:rsidP="003D4427">
      <w:pPr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ro-RO"/>
        </w:rPr>
      </w:pP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lastRenderedPageBreak/>
        <w:t xml:space="preserve">Pentru fermele care în urma controlului prin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teledetecție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au cel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puțin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o parcelă cu cod tehnic ce semnalează diferite neconformități (de exemplu: suprafețe confirmate în urma controlului mai mici decât cele declarate), se realizează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acțiunea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de “follow-up” care are drept scop clarificarea cu fermierul a neconformităților identificate în cadrul controlului prin </w:t>
      </w:r>
      <w:r w:rsidR="00D73BAD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teledetecție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. De asemenea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>,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în cadrul acțiunii</w:t>
      </w:r>
      <w:r w:rsidR="00EE227A"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de</w:t>
      </w:r>
      <w:r w:rsidRPr="00B12662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“follow-up” pot fi remediate și inconsistențele generate de poziționarea greșită a parcelelor în cadrul blocului fizic.</w:t>
      </w:r>
    </w:p>
    <w:sectPr w:rsidR="00063DF8" w:rsidRPr="00C84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3EF0"/>
    <w:multiLevelType w:val="hybridMultilevel"/>
    <w:tmpl w:val="58FAF8D8"/>
    <w:lvl w:ilvl="0" w:tplc="F774E4C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D05F0"/>
    <w:multiLevelType w:val="hybridMultilevel"/>
    <w:tmpl w:val="E32A4B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E72FEF"/>
    <w:multiLevelType w:val="hybridMultilevel"/>
    <w:tmpl w:val="517EC1A0"/>
    <w:lvl w:ilvl="0" w:tplc="9DF65C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F0D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7A0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38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8A98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6AC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74F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20E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0A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5396CA3"/>
    <w:multiLevelType w:val="hybridMultilevel"/>
    <w:tmpl w:val="EB3298BE"/>
    <w:lvl w:ilvl="0" w:tplc="184C6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F83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D6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4A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5ED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69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B8CC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A0E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8D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A403186"/>
    <w:multiLevelType w:val="hybridMultilevel"/>
    <w:tmpl w:val="27A8E68E"/>
    <w:lvl w:ilvl="0" w:tplc="790C379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150A4"/>
    <w:multiLevelType w:val="hybridMultilevel"/>
    <w:tmpl w:val="F89E83CC"/>
    <w:lvl w:ilvl="0" w:tplc="790C379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427"/>
    <w:rsid w:val="00063DF8"/>
    <w:rsid w:val="0018378D"/>
    <w:rsid w:val="001A4EE0"/>
    <w:rsid w:val="00247403"/>
    <w:rsid w:val="003D4427"/>
    <w:rsid w:val="0072577D"/>
    <w:rsid w:val="0079438F"/>
    <w:rsid w:val="00902BF2"/>
    <w:rsid w:val="00960360"/>
    <w:rsid w:val="009804DD"/>
    <w:rsid w:val="009E2F64"/>
    <w:rsid w:val="00A115AD"/>
    <w:rsid w:val="00A136C7"/>
    <w:rsid w:val="00B12662"/>
    <w:rsid w:val="00C84990"/>
    <w:rsid w:val="00D73BAD"/>
    <w:rsid w:val="00DC0497"/>
    <w:rsid w:val="00EE227A"/>
    <w:rsid w:val="00FB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D0E1B"/>
  <w15:chartTrackingRefBased/>
  <w15:docId w15:val="{A37CC93A-C7C9-4333-B00C-7ABC3A17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36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13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</dc:creator>
  <cp:keywords/>
  <dc:description/>
  <cp:lastModifiedBy>Mioara Mot</cp:lastModifiedBy>
  <cp:revision>3</cp:revision>
  <cp:lastPrinted>2022-02-28T10:52:00Z</cp:lastPrinted>
  <dcterms:created xsi:type="dcterms:W3CDTF">2022-02-28T11:15:00Z</dcterms:created>
  <dcterms:modified xsi:type="dcterms:W3CDTF">2022-02-28T11:28:00Z</dcterms:modified>
</cp:coreProperties>
</file>