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8E9A" w14:textId="06D484F8" w:rsidR="00FC270C" w:rsidRDefault="00D93752" w:rsidP="0028597E">
      <w:pPr>
        <w:spacing w:before="120" w:after="0"/>
        <w:ind w:left="2160" w:firstLine="2880"/>
        <w:jc w:val="left"/>
        <w:rPr>
          <w:rFonts w:ascii="Times New Roman" w:hAnsi="Times New Roman" w:cs="Times New Roman"/>
        </w:rPr>
      </w:pPr>
      <w:r w:rsidRPr="00DF5B2A">
        <w:rPr>
          <w:rFonts w:ascii="Times New Roman" w:eastAsia="Trebuchet MS" w:hAnsi="Times New Roman" w:cs="Times New Roman"/>
          <w:b/>
          <w:sz w:val="24"/>
          <w:szCs w:val="24"/>
        </w:rPr>
        <w:t xml:space="preserve">          </w:t>
      </w:r>
      <w:r w:rsidRPr="00DF5B2A">
        <w:rPr>
          <w:rFonts w:ascii="Times New Roman" w:eastAsia="Trebuchet MS" w:hAnsi="Times New Roman" w:cs="Times New Roman"/>
          <w:b/>
          <w:sz w:val="24"/>
          <w:szCs w:val="24"/>
        </w:rPr>
        <w:tab/>
        <w:t xml:space="preserve"> </w:t>
      </w:r>
      <w:r w:rsidRPr="00DF5B2A">
        <w:rPr>
          <w:rFonts w:ascii="Times New Roman" w:eastAsia="Trebuchet MS" w:hAnsi="Times New Roman" w:cs="Times New Roman"/>
          <w:b/>
          <w:sz w:val="24"/>
          <w:szCs w:val="24"/>
        </w:rPr>
        <w:tab/>
      </w:r>
      <w:r w:rsidRPr="00DF5B2A">
        <w:rPr>
          <w:rFonts w:ascii="Times New Roman" w:eastAsia="Trebuchet MS" w:hAnsi="Times New Roman" w:cs="Times New Roman"/>
          <w:b/>
          <w:sz w:val="24"/>
          <w:szCs w:val="24"/>
        </w:rPr>
        <w:tab/>
      </w:r>
    </w:p>
    <w:p w14:paraId="020D1C8E" w14:textId="22C74DAA" w:rsidR="0028597E" w:rsidRDefault="0034527D" w:rsidP="0028597E">
      <w:pPr>
        <w:spacing w:before="120" w:after="0"/>
        <w:jc w:val="center"/>
        <w:rPr>
          <w:rFonts w:ascii="Times New Roman" w:hAnsi="Times New Roman" w:cs="Times New Roman"/>
          <w:b/>
          <w:bCs/>
          <w:sz w:val="24"/>
          <w:szCs w:val="24"/>
        </w:rPr>
      </w:pPr>
      <w:r>
        <w:rPr>
          <w:rFonts w:ascii="Times New Roman" w:hAnsi="Times New Roman" w:cs="Times New Roman"/>
          <w:b/>
          <w:bCs/>
          <w:sz w:val="24"/>
          <w:szCs w:val="24"/>
        </w:rPr>
        <w:t>ANUNȚ</w:t>
      </w:r>
    </w:p>
    <w:p w14:paraId="691170B6" w14:textId="13B0B60C" w:rsidR="0028597E" w:rsidRPr="0028597E" w:rsidRDefault="0028597E" w:rsidP="0028597E">
      <w:pPr>
        <w:spacing w:before="120" w:after="0"/>
        <w:jc w:val="center"/>
        <w:rPr>
          <w:rFonts w:ascii="Times New Roman" w:hAnsi="Times New Roman" w:cs="Times New Roman"/>
          <w:b/>
          <w:bCs/>
          <w:sz w:val="24"/>
          <w:szCs w:val="24"/>
        </w:rPr>
      </w:pPr>
      <w:r>
        <w:rPr>
          <w:rFonts w:ascii="Times New Roman" w:hAnsi="Times New Roman" w:cs="Times New Roman"/>
          <w:b/>
          <w:bCs/>
          <w:sz w:val="24"/>
          <w:szCs w:val="24"/>
        </w:rPr>
        <w:t xml:space="preserve">privind </w:t>
      </w:r>
      <w:r w:rsidRPr="0028597E">
        <w:rPr>
          <w:rFonts w:ascii="Times New Roman" w:hAnsi="Times New Roman" w:cs="Times New Roman"/>
          <w:b/>
          <w:bCs/>
          <w:sz w:val="24"/>
          <w:szCs w:val="24"/>
        </w:rPr>
        <w:t>apelul de proiecte Sprijinirea investiţiilor în noi capacităţi de producere a energiei electrice din surse regenerabile de energie eoliană și solară, cu sau fără instalații de stocare integrate, finanțat prin PNRR, în cadrul Componentei 6-Energie, măsura de investiții I.1 – Noi capacități de producție de energie electrică din surse regenerabile</w:t>
      </w:r>
      <w:r>
        <w:rPr>
          <w:rFonts w:ascii="Times New Roman" w:hAnsi="Times New Roman" w:cs="Times New Roman"/>
          <w:b/>
          <w:bCs/>
          <w:sz w:val="24"/>
          <w:szCs w:val="24"/>
        </w:rPr>
        <w:t>, lansat de Ministerul Energiei în data de 31.03.2022</w:t>
      </w:r>
    </w:p>
    <w:p w14:paraId="10A7FFFF" w14:textId="77777777" w:rsidR="0028597E" w:rsidRPr="0028597E" w:rsidRDefault="0028597E" w:rsidP="0028597E">
      <w:pPr>
        <w:spacing w:before="120" w:after="0"/>
        <w:jc w:val="center"/>
        <w:rPr>
          <w:rFonts w:ascii="Times New Roman" w:hAnsi="Times New Roman" w:cs="Times New Roman"/>
          <w:b/>
          <w:bCs/>
          <w:sz w:val="24"/>
          <w:szCs w:val="24"/>
        </w:rPr>
      </w:pPr>
    </w:p>
    <w:p w14:paraId="1BC0A40E" w14:textId="77777777" w:rsidR="0028597E" w:rsidRDefault="0028597E" w:rsidP="0028597E">
      <w:pPr>
        <w:spacing w:before="120" w:after="0"/>
        <w:jc w:val="center"/>
        <w:rPr>
          <w:rFonts w:ascii="Times New Roman" w:hAnsi="Times New Roman" w:cs="Times New Roman"/>
        </w:rPr>
      </w:pPr>
    </w:p>
    <w:p w14:paraId="3DD4DC86" w14:textId="7D10A7C4" w:rsidR="00D7799B" w:rsidRPr="0093089F" w:rsidRDefault="00D7799B" w:rsidP="0028597E">
      <w:pPr>
        <w:pStyle w:val="BodyText"/>
        <w:ind w:left="0" w:right="-7"/>
        <w:jc w:val="both"/>
        <w:rPr>
          <w:b/>
        </w:rPr>
      </w:pPr>
      <w:r w:rsidRPr="0093089F">
        <w:rPr>
          <w:b/>
        </w:rPr>
        <w:t>Luând în considerare că:</w:t>
      </w:r>
    </w:p>
    <w:p w14:paraId="07E90FA3" w14:textId="56344609" w:rsidR="0028597E" w:rsidRPr="00E2517E" w:rsidRDefault="0028597E" w:rsidP="00D7799B">
      <w:pPr>
        <w:pStyle w:val="BodyText"/>
        <w:numPr>
          <w:ilvl w:val="0"/>
          <w:numId w:val="5"/>
        </w:numPr>
        <w:ind w:right="-7"/>
        <w:jc w:val="both"/>
      </w:pPr>
      <w:r w:rsidRPr="00E2517E">
        <w:rPr>
          <w:bCs/>
        </w:rPr>
        <w:t xml:space="preserve">Ministerul Energiei a lansat, în data de 31.03.2022, apelul de proiecte </w:t>
      </w:r>
      <w:r w:rsidRPr="00E2517E">
        <w:rPr>
          <w:bCs/>
          <w:i/>
          <w:iCs/>
        </w:rPr>
        <w:t>Sprijinirea investiţiilor în noi capacităţi de producere a energiei electrice din surse regenerabile de energie eoliană și solară, cu sau fără instalații de stocare integrate</w:t>
      </w:r>
      <w:r w:rsidRPr="00E2517E">
        <w:rPr>
          <w:bCs/>
        </w:rPr>
        <w:t>, finanțat prin PNRR, în cadrul Componentei 6-Energie, măsura de investiții I.1 – Noi capacități de producție de energie electrică din surse regenerabile.</w:t>
      </w:r>
      <w:r>
        <w:rPr>
          <w:bCs/>
        </w:rPr>
        <w:t xml:space="preserve"> Prin intermediul acestui apel, </w:t>
      </w:r>
      <w:r>
        <w:t>bazat</w:t>
      </w:r>
      <w:r w:rsidRPr="00E2517E">
        <w:rPr>
          <w:spacing w:val="-1"/>
        </w:rPr>
        <w:t xml:space="preserve"> </w:t>
      </w:r>
      <w:r w:rsidRPr="00E2517E">
        <w:t>pe</w:t>
      </w:r>
      <w:r w:rsidRPr="00E2517E">
        <w:rPr>
          <w:spacing w:val="-1"/>
        </w:rPr>
        <w:t xml:space="preserve"> </w:t>
      </w:r>
      <w:r w:rsidRPr="00E2517E">
        <w:t>procedură</w:t>
      </w:r>
      <w:r w:rsidRPr="00E2517E">
        <w:rPr>
          <w:spacing w:val="-2"/>
        </w:rPr>
        <w:t xml:space="preserve"> </w:t>
      </w:r>
      <w:r w:rsidRPr="00E2517E">
        <w:t>de</w:t>
      </w:r>
      <w:r w:rsidRPr="00E2517E">
        <w:rPr>
          <w:spacing w:val="-1"/>
        </w:rPr>
        <w:t xml:space="preserve"> </w:t>
      </w:r>
      <w:r w:rsidRPr="00E2517E">
        <w:t>ofertare</w:t>
      </w:r>
      <w:r w:rsidRPr="00E2517E">
        <w:rPr>
          <w:spacing w:val="-1"/>
        </w:rPr>
        <w:t xml:space="preserve"> </w:t>
      </w:r>
      <w:r w:rsidRPr="00E2517E">
        <w:t>concurențială</w:t>
      </w:r>
      <w:r>
        <w:t>,</w:t>
      </w:r>
      <w:r>
        <w:rPr>
          <w:bCs/>
        </w:rPr>
        <w:t xml:space="preserve"> se acordă</w:t>
      </w:r>
      <w:r w:rsidRPr="00E2517E">
        <w:rPr>
          <w:bCs/>
        </w:rPr>
        <w:t xml:space="preserve"> </w:t>
      </w:r>
      <w:r>
        <w:rPr>
          <w:bCs/>
        </w:rPr>
        <w:t>s</w:t>
      </w:r>
      <w:r w:rsidRPr="00E2517E">
        <w:t>prijin financiar pentru investiţii</w:t>
      </w:r>
      <w:r>
        <w:t>le</w:t>
      </w:r>
      <w:r w:rsidRPr="00E2517E">
        <w:t xml:space="preserve"> destinate producţiei de energie</w:t>
      </w:r>
      <w:r w:rsidRPr="00E2517E">
        <w:rPr>
          <w:spacing w:val="1"/>
        </w:rPr>
        <w:t xml:space="preserve"> </w:t>
      </w:r>
      <w:r w:rsidRPr="00E2517E">
        <w:t>electrică din surse regenerabile</w:t>
      </w:r>
      <w:r w:rsidRPr="00E2517E">
        <w:rPr>
          <w:spacing w:val="1"/>
        </w:rPr>
        <w:t xml:space="preserve"> </w:t>
      </w:r>
      <w:r w:rsidRPr="00E2517E">
        <w:t>de energie eoliană și solară, cu sau fără instalații de stocare integrate, contribuind la atingerea obiectivelor</w:t>
      </w:r>
      <w:r w:rsidRPr="00E2517E">
        <w:rPr>
          <w:spacing w:val="1"/>
        </w:rPr>
        <w:t xml:space="preserve"> </w:t>
      </w:r>
      <w:r w:rsidRPr="00E2517E">
        <w:t>asumate de România în cadrul PNRR</w:t>
      </w:r>
      <w:r w:rsidR="00D7799B">
        <w:t>;</w:t>
      </w:r>
    </w:p>
    <w:p w14:paraId="00ED9185" w14:textId="0DE5E56E" w:rsidR="0028597E" w:rsidRDefault="0028597E" w:rsidP="00D7799B">
      <w:pPr>
        <w:pStyle w:val="BodyText"/>
        <w:numPr>
          <w:ilvl w:val="0"/>
          <w:numId w:val="5"/>
        </w:numPr>
        <w:ind w:right="-7"/>
        <w:jc w:val="both"/>
      </w:pPr>
      <w:r w:rsidRPr="00E2517E">
        <w:t>Bugetul total estimat al schemei este echivalentul în lei a sumei de 595.010.000 euro, compus din 457.700.000 euro fonduri europene nerambursabile asigurate prin Mecanismul de Redresare și Reziliență în cadrul Planului Național de Redresare și Reziliență – Componenta C.6 Energie și fonduri naționale de 137.310.000 euro prin aplicarea procentului de supracontractare de 30%</w:t>
      </w:r>
      <w:r w:rsidR="00D7799B">
        <w:t>;</w:t>
      </w:r>
    </w:p>
    <w:p w14:paraId="3789DBCC" w14:textId="519AB9D8" w:rsidR="00D7799B" w:rsidRDefault="00621C9A" w:rsidP="0093089F">
      <w:pPr>
        <w:pStyle w:val="BodyText"/>
        <w:numPr>
          <w:ilvl w:val="0"/>
          <w:numId w:val="5"/>
        </w:numPr>
        <w:ind w:right="-7"/>
        <w:jc w:val="both"/>
      </w:pPr>
      <w:r>
        <w:t>În perioada alocată depunerii proiectelor au fost depuse 744 de cereri de finanțare, aferente unor proiecte cu grad de complexitate ridicat</w:t>
      </w:r>
      <w:r w:rsidR="0093089F">
        <w:t>;</w:t>
      </w:r>
    </w:p>
    <w:p w14:paraId="70D8135C" w14:textId="41FB74C9" w:rsidR="00D7799B" w:rsidRDefault="00D7799B" w:rsidP="00D7799B">
      <w:pPr>
        <w:pStyle w:val="BodyText"/>
        <w:numPr>
          <w:ilvl w:val="0"/>
          <w:numId w:val="6"/>
        </w:numPr>
        <w:ind w:right="-7"/>
        <w:jc w:val="both"/>
      </w:pPr>
      <w:r>
        <w:t>T</w:t>
      </w:r>
      <w:r w:rsidR="00621C9A">
        <w:t>ermenul îndelungat de la data limită de depunere a cererilor de finanțare, 15.06.2022 și până în prezent, respectiv</w:t>
      </w:r>
      <w:r w:rsidR="00621C9A" w:rsidRPr="00621C9A">
        <w:rPr>
          <w:b/>
          <w:bCs/>
        </w:rPr>
        <w:t xml:space="preserve"> 1 an și 4 luni</w:t>
      </w:r>
      <w:r w:rsidR="00621C9A">
        <w:rPr>
          <w:b/>
          <w:bCs/>
        </w:rPr>
        <w:t xml:space="preserve">, </w:t>
      </w:r>
      <w:r w:rsidR="00621C9A">
        <w:t>timp în care toți operatorii economici aplicanți puteau obține toate documentele necesare, în vederea semnării contractelor de finanțare, potrivit prevederilor Ghidului specific aprobat prin Ordinul ministrului energiei nr. 282/30.03.2022</w:t>
      </w:r>
      <w:r>
        <w:t>;</w:t>
      </w:r>
    </w:p>
    <w:p w14:paraId="5181F422" w14:textId="77777777" w:rsidR="00D7799B" w:rsidRDefault="00D7799B" w:rsidP="00D7799B">
      <w:pPr>
        <w:pStyle w:val="BodyText"/>
        <w:numPr>
          <w:ilvl w:val="0"/>
          <w:numId w:val="6"/>
        </w:numPr>
        <w:ind w:right="-7"/>
        <w:jc w:val="both"/>
      </w:pPr>
      <w:r>
        <w:t>F</w:t>
      </w:r>
      <w:r w:rsidR="00621C9A">
        <w:t>aptul că perioada de evaluare a cererilor de finanțare se apropie de final</w:t>
      </w:r>
      <w:r>
        <w:t>;</w:t>
      </w:r>
    </w:p>
    <w:p w14:paraId="447D2C08" w14:textId="1F907573" w:rsidR="00D7799B" w:rsidRDefault="00D7799B" w:rsidP="00D7799B">
      <w:pPr>
        <w:pStyle w:val="BodyText"/>
        <w:numPr>
          <w:ilvl w:val="0"/>
          <w:numId w:val="6"/>
        </w:numPr>
        <w:ind w:right="-7"/>
        <w:jc w:val="both"/>
      </w:pPr>
      <w:r>
        <w:t>Faptul</w:t>
      </w:r>
      <w:r w:rsidR="00621C9A">
        <w:t xml:space="preserve"> că acest jalon din PNRR trebuie să atingă </w:t>
      </w:r>
      <w:r w:rsidR="00621C9A" w:rsidRPr="0093089F">
        <w:rPr>
          <w:b/>
          <w:bCs/>
        </w:rPr>
        <w:t>950 MW</w:t>
      </w:r>
      <w:r w:rsidR="00621C9A" w:rsidRPr="00E2517E">
        <w:t xml:space="preserve"> </w:t>
      </w:r>
      <w:r w:rsidR="00621C9A" w:rsidRPr="0093089F">
        <w:rPr>
          <w:b/>
          <w:bCs/>
        </w:rPr>
        <w:t>capacit</w:t>
      </w:r>
      <w:r w:rsidR="0093089F" w:rsidRPr="0093089F">
        <w:rPr>
          <w:b/>
          <w:bCs/>
        </w:rPr>
        <w:t>a</w:t>
      </w:r>
      <w:r w:rsidR="00621C9A" w:rsidRPr="0093089F">
        <w:rPr>
          <w:b/>
          <w:bCs/>
        </w:rPr>
        <w:t>te instalată</w:t>
      </w:r>
      <w:r w:rsidR="00621C9A" w:rsidRPr="00E2517E">
        <w:t xml:space="preserve"> de producere a energiei electrice din sursă de energie eoliană și solară, cu sau fără instalații de stocare integrate, cu încadrarea în termenul stabilit, </w:t>
      </w:r>
      <w:r w:rsidR="00621C9A" w:rsidRPr="00E2517E">
        <w:rPr>
          <w:b/>
          <w:bCs/>
        </w:rPr>
        <w:t>30.06.2024</w:t>
      </w:r>
      <w:r w:rsidR="00621C9A" w:rsidRPr="00E2517E">
        <w:t>, pentru finalizarea investițiilor, respectiv instalare, conectare la rețea și punere în funcțiune</w:t>
      </w:r>
      <w:r w:rsidR="00621C9A">
        <w:t xml:space="preserve">, </w:t>
      </w:r>
    </w:p>
    <w:p w14:paraId="050B9FB2" w14:textId="192AC11A" w:rsidR="0093089F" w:rsidRPr="0093089F" w:rsidRDefault="0093089F" w:rsidP="0093089F">
      <w:pPr>
        <w:pStyle w:val="BodyText"/>
        <w:ind w:right="-7"/>
        <w:jc w:val="both"/>
        <w:rPr>
          <w:b/>
          <w:bCs/>
        </w:rPr>
      </w:pPr>
      <w:r w:rsidRPr="0093089F">
        <w:rPr>
          <w:b/>
          <w:bCs/>
        </w:rPr>
        <w:t xml:space="preserve">În scopul: </w:t>
      </w:r>
    </w:p>
    <w:p w14:paraId="3B8AB13D" w14:textId="3CB45074" w:rsidR="0093089F" w:rsidRDefault="0093089F" w:rsidP="0093089F">
      <w:pPr>
        <w:pStyle w:val="BodyText"/>
        <w:numPr>
          <w:ilvl w:val="0"/>
          <w:numId w:val="7"/>
        </w:numPr>
        <w:ind w:right="-7"/>
        <w:jc w:val="both"/>
      </w:pPr>
      <w:r>
        <w:t xml:space="preserve">Îndeplinirii obligațiilor asumate de România prin Planul Național de Redresare și Reziliență </w:t>
      </w:r>
      <w:r w:rsidRPr="00E2517E">
        <w:t>– Componenta C.6 Energ</w:t>
      </w:r>
      <w:r>
        <w:t xml:space="preserve">ie, </w:t>
      </w:r>
      <w:r w:rsidRPr="00E2517E">
        <w:rPr>
          <w:bCs/>
        </w:rPr>
        <w:t>măsura de investiții I.1 – Noi capacități de producție de energie electrică din surse regenerabile</w:t>
      </w:r>
      <w:r>
        <w:rPr>
          <w:bCs/>
        </w:rPr>
        <w:t>, până la data de 30.06.2024</w:t>
      </w:r>
      <w:r>
        <w:t>;</w:t>
      </w:r>
    </w:p>
    <w:p w14:paraId="70D22E4A" w14:textId="58DAE772" w:rsidR="0093089F" w:rsidRPr="0093089F" w:rsidRDefault="0093089F" w:rsidP="0093089F">
      <w:pPr>
        <w:pStyle w:val="BodyText"/>
        <w:numPr>
          <w:ilvl w:val="0"/>
          <w:numId w:val="7"/>
        </w:numPr>
        <w:ind w:right="-7"/>
        <w:jc w:val="both"/>
      </w:pPr>
      <w:r>
        <w:t xml:space="preserve">Accelerării procesului de contractare în cadrul apelului de proiecte </w:t>
      </w:r>
      <w:r w:rsidRPr="00E2517E">
        <w:rPr>
          <w:bCs/>
          <w:i/>
          <w:iCs/>
        </w:rPr>
        <w:t>Sprijinirea investiţiilor în noi capacităţi de producere a energiei electrice din surse regenerabile de energie eoliană și solară, cu sau fără instalații de stocare integrate</w:t>
      </w:r>
    </w:p>
    <w:p w14:paraId="239DB5F7" w14:textId="77777777" w:rsidR="0093089F" w:rsidRDefault="0093089F" w:rsidP="0093089F">
      <w:pPr>
        <w:pStyle w:val="BodyText"/>
        <w:ind w:right="-7"/>
        <w:jc w:val="both"/>
        <w:rPr>
          <w:bCs/>
          <w:i/>
          <w:iCs/>
        </w:rPr>
      </w:pPr>
    </w:p>
    <w:p w14:paraId="69099C4E" w14:textId="77777777" w:rsidR="0093089F" w:rsidRPr="0093089F" w:rsidRDefault="0093089F" w:rsidP="0093089F">
      <w:pPr>
        <w:pStyle w:val="BodyText"/>
        <w:ind w:right="-7"/>
        <w:jc w:val="both"/>
      </w:pPr>
    </w:p>
    <w:p w14:paraId="0B5B4AE2" w14:textId="16B9A16E" w:rsidR="00D7799B" w:rsidRDefault="00621C9A" w:rsidP="00D7799B">
      <w:pPr>
        <w:pStyle w:val="BodyText"/>
        <w:ind w:left="0" w:right="-7"/>
        <w:jc w:val="center"/>
      </w:pPr>
      <w:r>
        <w:t>Minist</w:t>
      </w:r>
      <w:r w:rsidR="0093089F">
        <w:t>rul</w:t>
      </w:r>
      <w:r>
        <w:t xml:space="preserve"> </w:t>
      </w:r>
      <w:r w:rsidR="0093089F">
        <w:t>e</w:t>
      </w:r>
      <w:r>
        <w:t>nergiei emite prezent</w:t>
      </w:r>
      <w:r w:rsidR="0034527D">
        <w:t>ul</w:t>
      </w:r>
    </w:p>
    <w:p w14:paraId="283C1EDD" w14:textId="77777777" w:rsidR="0093089F" w:rsidRDefault="0093089F" w:rsidP="00D7799B">
      <w:pPr>
        <w:pStyle w:val="BodyText"/>
        <w:ind w:left="0" w:right="-7"/>
        <w:jc w:val="center"/>
      </w:pPr>
    </w:p>
    <w:p w14:paraId="0768342F" w14:textId="79553226" w:rsidR="00D7799B" w:rsidRPr="00D7799B" w:rsidRDefault="0034527D" w:rsidP="00D7799B">
      <w:pPr>
        <w:pStyle w:val="BodyText"/>
        <w:ind w:left="0" w:right="-7"/>
        <w:jc w:val="center"/>
        <w:rPr>
          <w:b/>
          <w:bCs/>
        </w:rPr>
      </w:pPr>
      <w:r>
        <w:rPr>
          <w:b/>
          <w:bCs/>
        </w:rPr>
        <w:t>ANUNȚ</w:t>
      </w:r>
    </w:p>
    <w:p w14:paraId="64E1651F" w14:textId="77777777" w:rsidR="0034527D" w:rsidRDefault="0034527D" w:rsidP="0093089F">
      <w:pPr>
        <w:pStyle w:val="BodyText"/>
        <w:ind w:left="0" w:right="-7"/>
        <w:jc w:val="both"/>
      </w:pPr>
    </w:p>
    <w:p w14:paraId="560FA009" w14:textId="0DC80256" w:rsidR="00157BDE" w:rsidRDefault="0093089F" w:rsidP="0034527D">
      <w:pPr>
        <w:pStyle w:val="BodyText"/>
        <w:numPr>
          <w:ilvl w:val="0"/>
          <w:numId w:val="11"/>
        </w:numPr>
        <w:ind w:left="360" w:right="-7"/>
        <w:jc w:val="both"/>
      </w:pPr>
      <w:r>
        <w:t>S</w:t>
      </w:r>
      <w:r w:rsidR="00A9707F">
        <w:t xml:space="preserve">olicitanții finanțării </w:t>
      </w:r>
      <w:r w:rsidR="00157BDE">
        <w:t>vor întreprinde toate demersurile pentru a obține</w:t>
      </w:r>
      <w:r w:rsidR="00A9707F">
        <w:t xml:space="preserve"> toate documentele necesare încheierii contractului de finanțare, pentru situația în care vor ajunge în acestă etapă, astfel încât, de la data primirii notificării în vederea contractării, într-un termen care nu poate depăși 10 zile, să trimită toate documentele minim obligatorii, dacă acestea nu mai sunt în perioada de valabilitate, sau nu au fost depuse odată cu oferta.</w:t>
      </w:r>
    </w:p>
    <w:p w14:paraId="37D7048E" w14:textId="77777777" w:rsidR="0034527D" w:rsidRDefault="0034527D" w:rsidP="0034527D">
      <w:pPr>
        <w:pStyle w:val="BodyText"/>
        <w:ind w:left="360" w:right="-7"/>
        <w:jc w:val="both"/>
      </w:pPr>
    </w:p>
    <w:p w14:paraId="4016FA85" w14:textId="07F35A5D" w:rsidR="00621C9A" w:rsidRPr="00621C9A" w:rsidRDefault="00A9707F" w:rsidP="0034527D">
      <w:pPr>
        <w:pStyle w:val="BodyText"/>
        <w:numPr>
          <w:ilvl w:val="0"/>
          <w:numId w:val="11"/>
        </w:numPr>
        <w:ind w:left="360" w:right="-7"/>
        <w:jc w:val="both"/>
      </w:pPr>
      <w:r>
        <w:t>În situația în care operatorul economic notificat în etapa de precontractare nu transmite documentele solicitate în</w:t>
      </w:r>
      <w:r w:rsidR="0034527D">
        <w:t>tr-un</w:t>
      </w:r>
      <w:r>
        <w:t xml:space="preserve"> termen de 10 zile, precizat </w:t>
      </w:r>
      <w:r w:rsidR="00157BDE">
        <w:t>la art. 1</w:t>
      </w:r>
      <w:r>
        <w:t xml:space="preserve">, </w:t>
      </w:r>
      <w:r w:rsidRPr="00A9707F">
        <w:t xml:space="preserve">Ministerul Energiei poate </w:t>
      </w:r>
      <w:r w:rsidR="0034527D">
        <w:t xml:space="preserve">analiza </w:t>
      </w:r>
      <w:r>
        <w:t>r</w:t>
      </w:r>
      <w:r w:rsidRPr="00A9707F">
        <w:t>espinge</w:t>
      </w:r>
      <w:r w:rsidR="0034527D">
        <w:t>rea</w:t>
      </w:r>
      <w:r w:rsidRPr="00A9707F">
        <w:t xml:space="preserve"> </w:t>
      </w:r>
      <w:r>
        <w:t>cerere</w:t>
      </w:r>
      <w:r w:rsidR="0034527D">
        <w:t>rii</w:t>
      </w:r>
      <w:r>
        <w:t xml:space="preserve"> de finanțare</w:t>
      </w:r>
      <w:r w:rsidRPr="00A9707F">
        <w:t xml:space="preserve">, trecând la următorul </w:t>
      </w:r>
      <w:r>
        <w:t>operator economic din clasamentul realizat pe baza punctajelor obținute</w:t>
      </w:r>
      <w:r w:rsidR="001E353C">
        <w:t xml:space="preserve"> în etapa de evaluare</w:t>
      </w:r>
      <w:r w:rsidRPr="00A9707F">
        <w:t>.</w:t>
      </w:r>
      <w:r>
        <w:t xml:space="preserve"> </w:t>
      </w:r>
    </w:p>
    <w:p w14:paraId="5EE7DA40" w14:textId="77777777" w:rsidR="0034527D" w:rsidRDefault="0034527D" w:rsidP="0093089F">
      <w:pPr>
        <w:pStyle w:val="BodyText"/>
        <w:ind w:left="0" w:right="-7"/>
        <w:jc w:val="both"/>
        <w:rPr>
          <w:b/>
          <w:bCs/>
        </w:rPr>
      </w:pPr>
    </w:p>
    <w:p w14:paraId="38D3EA70" w14:textId="51CDCABF" w:rsidR="001E353C" w:rsidRDefault="0028597E" w:rsidP="0034527D">
      <w:pPr>
        <w:pStyle w:val="BodyText"/>
        <w:numPr>
          <w:ilvl w:val="0"/>
          <w:numId w:val="11"/>
        </w:numPr>
        <w:ind w:left="360" w:right="-7"/>
        <w:jc w:val="both"/>
      </w:pPr>
      <w:r>
        <w:t>Potrivit prevederilor Ghidului solicitantului, aprobat prin Ordinul ministrului energiei nr. 282/30.03.2022, publicat pe pagina de internet a Ministerului Energiei, la secțiunea dedicată și cunoscut de către toți solicitanții, încheierea contractului de finanțare este condiționată de prezentarea următoarelor documente, în măsura în care acestea nu au fost depuse odată cu oferta:</w:t>
      </w:r>
    </w:p>
    <w:p w14:paraId="3CC32E53" w14:textId="73CEB748"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Certificatul de atestare fiscală emis de ANAF şi de Direcţia locală de taxe şi impozite, aflate în termenul de valabilitate, conform formatului specific pentru solicitarea de finanţare prin fonduri europene nerambursabile.</w:t>
      </w:r>
    </w:p>
    <w:p w14:paraId="26D4F8F3" w14:textId="76A9ED41"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Cazier fiscal al Solicitantului, aflat în termenul de valabilitate.</w:t>
      </w:r>
    </w:p>
    <w:p w14:paraId="535F511A" w14:textId="266B72AE"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Cazier judiciar al Reprezentantului legal, în termen de valabilitate</w:t>
      </w:r>
    </w:p>
    <w:p w14:paraId="0AB72F96" w14:textId="3AE6241D"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Aviz tehnic de racordare valabil pentru locul de producere.</w:t>
      </w:r>
    </w:p>
    <w:p w14:paraId="30A93881" w14:textId="61297F58"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Extras de carte funciară valabil care să ateste deținerea dreptului de folosință și care să probeze că imobilele /capacităţile existente vor fi libere de orice sarcini, că nu  fac obiectul unor litigii în curs de soluţionare la instanţele judecătoreşti cu privire la situaţia juridică, că nu fac obiectul revendicărilor potrivit unor legi speciale în materie sau dreptului comun.</w:t>
      </w:r>
    </w:p>
    <w:p w14:paraId="66E96A61" w14:textId="10F70300"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Scrisoare din partea instituției creditoare (banca) conform căreia aceasta se angajează că nu va executa clădirea/terenul respectivă/respectiv și investiția finanțată din PNRR pe o perioadă de cel puțin 5 ani de la punerea proiectului în exploatare, dacă este cazul.</w:t>
      </w:r>
    </w:p>
    <w:p w14:paraId="23A2E9F3" w14:textId="4CBE17BD"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Declarația privind beneficiarul real al persoanei juridice (solicitantului de finanțare), în care vor fi menționate datele privind beneficiarul real, document eliberat de ONRC.</w:t>
      </w:r>
    </w:p>
    <w:p w14:paraId="3BF5D988" w14:textId="2E5EB1F5"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Certificat de urbanism, în termen de valabilitate.</w:t>
      </w:r>
    </w:p>
    <w:p w14:paraId="61A71078" w14:textId="3473815D" w:rsidR="0028597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Declaratia pentru siturile Natura 2000/Avizul Natura 2000/răspunsul autorității competente, dacă este cazul</w:t>
      </w:r>
    </w:p>
    <w:p w14:paraId="612FB22B" w14:textId="303CDFB4"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Avizul de gospodărire a apelor, dacă este cazul</w:t>
      </w:r>
    </w:p>
    <w:p w14:paraId="7DD30F02" w14:textId="16C7B4E1" w:rsidR="0028597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Decizia de înfiinţare a UIP revizuită cu toate posturile ocupate, CV-urile și fişele de post ale membrilor UIP, precum și declarațiile privind conflictul de interese (conform Anexei 3.d) ale tuturor membrilor UIP (atât echipa internă, cât și echipa externă), dacă este cazul.</w:t>
      </w:r>
    </w:p>
    <w:p w14:paraId="75D448EF" w14:textId="77777777" w:rsidR="0034527D" w:rsidRDefault="0034527D" w:rsidP="0034527D">
      <w:pPr>
        <w:ind w:right="-7"/>
        <w:rPr>
          <w:rFonts w:ascii="Times New Roman" w:hAnsi="Times New Roman" w:cs="Times New Roman"/>
          <w:bCs/>
          <w:sz w:val="24"/>
          <w:szCs w:val="24"/>
        </w:rPr>
      </w:pPr>
    </w:p>
    <w:p w14:paraId="02C26DED" w14:textId="77777777" w:rsidR="0034527D" w:rsidRPr="0034527D" w:rsidRDefault="0034527D" w:rsidP="0034527D">
      <w:pPr>
        <w:ind w:right="-7"/>
        <w:rPr>
          <w:rFonts w:ascii="Times New Roman" w:hAnsi="Times New Roman" w:cs="Times New Roman"/>
          <w:bCs/>
          <w:sz w:val="24"/>
          <w:szCs w:val="24"/>
        </w:rPr>
      </w:pPr>
    </w:p>
    <w:p w14:paraId="24F3B571" w14:textId="0E44D7A8"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Capitolul 25 Buget – Cheltuieli din cadrul Ofertei, în integralitatea sa, dacă acest capitol a fost revizuit ca urmare a clarificărilor transmise în procesul de evaluare</w:t>
      </w:r>
    </w:p>
    <w:p w14:paraId="34847150" w14:textId="10ED49C4" w:rsidR="0028597E" w:rsidRPr="00157BDE" w:rsidRDefault="0028597E" w:rsidP="00157BDE">
      <w:pPr>
        <w:pStyle w:val="ListParagraph"/>
        <w:numPr>
          <w:ilvl w:val="0"/>
          <w:numId w:val="9"/>
        </w:numPr>
        <w:ind w:right="-7"/>
        <w:jc w:val="both"/>
        <w:rPr>
          <w:rFonts w:ascii="Times New Roman" w:hAnsi="Times New Roman" w:cs="Times New Roman"/>
          <w:bCs/>
          <w:sz w:val="24"/>
          <w:szCs w:val="24"/>
          <w:lang w:val="ro-RO"/>
        </w:rPr>
      </w:pPr>
      <w:r w:rsidRPr="00157BDE">
        <w:rPr>
          <w:rFonts w:ascii="Times New Roman" w:hAnsi="Times New Roman" w:cs="Times New Roman"/>
          <w:bCs/>
          <w:sz w:val="24"/>
          <w:szCs w:val="24"/>
          <w:lang w:val="ro-RO"/>
        </w:rPr>
        <w:t>Notificarea din partea unei banci comerciale /Trezoreria Statului privind deschiderea conturilor dedicate derularii operatiunilor proiectului (cod IBAN, titular cont, denumirea/adresa Trezoreriei/băncii comerciale).</w:t>
      </w:r>
    </w:p>
    <w:p w14:paraId="2B08938E" w14:textId="77777777" w:rsidR="0034527D" w:rsidRDefault="0034527D" w:rsidP="0093089F">
      <w:pPr>
        <w:spacing w:line="240" w:lineRule="auto"/>
        <w:ind w:right="-7"/>
        <w:rPr>
          <w:rFonts w:ascii="Times New Roman" w:hAnsi="Times New Roman" w:cs="Times New Roman"/>
          <w:b/>
          <w:color w:val="auto"/>
          <w:sz w:val="24"/>
          <w:szCs w:val="24"/>
        </w:rPr>
      </w:pPr>
    </w:p>
    <w:p w14:paraId="4497BC93" w14:textId="77FFCA80" w:rsidR="00157BDE" w:rsidRPr="0034527D" w:rsidRDefault="00157BDE" w:rsidP="00A3699D">
      <w:pPr>
        <w:pStyle w:val="ListParagraph"/>
        <w:numPr>
          <w:ilvl w:val="0"/>
          <w:numId w:val="12"/>
        </w:numPr>
        <w:ind w:left="360" w:right="-7"/>
        <w:jc w:val="both"/>
        <w:rPr>
          <w:rFonts w:ascii="Times New Roman" w:hAnsi="Times New Roman" w:cs="Times New Roman"/>
          <w:bCs/>
          <w:sz w:val="24"/>
          <w:szCs w:val="24"/>
        </w:rPr>
      </w:pPr>
      <w:proofErr w:type="spellStart"/>
      <w:r w:rsidRPr="0034527D">
        <w:rPr>
          <w:rFonts w:ascii="Times New Roman" w:hAnsi="Times New Roman" w:cs="Times New Roman"/>
          <w:bCs/>
          <w:sz w:val="24"/>
          <w:szCs w:val="24"/>
        </w:rPr>
        <w:t>Comunicarea</w:t>
      </w:r>
      <w:proofErr w:type="spellEnd"/>
      <w:r w:rsidRPr="0034527D">
        <w:rPr>
          <w:rFonts w:ascii="Times New Roman" w:hAnsi="Times New Roman" w:cs="Times New Roman"/>
          <w:bCs/>
          <w:sz w:val="24"/>
          <w:szCs w:val="24"/>
        </w:rPr>
        <w:t xml:space="preserve"> </w:t>
      </w:r>
      <w:proofErr w:type="spellStart"/>
      <w:r w:rsidRPr="0034527D">
        <w:rPr>
          <w:rFonts w:ascii="Times New Roman" w:hAnsi="Times New Roman" w:cs="Times New Roman"/>
          <w:bCs/>
          <w:sz w:val="24"/>
          <w:szCs w:val="24"/>
        </w:rPr>
        <w:t>dintre</w:t>
      </w:r>
      <w:proofErr w:type="spellEnd"/>
      <w:r w:rsidRPr="0034527D">
        <w:rPr>
          <w:rFonts w:ascii="Times New Roman" w:hAnsi="Times New Roman" w:cs="Times New Roman"/>
          <w:bCs/>
          <w:sz w:val="24"/>
          <w:szCs w:val="24"/>
        </w:rPr>
        <w:t xml:space="preserve"> </w:t>
      </w:r>
      <w:proofErr w:type="spellStart"/>
      <w:r w:rsidRPr="0034527D">
        <w:rPr>
          <w:rFonts w:ascii="Times New Roman" w:hAnsi="Times New Roman" w:cs="Times New Roman"/>
          <w:bCs/>
          <w:sz w:val="24"/>
          <w:szCs w:val="24"/>
        </w:rPr>
        <w:t>operatorii</w:t>
      </w:r>
      <w:proofErr w:type="spellEnd"/>
      <w:r w:rsidRPr="0034527D">
        <w:rPr>
          <w:rFonts w:ascii="Times New Roman" w:hAnsi="Times New Roman" w:cs="Times New Roman"/>
          <w:bCs/>
          <w:sz w:val="24"/>
          <w:szCs w:val="24"/>
        </w:rPr>
        <w:t xml:space="preserve"> economici care au depus cereri de finanțare în cadrul acestui apel si Ministerul Energiei se va realiza prin intermediul Direcției Generale Ajutor de Stat și Fonduri Europene, prin e-mail, la adresa </w:t>
      </w:r>
      <w:hyperlink r:id="rId8" w:history="1">
        <w:r w:rsidRPr="0034527D">
          <w:rPr>
            <w:rStyle w:val="Hyperlink"/>
            <w:rFonts w:ascii="Times New Roman" w:hAnsi="Times New Roman" w:cs="Times New Roman"/>
            <w:bCs/>
            <w:sz w:val="24"/>
            <w:szCs w:val="24"/>
          </w:rPr>
          <w:t>fonduri.europene@energie.gov.ro</w:t>
        </w:r>
      </w:hyperlink>
      <w:r w:rsidRPr="0034527D">
        <w:rPr>
          <w:rFonts w:ascii="Times New Roman" w:hAnsi="Times New Roman" w:cs="Times New Roman"/>
          <w:bCs/>
          <w:sz w:val="24"/>
          <w:szCs w:val="24"/>
        </w:rPr>
        <w:t xml:space="preserve">.   </w:t>
      </w:r>
    </w:p>
    <w:p w14:paraId="766D94BC" w14:textId="77777777" w:rsidR="0034527D" w:rsidRDefault="0034527D" w:rsidP="0034527D">
      <w:pPr>
        <w:spacing w:line="240" w:lineRule="auto"/>
        <w:ind w:right="-7"/>
        <w:rPr>
          <w:rFonts w:ascii="Times New Roman" w:hAnsi="Times New Roman" w:cs="Times New Roman"/>
          <w:b/>
          <w:color w:val="auto"/>
          <w:sz w:val="24"/>
          <w:szCs w:val="24"/>
        </w:rPr>
      </w:pPr>
    </w:p>
    <w:p w14:paraId="7502AF31" w14:textId="1403F228" w:rsidR="00157BDE" w:rsidRPr="0034527D" w:rsidRDefault="0028597E" w:rsidP="00A3699D">
      <w:pPr>
        <w:pStyle w:val="ListParagraph"/>
        <w:numPr>
          <w:ilvl w:val="0"/>
          <w:numId w:val="12"/>
        </w:numPr>
        <w:ind w:left="360" w:right="-7"/>
        <w:jc w:val="both"/>
        <w:rPr>
          <w:rFonts w:ascii="Times New Roman" w:hAnsi="Times New Roman" w:cs="Times New Roman"/>
          <w:bCs/>
          <w:sz w:val="24"/>
          <w:szCs w:val="24"/>
        </w:rPr>
      </w:pPr>
      <w:r w:rsidRPr="0034527D">
        <w:rPr>
          <w:rFonts w:ascii="Times New Roman" w:hAnsi="Times New Roman" w:cs="Times New Roman"/>
          <w:bCs/>
          <w:sz w:val="24"/>
          <w:szCs w:val="24"/>
        </w:rPr>
        <w:t>În situația în care proiectul dumneavoastră nu va fi înclus în lista proiectelor pentru care vor fi încheiate contracte de finanțare, veți avea posibilitatea de a depune respectivele proiecte în cadrul altor competiții, cu finanțare din fonduri nerambursabile, pe care Ministerul Energiei le va lansa</w:t>
      </w:r>
      <w:r w:rsidR="0034527D" w:rsidRPr="0034527D">
        <w:rPr>
          <w:rFonts w:ascii="Times New Roman" w:hAnsi="Times New Roman" w:cs="Times New Roman"/>
          <w:bCs/>
          <w:sz w:val="24"/>
          <w:szCs w:val="24"/>
        </w:rPr>
        <w:t>, în calitate de furnizor de ajutor de stat</w:t>
      </w:r>
      <w:r w:rsidRPr="0034527D">
        <w:rPr>
          <w:rFonts w:ascii="Times New Roman" w:hAnsi="Times New Roman" w:cs="Times New Roman"/>
          <w:bCs/>
          <w:sz w:val="24"/>
          <w:szCs w:val="24"/>
        </w:rPr>
        <w:t>.</w:t>
      </w:r>
    </w:p>
    <w:p w14:paraId="61175F63" w14:textId="77777777" w:rsidR="00157BDE" w:rsidRDefault="00157BDE" w:rsidP="0034527D">
      <w:pPr>
        <w:spacing w:line="240" w:lineRule="auto"/>
        <w:ind w:right="-7"/>
        <w:rPr>
          <w:rFonts w:ascii="Times New Roman" w:hAnsi="Times New Roman" w:cs="Times New Roman"/>
          <w:bCs/>
          <w:color w:val="auto"/>
          <w:sz w:val="24"/>
          <w:szCs w:val="24"/>
        </w:rPr>
      </w:pPr>
    </w:p>
    <w:sectPr w:rsidR="00157BDE" w:rsidSect="007F6C20">
      <w:headerReference w:type="default" r:id="rId9"/>
      <w:footerReference w:type="default" r:id="rId10"/>
      <w:pgSz w:w="11906" w:h="16838" w:code="9"/>
      <w:pgMar w:top="720" w:right="992" w:bottom="1418" w:left="1021" w:header="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6096" w14:textId="77777777" w:rsidR="00087956" w:rsidRDefault="00087956" w:rsidP="009772BD">
      <w:r>
        <w:separator/>
      </w:r>
    </w:p>
  </w:endnote>
  <w:endnote w:type="continuationSeparator" w:id="0">
    <w:p w14:paraId="7106BF1C" w14:textId="77777777" w:rsidR="00087956" w:rsidRDefault="00087956" w:rsidP="0097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F566" w14:textId="77777777" w:rsidR="008C5DA2" w:rsidRPr="00003B03" w:rsidRDefault="008C5DA2" w:rsidP="008C5DA2">
    <w:pPr>
      <w:pStyle w:val="Footer1"/>
      <w:jc w:val="center"/>
      <w:rPr>
        <w:sz w:val="18"/>
        <w:szCs w:val="18"/>
        <w:lang w:val="en-US"/>
      </w:rPr>
    </w:pPr>
    <w:r w:rsidRPr="00003B03">
      <w:rPr>
        <w:sz w:val="18"/>
        <w:szCs w:val="18"/>
        <w:lang w:val="en-US"/>
      </w:rPr>
      <w:t xml:space="preserve">Str. Academiei, nr. 39-41, sector 1, </w:t>
    </w:r>
    <w:r w:rsidR="00003B03" w:rsidRPr="00003B03">
      <w:rPr>
        <w:sz w:val="18"/>
        <w:szCs w:val="18"/>
        <w:lang w:val="en-US"/>
      </w:rPr>
      <w:t xml:space="preserve">București </w:t>
    </w:r>
    <w:r w:rsidRPr="00003B03">
      <w:rPr>
        <w:sz w:val="18"/>
        <w:szCs w:val="18"/>
        <w:lang w:val="en-US"/>
      </w:rPr>
      <w:t>cod po</w:t>
    </w:r>
    <w:r w:rsidR="00003B03" w:rsidRPr="00003B03">
      <w:rPr>
        <w:sz w:val="18"/>
        <w:szCs w:val="18"/>
        <w:lang w:val="en-US"/>
      </w:rPr>
      <w:t>ș</w:t>
    </w:r>
    <w:r w:rsidRPr="00003B03">
      <w:rPr>
        <w:sz w:val="18"/>
        <w:szCs w:val="18"/>
        <w:lang w:val="en-US"/>
      </w:rPr>
      <w:t>tal</w:t>
    </w:r>
    <w:r w:rsidR="00003B03" w:rsidRPr="00003B03">
      <w:rPr>
        <w:sz w:val="18"/>
        <w:szCs w:val="18"/>
        <w:lang w:val="en-US"/>
      </w:rPr>
      <w:t xml:space="preserve"> </w:t>
    </w:r>
    <w:r w:rsidRPr="00003B03">
      <w:rPr>
        <w:sz w:val="18"/>
        <w:szCs w:val="18"/>
        <w:lang w:val="en-US"/>
      </w:rPr>
      <w:t>010013</w:t>
    </w:r>
  </w:p>
  <w:p w14:paraId="72882CA8" w14:textId="77777777" w:rsidR="002328DD" w:rsidRPr="00003B03" w:rsidRDefault="00000000" w:rsidP="002115AC">
    <w:pPr>
      <w:pStyle w:val="Footer1"/>
      <w:jc w:val="center"/>
      <w:rPr>
        <w:sz w:val="18"/>
        <w:szCs w:val="18"/>
      </w:rPr>
    </w:pPr>
    <w:hyperlink r:id="rId1" w:history="1">
      <w:r w:rsidR="00003B03" w:rsidRPr="00BE2485">
        <w:rPr>
          <w:rStyle w:val="Hyperlink"/>
          <w:sz w:val="18"/>
          <w:szCs w:val="18"/>
          <w:lang w:val="en-US"/>
        </w:rPr>
        <w:t>office.cabinet@energie.gov.ro</w:t>
      </w:r>
    </w:hyperlink>
    <w:r w:rsidR="00003B03">
      <w:rPr>
        <w:sz w:val="18"/>
        <w:szCs w:val="18"/>
        <w:lang w:val="en-US"/>
      </w:rPr>
      <w:t xml:space="preserve">; </w:t>
    </w:r>
    <w:r w:rsidR="008C5DA2" w:rsidRPr="00003B03">
      <w:rPr>
        <w:sz w:val="18"/>
        <w:szCs w:val="18"/>
        <w:lang w:val="en-US"/>
      </w:rPr>
      <w:t>www.energie.gov.ro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1C69" w14:textId="77777777" w:rsidR="00087956" w:rsidRDefault="00087956" w:rsidP="009772BD">
      <w:r>
        <w:separator/>
      </w:r>
    </w:p>
  </w:footnote>
  <w:footnote w:type="continuationSeparator" w:id="0">
    <w:p w14:paraId="58685E30" w14:textId="77777777" w:rsidR="00087956" w:rsidRDefault="00087956" w:rsidP="00977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49C6" w14:textId="77777777" w:rsidR="00196E22" w:rsidRDefault="002115AC" w:rsidP="009772BD">
    <w:pPr>
      <w:pStyle w:val="Header"/>
    </w:pPr>
    <w:r w:rsidRPr="003D33A3">
      <w:rPr>
        <w:noProof/>
        <w:sz w:val="28"/>
        <w:szCs w:val="28"/>
        <w:lang w:eastAsia="ro-RO"/>
      </w:rPr>
      <w:drawing>
        <wp:anchor distT="0" distB="0" distL="114300" distR="114300" simplePos="0" relativeHeight="251657728" behindDoc="1" locked="0" layoutInCell="1" allowOverlap="1" wp14:anchorId="42835EBE" wp14:editId="44D677AA">
          <wp:simplePos x="0" y="0"/>
          <wp:positionH relativeFrom="page">
            <wp:posOffset>819150</wp:posOffset>
          </wp:positionH>
          <wp:positionV relativeFrom="page">
            <wp:posOffset>180975</wp:posOffset>
          </wp:positionV>
          <wp:extent cx="3277870" cy="970845"/>
          <wp:effectExtent l="0" t="0" r="0" b="1270"/>
          <wp:wrapThrough wrapText="bothSides">
            <wp:wrapPolygon edited="0">
              <wp:start x="2260" y="0"/>
              <wp:lineTo x="1506" y="424"/>
              <wp:lineTo x="0" y="5089"/>
              <wp:lineTo x="0" y="16539"/>
              <wp:lineTo x="1506" y="20356"/>
              <wp:lineTo x="2134" y="21204"/>
              <wp:lineTo x="2260" y="21204"/>
              <wp:lineTo x="4519" y="21204"/>
              <wp:lineTo x="5523" y="20356"/>
              <wp:lineTo x="6904" y="14419"/>
              <wp:lineTo x="21466" y="12723"/>
              <wp:lineTo x="21466" y="8906"/>
              <wp:lineTo x="7030" y="5937"/>
              <wp:lineTo x="5398" y="1272"/>
              <wp:lineTo x="4519" y="0"/>
              <wp:lineTo x="2260" y="0"/>
            </wp:wrapPolygon>
          </wp:wrapThrough>
          <wp:docPr id="1" name="Picture 1" descr="logo MEn 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n 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7870" cy="970845"/>
                  </a:xfrm>
                  <a:prstGeom prst="rect">
                    <a:avLst/>
                  </a:prstGeom>
                  <a:noFill/>
                </pic:spPr>
              </pic:pic>
            </a:graphicData>
          </a:graphic>
          <wp14:sizeRelH relativeFrom="page">
            <wp14:pctWidth>0</wp14:pctWidth>
          </wp14:sizeRelH>
          <wp14:sizeRelV relativeFrom="page">
            <wp14:pctHeight>0</wp14:pctHeight>
          </wp14:sizeRelV>
        </wp:anchor>
      </w:drawing>
    </w:r>
  </w:p>
  <w:p w14:paraId="52892BE3" w14:textId="77777777" w:rsidR="000C0BDC" w:rsidRDefault="000C0BDC" w:rsidP="009772BD">
    <w:pPr>
      <w:pStyle w:val="Header"/>
    </w:pPr>
  </w:p>
  <w:p w14:paraId="73658026" w14:textId="77777777" w:rsidR="000C0BDC" w:rsidRDefault="000C0BDC" w:rsidP="009772BD">
    <w:pPr>
      <w:pStyle w:val="Header"/>
    </w:pPr>
  </w:p>
  <w:p w14:paraId="17F22619" w14:textId="77777777" w:rsidR="000C0BDC" w:rsidRDefault="000C0BDC" w:rsidP="00945586">
    <w:pPr>
      <w:pStyle w:val="Header"/>
      <w:tabs>
        <w:tab w:val="left" w:pos="6023"/>
        <w:tab w:val="left" w:pos="6449"/>
        <w:tab w:val="left" w:pos="7200"/>
      </w:tabs>
      <w:spacing w:before="0"/>
      <w:rPr>
        <w:rFonts w:ascii="Times New Roman" w:hAnsi="Times New Roman" w:cs="Times New Roman"/>
      </w:rPr>
    </w:pPr>
  </w:p>
  <w:p w14:paraId="3FAC3CF6" w14:textId="77777777" w:rsidR="00EF640F" w:rsidRPr="00D9484B" w:rsidRDefault="00EF640F" w:rsidP="00D9484B">
    <w:pPr>
      <w:pStyle w:val="Header"/>
      <w:tabs>
        <w:tab w:val="left" w:pos="6023"/>
        <w:tab w:val="left" w:pos="6449"/>
        <w:tab w:val="left" w:pos="7200"/>
      </w:tabs>
      <w:spacing w:before="0"/>
      <w:ind w:left="-28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F42"/>
    <w:multiLevelType w:val="hybridMultilevel"/>
    <w:tmpl w:val="CD3AE4DA"/>
    <w:lvl w:ilvl="0" w:tplc="0409000D">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 w15:restartNumberingAfterBreak="0">
    <w:nsid w:val="0ECF5E0E"/>
    <w:multiLevelType w:val="hybridMultilevel"/>
    <w:tmpl w:val="05DC1C94"/>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5A9180E"/>
    <w:multiLevelType w:val="hybridMultilevel"/>
    <w:tmpl w:val="0F86EF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E23FC"/>
    <w:multiLevelType w:val="hybridMultilevel"/>
    <w:tmpl w:val="D9F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057"/>
    <w:multiLevelType w:val="hybridMultilevel"/>
    <w:tmpl w:val="98CEB86C"/>
    <w:lvl w:ilvl="0" w:tplc="BAC83676">
      <w:start w:val="1"/>
      <w:numFmt w:val="bullet"/>
      <w:lvlText w:val="-"/>
      <w:lvlJc w:val="left"/>
      <w:pPr>
        <w:ind w:left="1080" w:hanging="360"/>
      </w:pPr>
      <w:rPr>
        <w:rFonts w:ascii="Calibri" w:eastAsia="Calibri" w:hAnsi="Calibri"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5" w15:restartNumberingAfterBreak="0">
    <w:nsid w:val="2E761CCB"/>
    <w:multiLevelType w:val="hybridMultilevel"/>
    <w:tmpl w:val="20722D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FF7598D"/>
    <w:multiLevelType w:val="hybridMultilevel"/>
    <w:tmpl w:val="8F98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07F21"/>
    <w:multiLevelType w:val="hybridMultilevel"/>
    <w:tmpl w:val="CBAC3664"/>
    <w:lvl w:ilvl="0" w:tplc="0409000D">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8" w15:restartNumberingAfterBreak="0">
    <w:nsid w:val="4AE20040"/>
    <w:multiLevelType w:val="hybridMultilevel"/>
    <w:tmpl w:val="C30AE978"/>
    <w:lvl w:ilvl="0" w:tplc="1F020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71D37"/>
    <w:multiLevelType w:val="hybridMultilevel"/>
    <w:tmpl w:val="FC62D3B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B2C35C4"/>
    <w:multiLevelType w:val="hybridMultilevel"/>
    <w:tmpl w:val="B3FA1EDA"/>
    <w:lvl w:ilvl="0" w:tplc="3CF0578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207935"/>
    <w:multiLevelType w:val="hybridMultilevel"/>
    <w:tmpl w:val="EB84B7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282790">
    <w:abstractNumId w:val="1"/>
  </w:num>
  <w:num w:numId="2" w16cid:durableId="1024988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063638">
    <w:abstractNumId w:val="4"/>
  </w:num>
  <w:num w:numId="4" w16cid:durableId="2042002256">
    <w:abstractNumId w:val="10"/>
  </w:num>
  <w:num w:numId="5" w16cid:durableId="1992977554">
    <w:abstractNumId w:val="11"/>
  </w:num>
  <w:num w:numId="6" w16cid:durableId="1418941931">
    <w:abstractNumId w:val="9"/>
  </w:num>
  <w:num w:numId="7" w16cid:durableId="1605308364">
    <w:abstractNumId w:val="7"/>
  </w:num>
  <w:num w:numId="8" w16cid:durableId="575364872">
    <w:abstractNumId w:val="0"/>
  </w:num>
  <w:num w:numId="9" w16cid:durableId="347685375">
    <w:abstractNumId w:val="2"/>
  </w:num>
  <w:num w:numId="10" w16cid:durableId="1012604499">
    <w:abstractNumId w:val="8"/>
  </w:num>
  <w:num w:numId="11" w16cid:durableId="1897087995">
    <w:abstractNumId w:val="6"/>
  </w:num>
  <w:num w:numId="12" w16cid:durableId="1278952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D4"/>
    <w:rsid w:val="000013E1"/>
    <w:rsid w:val="00003A77"/>
    <w:rsid w:val="00003B03"/>
    <w:rsid w:val="00006328"/>
    <w:rsid w:val="00012AFA"/>
    <w:rsid w:val="00033C28"/>
    <w:rsid w:val="000348EB"/>
    <w:rsid w:val="000745D4"/>
    <w:rsid w:val="00085C1A"/>
    <w:rsid w:val="00087956"/>
    <w:rsid w:val="000953FB"/>
    <w:rsid w:val="000A3660"/>
    <w:rsid w:val="000A5D2E"/>
    <w:rsid w:val="000A6BC2"/>
    <w:rsid w:val="000B5515"/>
    <w:rsid w:val="000C0BDC"/>
    <w:rsid w:val="000D7ED1"/>
    <w:rsid w:val="000E7EF8"/>
    <w:rsid w:val="000F19AA"/>
    <w:rsid w:val="000F6104"/>
    <w:rsid w:val="000F6877"/>
    <w:rsid w:val="00105353"/>
    <w:rsid w:val="00131405"/>
    <w:rsid w:val="001458CB"/>
    <w:rsid w:val="00145B56"/>
    <w:rsid w:val="001466DC"/>
    <w:rsid w:val="00157BDE"/>
    <w:rsid w:val="00166FDC"/>
    <w:rsid w:val="00171F06"/>
    <w:rsid w:val="00196E22"/>
    <w:rsid w:val="001B04EA"/>
    <w:rsid w:val="001B05FC"/>
    <w:rsid w:val="001C352E"/>
    <w:rsid w:val="001D015B"/>
    <w:rsid w:val="001E353C"/>
    <w:rsid w:val="001E6F1B"/>
    <w:rsid w:val="001F09E0"/>
    <w:rsid w:val="001F14BD"/>
    <w:rsid w:val="001F4F26"/>
    <w:rsid w:val="002115AC"/>
    <w:rsid w:val="00222CEA"/>
    <w:rsid w:val="00224131"/>
    <w:rsid w:val="00225A78"/>
    <w:rsid w:val="00226597"/>
    <w:rsid w:val="00231866"/>
    <w:rsid w:val="002328DD"/>
    <w:rsid w:val="002366A2"/>
    <w:rsid w:val="00264A03"/>
    <w:rsid w:val="002847A9"/>
    <w:rsid w:val="0028597E"/>
    <w:rsid w:val="0029247A"/>
    <w:rsid w:val="00294E4E"/>
    <w:rsid w:val="002A44B1"/>
    <w:rsid w:val="002D2940"/>
    <w:rsid w:val="002D688C"/>
    <w:rsid w:val="002E4552"/>
    <w:rsid w:val="002E4B5F"/>
    <w:rsid w:val="002F0C62"/>
    <w:rsid w:val="002F20DE"/>
    <w:rsid w:val="00300FC4"/>
    <w:rsid w:val="00305C8D"/>
    <w:rsid w:val="0033110B"/>
    <w:rsid w:val="0033279C"/>
    <w:rsid w:val="00342B74"/>
    <w:rsid w:val="00344FE9"/>
    <w:rsid w:val="0034527D"/>
    <w:rsid w:val="00365827"/>
    <w:rsid w:val="00372338"/>
    <w:rsid w:val="003A52B1"/>
    <w:rsid w:val="003A66D2"/>
    <w:rsid w:val="003B09CF"/>
    <w:rsid w:val="003C551B"/>
    <w:rsid w:val="003D0E84"/>
    <w:rsid w:val="003D33A3"/>
    <w:rsid w:val="003E56DF"/>
    <w:rsid w:val="003E7E4E"/>
    <w:rsid w:val="003F4A79"/>
    <w:rsid w:val="003F52BC"/>
    <w:rsid w:val="0040453A"/>
    <w:rsid w:val="00411A5C"/>
    <w:rsid w:val="004327F8"/>
    <w:rsid w:val="00444C87"/>
    <w:rsid w:val="00454692"/>
    <w:rsid w:val="00456EBE"/>
    <w:rsid w:val="00465EFE"/>
    <w:rsid w:val="00495E29"/>
    <w:rsid w:val="004A114A"/>
    <w:rsid w:val="004A3585"/>
    <w:rsid w:val="004A4D97"/>
    <w:rsid w:val="004B7A80"/>
    <w:rsid w:val="004F09BA"/>
    <w:rsid w:val="004F69D4"/>
    <w:rsid w:val="00512519"/>
    <w:rsid w:val="0052036B"/>
    <w:rsid w:val="00534D06"/>
    <w:rsid w:val="0055613D"/>
    <w:rsid w:val="00572B5B"/>
    <w:rsid w:val="00577CF9"/>
    <w:rsid w:val="005A26B6"/>
    <w:rsid w:val="005D1528"/>
    <w:rsid w:val="005E1819"/>
    <w:rsid w:val="0060295A"/>
    <w:rsid w:val="00621C9A"/>
    <w:rsid w:val="00625217"/>
    <w:rsid w:val="006337C7"/>
    <w:rsid w:val="00636D47"/>
    <w:rsid w:val="0064156D"/>
    <w:rsid w:val="00641D67"/>
    <w:rsid w:val="00647100"/>
    <w:rsid w:val="006518B8"/>
    <w:rsid w:val="00655F7B"/>
    <w:rsid w:val="00660EBD"/>
    <w:rsid w:val="00661CE9"/>
    <w:rsid w:val="00662ADA"/>
    <w:rsid w:val="00666380"/>
    <w:rsid w:val="0066689B"/>
    <w:rsid w:val="00667B0B"/>
    <w:rsid w:val="00670EF1"/>
    <w:rsid w:val="00671511"/>
    <w:rsid w:val="00682499"/>
    <w:rsid w:val="006930B9"/>
    <w:rsid w:val="00696E6E"/>
    <w:rsid w:val="006A1732"/>
    <w:rsid w:val="006A2FC8"/>
    <w:rsid w:val="006C6491"/>
    <w:rsid w:val="006D2D12"/>
    <w:rsid w:val="006F5D04"/>
    <w:rsid w:val="00715D6A"/>
    <w:rsid w:val="00724420"/>
    <w:rsid w:val="007346A7"/>
    <w:rsid w:val="00754497"/>
    <w:rsid w:val="00761FEC"/>
    <w:rsid w:val="007625BE"/>
    <w:rsid w:val="00771769"/>
    <w:rsid w:val="00781098"/>
    <w:rsid w:val="007A3F54"/>
    <w:rsid w:val="007A71DF"/>
    <w:rsid w:val="007B3149"/>
    <w:rsid w:val="007B42FC"/>
    <w:rsid w:val="007B55DB"/>
    <w:rsid w:val="007B7740"/>
    <w:rsid w:val="007C0644"/>
    <w:rsid w:val="007C2915"/>
    <w:rsid w:val="007C52FC"/>
    <w:rsid w:val="007D5878"/>
    <w:rsid w:val="007D6C3E"/>
    <w:rsid w:val="007E062A"/>
    <w:rsid w:val="007E62D7"/>
    <w:rsid w:val="007F6C20"/>
    <w:rsid w:val="00805013"/>
    <w:rsid w:val="008075B0"/>
    <w:rsid w:val="0081119C"/>
    <w:rsid w:val="00815732"/>
    <w:rsid w:val="00825604"/>
    <w:rsid w:val="0083024C"/>
    <w:rsid w:val="008330E6"/>
    <w:rsid w:val="00840A24"/>
    <w:rsid w:val="00854697"/>
    <w:rsid w:val="00860C0B"/>
    <w:rsid w:val="00875BCF"/>
    <w:rsid w:val="00894C63"/>
    <w:rsid w:val="00897F1F"/>
    <w:rsid w:val="008A6511"/>
    <w:rsid w:val="008B17CA"/>
    <w:rsid w:val="008C251D"/>
    <w:rsid w:val="008C551D"/>
    <w:rsid w:val="008C5DA2"/>
    <w:rsid w:val="009079C2"/>
    <w:rsid w:val="00911883"/>
    <w:rsid w:val="00920C52"/>
    <w:rsid w:val="00927B1A"/>
    <w:rsid w:val="0093089F"/>
    <w:rsid w:val="009320B0"/>
    <w:rsid w:val="009430B8"/>
    <w:rsid w:val="00945586"/>
    <w:rsid w:val="0095340B"/>
    <w:rsid w:val="00953FC5"/>
    <w:rsid w:val="0096181D"/>
    <w:rsid w:val="00966B36"/>
    <w:rsid w:val="009772BD"/>
    <w:rsid w:val="00986E04"/>
    <w:rsid w:val="00996F3F"/>
    <w:rsid w:val="009A3DF6"/>
    <w:rsid w:val="009B3D13"/>
    <w:rsid w:val="009D38DA"/>
    <w:rsid w:val="009E1FDD"/>
    <w:rsid w:val="009E4084"/>
    <w:rsid w:val="009E76D9"/>
    <w:rsid w:val="009F041F"/>
    <w:rsid w:val="00A3699D"/>
    <w:rsid w:val="00A47FF3"/>
    <w:rsid w:val="00A57A8E"/>
    <w:rsid w:val="00A64B13"/>
    <w:rsid w:val="00A67E35"/>
    <w:rsid w:val="00A71A6E"/>
    <w:rsid w:val="00A73099"/>
    <w:rsid w:val="00A9707F"/>
    <w:rsid w:val="00AA4239"/>
    <w:rsid w:val="00AA5C0B"/>
    <w:rsid w:val="00AA7BA4"/>
    <w:rsid w:val="00AC2E82"/>
    <w:rsid w:val="00AE05D0"/>
    <w:rsid w:val="00AE641D"/>
    <w:rsid w:val="00B05FD7"/>
    <w:rsid w:val="00B07F63"/>
    <w:rsid w:val="00B10341"/>
    <w:rsid w:val="00B10F45"/>
    <w:rsid w:val="00B21B93"/>
    <w:rsid w:val="00B4116A"/>
    <w:rsid w:val="00B4191D"/>
    <w:rsid w:val="00B43AB5"/>
    <w:rsid w:val="00B43B93"/>
    <w:rsid w:val="00B5000E"/>
    <w:rsid w:val="00B52316"/>
    <w:rsid w:val="00B82216"/>
    <w:rsid w:val="00B97B21"/>
    <w:rsid w:val="00BA52D9"/>
    <w:rsid w:val="00BB05A6"/>
    <w:rsid w:val="00BB1E49"/>
    <w:rsid w:val="00BB3EAE"/>
    <w:rsid w:val="00BB5CA8"/>
    <w:rsid w:val="00BC05B4"/>
    <w:rsid w:val="00BC16FF"/>
    <w:rsid w:val="00BC4EDA"/>
    <w:rsid w:val="00BD5D8E"/>
    <w:rsid w:val="00BF0EF5"/>
    <w:rsid w:val="00C039E5"/>
    <w:rsid w:val="00C07EEE"/>
    <w:rsid w:val="00C1726D"/>
    <w:rsid w:val="00C24C09"/>
    <w:rsid w:val="00C26AB9"/>
    <w:rsid w:val="00C27187"/>
    <w:rsid w:val="00C4007F"/>
    <w:rsid w:val="00C568BF"/>
    <w:rsid w:val="00C70965"/>
    <w:rsid w:val="00C70D7E"/>
    <w:rsid w:val="00C73674"/>
    <w:rsid w:val="00C76D49"/>
    <w:rsid w:val="00C77BAA"/>
    <w:rsid w:val="00C95DA3"/>
    <w:rsid w:val="00CA564C"/>
    <w:rsid w:val="00CB328F"/>
    <w:rsid w:val="00CB3475"/>
    <w:rsid w:val="00CC5C13"/>
    <w:rsid w:val="00CC7FA5"/>
    <w:rsid w:val="00CE0797"/>
    <w:rsid w:val="00CE1FA6"/>
    <w:rsid w:val="00D52405"/>
    <w:rsid w:val="00D65B14"/>
    <w:rsid w:val="00D65D2B"/>
    <w:rsid w:val="00D7799B"/>
    <w:rsid w:val="00D82668"/>
    <w:rsid w:val="00D93752"/>
    <w:rsid w:val="00D9484B"/>
    <w:rsid w:val="00DA1082"/>
    <w:rsid w:val="00DA121C"/>
    <w:rsid w:val="00DA3FCB"/>
    <w:rsid w:val="00DB2548"/>
    <w:rsid w:val="00DC22FB"/>
    <w:rsid w:val="00DC55EB"/>
    <w:rsid w:val="00DC68DB"/>
    <w:rsid w:val="00DC7DE0"/>
    <w:rsid w:val="00DC7E28"/>
    <w:rsid w:val="00DD2BA2"/>
    <w:rsid w:val="00DD3822"/>
    <w:rsid w:val="00DE4D7E"/>
    <w:rsid w:val="00DF5B2A"/>
    <w:rsid w:val="00E06D6A"/>
    <w:rsid w:val="00E1620F"/>
    <w:rsid w:val="00E2135A"/>
    <w:rsid w:val="00E353C3"/>
    <w:rsid w:val="00E365E1"/>
    <w:rsid w:val="00E374B1"/>
    <w:rsid w:val="00E460A5"/>
    <w:rsid w:val="00E5357C"/>
    <w:rsid w:val="00E60DD7"/>
    <w:rsid w:val="00E71C72"/>
    <w:rsid w:val="00E843AB"/>
    <w:rsid w:val="00EA569F"/>
    <w:rsid w:val="00EC4B4E"/>
    <w:rsid w:val="00EF640F"/>
    <w:rsid w:val="00F075E8"/>
    <w:rsid w:val="00F12431"/>
    <w:rsid w:val="00F2375F"/>
    <w:rsid w:val="00F24921"/>
    <w:rsid w:val="00F27C43"/>
    <w:rsid w:val="00F54F5D"/>
    <w:rsid w:val="00F626B5"/>
    <w:rsid w:val="00F63693"/>
    <w:rsid w:val="00F64D21"/>
    <w:rsid w:val="00F74AC8"/>
    <w:rsid w:val="00F75AAD"/>
    <w:rsid w:val="00F80E02"/>
    <w:rsid w:val="00F866DB"/>
    <w:rsid w:val="00F97E56"/>
    <w:rsid w:val="00FB0274"/>
    <w:rsid w:val="00FB50DA"/>
    <w:rsid w:val="00FC128F"/>
    <w:rsid w:val="00FC270C"/>
    <w:rsid w:val="00FD5497"/>
    <w:rsid w:val="00FE0C3B"/>
    <w:rsid w:val="00FE13C4"/>
    <w:rsid w:val="00FE782B"/>
    <w:rsid w:val="00FF7DC6"/>
    <w:rsid w:val="00FF7ED0"/>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0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BD"/>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B97B21"/>
    <w:pPr>
      <w:spacing w:before="600" w:after="0" w:line="360" w:lineRule="auto"/>
      <w:jc w:val="left"/>
      <w:outlineLvl w:val="0"/>
    </w:pPr>
    <w:rPr>
      <w:rFonts w:ascii="Cambria" w:eastAsia="Times New Roman" w:hAnsi="Cambria" w:cs="Times New Roman"/>
      <w:b/>
      <w:bCs/>
      <w:i/>
      <w:iCs/>
      <w:color w:val="auto"/>
      <w:sz w:val="32"/>
      <w:szCs w:val="32"/>
      <w:lang w:val="x-none" w:eastAsia="x-none"/>
    </w:rPr>
  </w:style>
  <w:style w:type="paragraph" w:styleId="Heading4">
    <w:name w:val="heading 4"/>
    <w:basedOn w:val="Normal"/>
    <w:next w:val="Normal"/>
    <w:link w:val="Heading4Char"/>
    <w:uiPriority w:val="9"/>
    <w:semiHidden/>
    <w:unhideWhenUsed/>
    <w:qFormat/>
    <w:rsid w:val="009E76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5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0745D4"/>
  </w:style>
  <w:style w:type="paragraph" w:styleId="Footer">
    <w:name w:val="footer"/>
    <w:basedOn w:val="Normal"/>
    <w:link w:val="FooterChar"/>
    <w:uiPriority w:val="99"/>
    <w:unhideWhenUsed/>
    <w:rsid w:val="000745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0745D4"/>
  </w:style>
  <w:style w:type="paragraph" w:styleId="NormalWeb">
    <w:name w:val="Normal (Web)"/>
    <w:basedOn w:val="Normal"/>
    <w:uiPriority w:val="99"/>
    <w:semiHidden/>
    <w:unhideWhenUsed/>
    <w:rsid w:val="00232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Footer"/>
    <w:link w:val="footerChar0"/>
    <w:qFormat/>
    <w:rsid w:val="009772BD"/>
    <w:pPr>
      <w:spacing w:before="0"/>
    </w:pPr>
    <w:rPr>
      <w:sz w:val="14"/>
      <w:szCs w:val="14"/>
    </w:rPr>
  </w:style>
  <w:style w:type="character" w:customStyle="1" w:styleId="footerChar0">
    <w:name w:val="footer Char"/>
    <w:basedOn w:val="FooterChar"/>
    <w:link w:val="Footer1"/>
    <w:rsid w:val="009772BD"/>
    <w:rPr>
      <w:rFonts w:ascii="Trebuchet MS" w:hAnsi="Trebuchet MS" w:cs="Open Sans"/>
      <w:color w:val="000000"/>
      <w:sz w:val="14"/>
      <w:szCs w:val="14"/>
      <w:lang w:val="ro-RO"/>
    </w:rPr>
  </w:style>
  <w:style w:type="character" w:styleId="Strong">
    <w:name w:val="Strong"/>
    <w:basedOn w:val="DefaultParagraphFont"/>
    <w:uiPriority w:val="22"/>
    <w:qFormat/>
    <w:rsid w:val="00771769"/>
    <w:rPr>
      <w:b/>
      <w:bCs/>
    </w:rPr>
  </w:style>
  <w:style w:type="table" w:styleId="TableGrid">
    <w:name w:val="Table Grid"/>
    <w:basedOn w:val="TableNormal"/>
    <w:uiPriority w:val="39"/>
    <w:rsid w:val="000C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7B21"/>
    <w:rPr>
      <w:rFonts w:ascii="Cambria" w:eastAsia="Times New Roman" w:hAnsi="Cambria" w:cs="Times New Roman"/>
      <w:b/>
      <w:bCs/>
      <w:i/>
      <w:iCs/>
      <w:sz w:val="32"/>
      <w:szCs w:val="32"/>
      <w:lang w:val="x-none" w:eastAsia="x-none"/>
    </w:rPr>
  </w:style>
  <w:style w:type="character" w:styleId="CommentReference">
    <w:name w:val="annotation reference"/>
    <w:basedOn w:val="DefaultParagraphFont"/>
    <w:uiPriority w:val="99"/>
    <w:semiHidden/>
    <w:unhideWhenUsed/>
    <w:rsid w:val="007A3F54"/>
    <w:rPr>
      <w:sz w:val="16"/>
      <w:szCs w:val="16"/>
    </w:rPr>
  </w:style>
  <w:style w:type="paragraph" w:styleId="CommentText">
    <w:name w:val="annotation text"/>
    <w:basedOn w:val="Normal"/>
    <w:link w:val="CommentTextChar"/>
    <w:uiPriority w:val="99"/>
    <w:semiHidden/>
    <w:unhideWhenUsed/>
    <w:rsid w:val="007A3F54"/>
    <w:pPr>
      <w:spacing w:line="240" w:lineRule="auto"/>
    </w:pPr>
    <w:rPr>
      <w:sz w:val="20"/>
      <w:szCs w:val="20"/>
    </w:rPr>
  </w:style>
  <w:style w:type="character" w:customStyle="1" w:styleId="CommentTextChar">
    <w:name w:val="Comment Text Char"/>
    <w:basedOn w:val="DefaultParagraphFont"/>
    <w:link w:val="CommentText"/>
    <w:uiPriority w:val="99"/>
    <w:semiHidden/>
    <w:rsid w:val="007A3F54"/>
    <w:rPr>
      <w:rFonts w:ascii="Trebuchet MS" w:hAnsi="Trebuchet MS" w:cs="Open Sans"/>
      <w:color w:val="000000"/>
      <w:sz w:val="20"/>
      <w:szCs w:val="20"/>
      <w:lang w:val="ro-RO"/>
    </w:rPr>
  </w:style>
  <w:style w:type="paragraph" w:styleId="CommentSubject">
    <w:name w:val="annotation subject"/>
    <w:basedOn w:val="CommentText"/>
    <w:next w:val="CommentText"/>
    <w:link w:val="CommentSubjectChar"/>
    <w:uiPriority w:val="99"/>
    <w:semiHidden/>
    <w:unhideWhenUsed/>
    <w:rsid w:val="007A3F54"/>
    <w:rPr>
      <w:b/>
      <w:bCs/>
    </w:rPr>
  </w:style>
  <w:style w:type="character" w:customStyle="1" w:styleId="CommentSubjectChar">
    <w:name w:val="Comment Subject Char"/>
    <w:basedOn w:val="CommentTextChar"/>
    <w:link w:val="CommentSubject"/>
    <w:uiPriority w:val="99"/>
    <w:semiHidden/>
    <w:rsid w:val="007A3F54"/>
    <w:rPr>
      <w:rFonts w:ascii="Trebuchet MS" w:hAnsi="Trebuchet MS" w:cs="Open Sans"/>
      <w:b/>
      <w:bCs/>
      <w:color w:val="000000"/>
      <w:sz w:val="20"/>
      <w:szCs w:val="20"/>
      <w:lang w:val="ro-RO"/>
    </w:rPr>
  </w:style>
  <w:style w:type="character" w:styleId="Hyperlink">
    <w:name w:val="Hyperlink"/>
    <w:basedOn w:val="DefaultParagraphFont"/>
    <w:uiPriority w:val="99"/>
    <w:unhideWhenUsed/>
    <w:rsid w:val="008C5DA2"/>
    <w:rPr>
      <w:color w:val="0563C1" w:themeColor="hyperlink"/>
      <w:u w:val="single"/>
    </w:rPr>
  </w:style>
  <w:style w:type="character" w:customStyle="1" w:styleId="UnresolvedMention1">
    <w:name w:val="Unresolved Mention1"/>
    <w:basedOn w:val="DefaultParagraphFont"/>
    <w:uiPriority w:val="99"/>
    <w:semiHidden/>
    <w:unhideWhenUsed/>
    <w:rsid w:val="008C5DA2"/>
    <w:rPr>
      <w:color w:val="605E5C"/>
      <w:shd w:val="clear" w:color="auto" w:fill="E1DFDD"/>
    </w:rPr>
  </w:style>
  <w:style w:type="character" w:customStyle="1" w:styleId="panchor">
    <w:name w:val="panchor"/>
    <w:basedOn w:val="DefaultParagraphFont"/>
    <w:rsid w:val="00E5357C"/>
  </w:style>
  <w:style w:type="paragraph" w:customStyle="1" w:styleId="Default">
    <w:name w:val="Default"/>
    <w:rsid w:val="00B21B9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6F1B"/>
    <w:pPr>
      <w:spacing w:before="0" w:after="0" w:line="240" w:lineRule="auto"/>
      <w:ind w:left="720"/>
      <w:jc w:val="left"/>
    </w:pPr>
    <w:rPr>
      <w:rFonts w:ascii="Calibri" w:hAnsi="Calibri" w:cs="Calibri"/>
      <w:color w:val="auto"/>
      <w:lang w:val="en-US"/>
    </w:rPr>
  </w:style>
  <w:style w:type="paragraph" w:styleId="BalloonText">
    <w:name w:val="Balloon Text"/>
    <w:basedOn w:val="Normal"/>
    <w:link w:val="BalloonTextChar"/>
    <w:uiPriority w:val="99"/>
    <w:semiHidden/>
    <w:unhideWhenUsed/>
    <w:rsid w:val="000F19A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AA"/>
    <w:rPr>
      <w:rFonts w:ascii="Segoe UI" w:hAnsi="Segoe UI" w:cs="Segoe UI"/>
      <w:color w:val="000000"/>
      <w:sz w:val="18"/>
      <w:szCs w:val="18"/>
      <w:lang w:val="ro-RO"/>
    </w:rPr>
  </w:style>
  <w:style w:type="paragraph" w:styleId="Revision">
    <w:name w:val="Revision"/>
    <w:hidden/>
    <w:uiPriority w:val="99"/>
    <w:semiHidden/>
    <w:rsid w:val="0064156D"/>
    <w:pPr>
      <w:spacing w:after="0" w:line="240" w:lineRule="auto"/>
    </w:pPr>
    <w:rPr>
      <w:rFonts w:ascii="Trebuchet MS" w:hAnsi="Trebuchet MS" w:cs="Open Sans"/>
      <w:color w:val="000000"/>
      <w:lang w:val="ro-RO"/>
    </w:rPr>
  </w:style>
  <w:style w:type="table" w:customStyle="1" w:styleId="TableGrid0">
    <w:name w:val="TableGrid"/>
    <w:rsid w:val="00CC7FA5"/>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9E76D9"/>
    <w:rPr>
      <w:rFonts w:asciiTheme="majorHAnsi" w:eastAsiaTheme="majorEastAsia" w:hAnsiTheme="majorHAnsi" w:cstheme="majorBidi"/>
      <w:i/>
      <w:iCs/>
      <w:color w:val="2E74B5" w:themeColor="accent1" w:themeShade="BF"/>
      <w:lang w:val="ro-RO"/>
    </w:rPr>
  </w:style>
  <w:style w:type="paragraph" w:styleId="BodyText">
    <w:name w:val="Body Text"/>
    <w:basedOn w:val="Normal"/>
    <w:link w:val="BodyTextChar"/>
    <w:uiPriority w:val="1"/>
    <w:qFormat/>
    <w:rsid w:val="0028597E"/>
    <w:pPr>
      <w:widowControl w:val="0"/>
      <w:autoSpaceDE w:val="0"/>
      <w:autoSpaceDN w:val="0"/>
      <w:spacing w:before="120" w:after="0" w:line="240" w:lineRule="auto"/>
      <w:ind w:left="257"/>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28597E"/>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157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90074">
      <w:bodyDiv w:val="1"/>
      <w:marLeft w:val="0"/>
      <w:marRight w:val="0"/>
      <w:marTop w:val="0"/>
      <w:marBottom w:val="0"/>
      <w:divBdr>
        <w:top w:val="none" w:sz="0" w:space="0" w:color="auto"/>
        <w:left w:val="none" w:sz="0" w:space="0" w:color="auto"/>
        <w:bottom w:val="none" w:sz="0" w:space="0" w:color="auto"/>
        <w:right w:val="none" w:sz="0" w:space="0" w:color="auto"/>
      </w:divBdr>
    </w:div>
    <w:div w:id="226763170">
      <w:bodyDiv w:val="1"/>
      <w:marLeft w:val="0"/>
      <w:marRight w:val="0"/>
      <w:marTop w:val="0"/>
      <w:marBottom w:val="0"/>
      <w:divBdr>
        <w:top w:val="none" w:sz="0" w:space="0" w:color="auto"/>
        <w:left w:val="none" w:sz="0" w:space="0" w:color="auto"/>
        <w:bottom w:val="none" w:sz="0" w:space="0" w:color="auto"/>
        <w:right w:val="none" w:sz="0" w:space="0" w:color="auto"/>
      </w:divBdr>
    </w:div>
    <w:div w:id="435175320">
      <w:bodyDiv w:val="1"/>
      <w:marLeft w:val="0"/>
      <w:marRight w:val="0"/>
      <w:marTop w:val="0"/>
      <w:marBottom w:val="0"/>
      <w:divBdr>
        <w:top w:val="none" w:sz="0" w:space="0" w:color="auto"/>
        <w:left w:val="none" w:sz="0" w:space="0" w:color="auto"/>
        <w:bottom w:val="none" w:sz="0" w:space="0" w:color="auto"/>
        <w:right w:val="none" w:sz="0" w:space="0" w:color="auto"/>
      </w:divBdr>
    </w:div>
    <w:div w:id="451677720">
      <w:bodyDiv w:val="1"/>
      <w:marLeft w:val="0"/>
      <w:marRight w:val="0"/>
      <w:marTop w:val="0"/>
      <w:marBottom w:val="0"/>
      <w:divBdr>
        <w:top w:val="none" w:sz="0" w:space="0" w:color="auto"/>
        <w:left w:val="none" w:sz="0" w:space="0" w:color="auto"/>
        <w:bottom w:val="none" w:sz="0" w:space="0" w:color="auto"/>
        <w:right w:val="none" w:sz="0" w:space="0" w:color="auto"/>
      </w:divBdr>
    </w:div>
    <w:div w:id="468283843">
      <w:bodyDiv w:val="1"/>
      <w:marLeft w:val="0"/>
      <w:marRight w:val="0"/>
      <w:marTop w:val="0"/>
      <w:marBottom w:val="0"/>
      <w:divBdr>
        <w:top w:val="none" w:sz="0" w:space="0" w:color="auto"/>
        <w:left w:val="none" w:sz="0" w:space="0" w:color="auto"/>
        <w:bottom w:val="none" w:sz="0" w:space="0" w:color="auto"/>
        <w:right w:val="none" w:sz="0" w:space="0" w:color="auto"/>
      </w:divBdr>
    </w:div>
    <w:div w:id="542789825">
      <w:bodyDiv w:val="1"/>
      <w:marLeft w:val="0"/>
      <w:marRight w:val="0"/>
      <w:marTop w:val="0"/>
      <w:marBottom w:val="0"/>
      <w:divBdr>
        <w:top w:val="none" w:sz="0" w:space="0" w:color="auto"/>
        <w:left w:val="none" w:sz="0" w:space="0" w:color="auto"/>
        <w:bottom w:val="none" w:sz="0" w:space="0" w:color="auto"/>
        <w:right w:val="none" w:sz="0" w:space="0" w:color="auto"/>
      </w:divBdr>
    </w:div>
    <w:div w:id="600382415">
      <w:bodyDiv w:val="1"/>
      <w:marLeft w:val="0"/>
      <w:marRight w:val="0"/>
      <w:marTop w:val="0"/>
      <w:marBottom w:val="0"/>
      <w:divBdr>
        <w:top w:val="none" w:sz="0" w:space="0" w:color="auto"/>
        <w:left w:val="none" w:sz="0" w:space="0" w:color="auto"/>
        <w:bottom w:val="none" w:sz="0" w:space="0" w:color="auto"/>
        <w:right w:val="none" w:sz="0" w:space="0" w:color="auto"/>
      </w:divBdr>
    </w:div>
    <w:div w:id="690448929">
      <w:bodyDiv w:val="1"/>
      <w:marLeft w:val="0"/>
      <w:marRight w:val="0"/>
      <w:marTop w:val="0"/>
      <w:marBottom w:val="0"/>
      <w:divBdr>
        <w:top w:val="none" w:sz="0" w:space="0" w:color="auto"/>
        <w:left w:val="none" w:sz="0" w:space="0" w:color="auto"/>
        <w:bottom w:val="none" w:sz="0" w:space="0" w:color="auto"/>
        <w:right w:val="none" w:sz="0" w:space="0" w:color="auto"/>
      </w:divBdr>
    </w:div>
    <w:div w:id="733817995">
      <w:bodyDiv w:val="1"/>
      <w:marLeft w:val="0"/>
      <w:marRight w:val="0"/>
      <w:marTop w:val="0"/>
      <w:marBottom w:val="0"/>
      <w:divBdr>
        <w:top w:val="none" w:sz="0" w:space="0" w:color="auto"/>
        <w:left w:val="none" w:sz="0" w:space="0" w:color="auto"/>
        <w:bottom w:val="none" w:sz="0" w:space="0" w:color="auto"/>
        <w:right w:val="none" w:sz="0" w:space="0" w:color="auto"/>
      </w:divBdr>
    </w:div>
    <w:div w:id="1159348669">
      <w:bodyDiv w:val="1"/>
      <w:marLeft w:val="0"/>
      <w:marRight w:val="0"/>
      <w:marTop w:val="0"/>
      <w:marBottom w:val="0"/>
      <w:divBdr>
        <w:top w:val="none" w:sz="0" w:space="0" w:color="auto"/>
        <w:left w:val="none" w:sz="0" w:space="0" w:color="auto"/>
        <w:bottom w:val="none" w:sz="0" w:space="0" w:color="auto"/>
        <w:right w:val="none" w:sz="0" w:space="0" w:color="auto"/>
      </w:divBdr>
    </w:div>
    <w:div w:id="1310477391">
      <w:bodyDiv w:val="1"/>
      <w:marLeft w:val="0"/>
      <w:marRight w:val="0"/>
      <w:marTop w:val="0"/>
      <w:marBottom w:val="0"/>
      <w:divBdr>
        <w:top w:val="none" w:sz="0" w:space="0" w:color="auto"/>
        <w:left w:val="none" w:sz="0" w:space="0" w:color="auto"/>
        <w:bottom w:val="none" w:sz="0" w:space="0" w:color="auto"/>
        <w:right w:val="none" w:sz="0" w:space="0" w:color="auto"/>
      </w:divBdr>
    </w:div>
    <w:div w:id="1340502023">
      <w:bodyDiv w:val="1"/>
      <w:marLeft w:val="0"/>
      <w:marRight w:val="0"/>
      <w:marTop w:val="0"/>
      <w:marBottom w:val="0"/>
      <w:divBdr>
        <w:top w:val="none" w:sz="0" w:space="0" w:color="auto"/>
        <w:left w:val="none" w:sz="0" w:space="0" w:color="auto"/>
        <w:bottom w:val="none" w:sz="0" w:space="0" w:color="auto"/>
        <w:right w:val="none" w:sz="0" w:space="0" w:color="auto"/>
      </w:divBdr>
    </w:div>
    <w:div w:id="1446345533">
      <w:bodyDiv w:val="1"/>
      <w:marLeft w:val="0"/>
      <w:marRight w:val="0"/>
      <w:marTop w:val="0"/>
      <w:marBottom w:val="0"/>
      <w:divBdr>
        <w:top w:val="none" w:sz="0" w:space="0" w:color="auto"/>
        <w:left w:val="none" w:sz="0" w:space="0" w:color="auto"/>
        <w:bottom w:val="none" w:sz="0" w:space="0" w:color="auto"/>
        <w:right w:val="none" w:sz="0" w:space="0" w:color="auto"/>
      </w:divBdr>
    </w:div>
    <w:div w:id="1528565372">
      <w:bodyDiv w:val="1"/>
      <w:marLeft w:val="0"/>
      <w:marRight w:val="0"/>
      <w:marTop w:val="0"/>
      <w:marBottom w:val="0"/>
      <w:divBdr>
        <w:top w:val="none" w:sz="0" w:space="0" w:color="auto"/>
        <w:left w:val="none" w:sz="0" w:space="0" w:color="auto"/>
        <w:bottom w:val="none" w:sz="0" w:space="0" w:color="auto"/>
        <w:right w:val="none" w:sz="0" w:space="0" w:color="auto"/>
      </w:divBdr>
    </w:div>
    <w:div w:id="1814372736">
      <w:bodyDiv w:val="1"/>
      <w:marLeft w:val="0"/>
      <w:marRight w:val="0"/>
      <w:marTop w:val="0"/>
      <w:marBottom w:val="0"/>
      <w:divBdr>
        <w:top w:val="none" w:sz="0" w:space="0" w:color="auto"/>
        <w:left w:val="none" w:sz="0" w:space="0" w:color="auto"/>
        <w:bottom w:val="none" w:sz="0" w:space="0" w:color="auto"/>
        <w:right w:val="none" w:sz="0" w:space="0" w:color="auto"/>
      </w:divBdr>
    </w:div>
    <w:div w:id="184296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uri.europene@energie.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cabinet@energie.gov.ro&#5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7AFC-F92A-4CCE-90FD-7AD7B5AF1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5982</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2023-10-06T06:14:00Z</dcterms:created>
  <dcterms:modified xsi:type="dcterms:W3CDTF">2023-10-06T06:14:00Z</dcterms:modified>
</cp:coreProperties>
</file>