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8122" w14:textId="340DEA84" w:rsidR="00E165E2" w:rsidRPr="00803385" w:rsidRDefault="00E165E2" w:rsidP="00271E1E">
      <w:pPr>
        <w:pStyle w:val="NoSpacing"/>
        <w:rPr>
          <w:lang w:val="ro-RO"/>
        </w:rPr>
      </w:pPr>
      <w:r w:rsidRPr="00803385">
        <w:rPr>
          <w:lang w:val="ro-RO"/>
        </w:rPr>
        <w:t>GUVERNUL ROMÂNIEI</w:t>
      </w:r>
    </w:p>
    <w:p w14:paraId="10E3A6DB" w14:textId="77777777" w:rsidR="00EC7FAD" w:rsidRPr="00803385" w:rsidRDefault="00EC7FAD" w:rsidP="00E165E2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bookmarkStart w:id="0" w:name="_Hlk39016653"/>
    </w:p>
    <w:p w14:paraId="6313C5E6" w14:textId="6D82EBF8" w:rsidR="00E165E2" w:rsidRPr="00803385" w:rsidRDefault="008C2AB5" w:rsidP="00196D6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HOTĂRÂRE</w:t>
      </w:r>
    </w:p>
    <w:p w14:paraId="1A721E75" w14:textId="720BCB65" w:rsidR="00BE1534" w:rsidRPr="00143192" w:rsidRDefault="00E165E2" w:rsidP="00196D6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bookmarkStart w:id="1" w:name="_Hlk150512287"/>
      <w:bookmarkEnd w:id="0"/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pentru aprobarea </w:t>
      </w:r>
      <w:r w:rsidR="00143192" w:rsidRPr="001431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unor măsuri necesare derulării activității </w:t>
      </w:r>
      <w:r w:rsidR="00143192" w:rsidRP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societăților prestatoare de servicii de proiectare și performanță energetică</w:t>
      </w:r>
      <w:r w:rsidR="00143192" w:rsidRPr="0014319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și a modelului</w:t>
      </w:r>
      <w:r w:rsidR="00143192" w:rsidRP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contractului cadru de </w:t>
      </w:r>
      <w:bookmarkStart w:id="2" w:name="_Hlk79332582"/>
      <w:r w:rsidRPr="0014319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servicii de proiectare și performanță energetică</w:t>
      </w:r>
      <w:bookmarkEnd w:id="2"/>
    </w:p>
    <w:bookmarkEnd w:id="1"/>
    <w:p w14:paraId="06F1CD63" w14:textId="77777777" w:rsidR="008C2AB5" w:rsidRPr="00143192" w:rsidRDefault="008C2AB5" w:rsidP="008C2AB5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5C1C0FED" w14:textId="3A36B086" w:rsidR="00143192" w:rsidRPr="00175B3F" w:rsidRDefault="008C2AB5" w:rsidP="0014319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pt-BR"/>
        </w:rPr>
      </w:pPr>
      <w:r w:rsidRPr="0014319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În temeiul art. 108 din Constituția României, republicată</w:t>
      </w:r>
      <w:r w:rsidR="00143192" w:rsidRPr="00143192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43192" w:rsidRPr="00175B3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pt-BR"/>
        </w:rPr>
        <w:t>al art. 3 alin. (2) lit. l) și art. 17 alin. (2) lit. b) din Legea nr. 121/2014 privind eficiența energetică, cu modificările și completările ulterioare</w:t>
      </w:r>
    </w:p>
    <w:p w14:paraId="689D883A" w14:textId="7E80051D" w:rsidR="008C2AB5" w:rsidRPr="00803385" w:rsidRDefault="008C2AB5" w:rsidP="007A738F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14:paraId="6C475EEE" w14:textId="77777777" w:rsidR="00EC7FAD" w:rsidRPr="00803385" w:rsidRDefault="00EC7FAD" w:rsidP="007A73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105126E5" w14:textId="0884DE0D" w:rsidR="008C2AB5" w:rsidRPr="00803385" w:rsidRDefault="008C2AB5" w:rsidP="007A73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0338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Guvernul României adoptă prezenta hotărâre:</w:t>
      </w:r>
    </w:p>
    <w:p w14:paraId="07F1034C" w14:textId="4418367A" w:rsidR="008C2AB5" w:rsidRPr="00803385" w:rsidRDefault="008C2AB5" w:rsidP="008C2AB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14:paraId="6FEEC52D" w14:textId="77777777" w:rsidR="008C2AB5" w:rsidRPr="00803385" w:rsidRDefault="008C2AB5" w:rsidP="008C2AB5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p w14:paraId="04869602" w14:textId="3337CB0F" w:rsidR="0026191C" w:rsidRPr="00803385" w:rsidRDefault="0026191C" w:rsidP="00BE026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Art.1</w:t>
      </w:r>
      <w:r w:rsid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-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</w:t>
      </w:r>
      <w:bookmarkStart w:id="3" w:name="_Hlk79337739"/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modelul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contractul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>ui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cadru de servicii de proiectare și performanță energetică</w:t>
      </w:r>
      <w:bookmarkEnd w:id="3"/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element integrat în procedura de achiziție a managementului eficienței energetice pentru implementarea măsurilor de îmbunătățire a eficienței energetice, la nivelul </w:t>
      </w:r>
      <w:r w:rsidR="00524C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operatorului economic din industrie,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unității administrativ-teritoriale</w:t>
      </w:r>
      <w:r w:rsidR="00F36727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și a sectoarelor </w:t>
      </w:r>
      <w:r w:rsidR="00524C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municipiului București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>prevăzut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anex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nr.1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prezenta hotărâre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1FA626" w14:textId="2397596A" w:rsidR="0026191C" w:rsidRPr="00803385" w:rsidRDefault="0026191C" w:rsidP="00BE026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 w:rsidR="00D12907"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-</w:t>
      </w:r>
      <w:r w:rsidR="00D12907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Etape</w:t>
      </w:r>
      <w:r w:rsidR="004242C5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le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procedurii de contractare </w:t>
      </w:r>
      <w:r w:rsidR="00EC20FC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servicii</w:t>
      </w:r>
      <w:r w:rsidR="00EC20FC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lor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proiectare și performanță energetică, desfășurată la nivelul </w:t>
      </w:r>
      <w:r w:rsidR="00A45A43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operatorilor industriali, 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unității administrativ-teritoriale</w:t>
      </w:r>
      <w:r w:rsidR="00F36727" w:rsidRPr="00803385">
        <w:rPr>
          <w:color w:val="000000" w:themeColor="text1"/>
        </w:rPr>
        <w:t xml:space="preserve"> </w:t>
      </w:r>
      <w:r w:rsidR="00F36727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și a sectoarelor 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</w:rPr>
        <w:t>municipiului București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>or sunt următoarele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F05BCB" w14:textId="121A344B" w:rsidR="00BF4FF6" w:rsidRPr="00803385" w:rsidRDefault="00EC7FAD" w:rsidP="00524C8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524C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operatorul economic din industrie, unitatea administrativ-teritorială și sectoarele municipiului București </w:t>
      </w:r>
      <w:r w:rsidR="00BF4FF6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identifică necesitatea de investiții 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pentru 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implementarea 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unor 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măsuri de îmbunătățire a eficienței energetice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vederea realizării de economii de energie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cu luarea în considerare a modelului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contractului cadru de servicii de proiectare și performanță energetică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60BD004D" w14:textId="7DB94C3F" w:rsidR="00022F81" w:rsidRPr="00803385" w:rsidRDefault="00EC7FAD" w:rsidP="00EC7FA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b)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în scopul inițierii procedurii de achiziție de servicii de proiectare și performanță energetică, 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operatorul economic din industrie, unitatea administrativ-teritorială și sectoarele municipiului București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realizează un audit energetic preliminar, 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în condițiile stabilite în</w:t>
      </w:r>
      <w:r w:rsidR="0014319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anex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nr.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14319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la prezenta hotărâre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care stabilește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necesarul de 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investiții</w:t>
      </w:r>
      <w:r w:rsidR="003D1A8C" w:rsidRPr="003D1A8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3D1A8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pentru </w:t>
      </w:r>
      <w:r w:rsidR="003D1A8C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implementarea </w:t>
      </w:r>
      <w:r w:rsidR="003D1A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unor </w:t>
      </w:r>
      <w:r w:rsidR="003D1A8C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măsuri de îmbunătățire a eficienței energetice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economia lunară de energie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urmare a investiției</w:t>
      </w:r>
      <w:r w:rsidR="00022F81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în mod estimativ, reflectată în economia de costuri lunară,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astfel rezultând valoarea achiziției solicitate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10CB592C" w14:textId="7E34417F" w:rsidR="00604522" w:rsidRPr="00803385" w:rsidRDefault="00EC7FAD" w:rsidP="00EC7FA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c)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inițierea achiziției se realiz</w:t>
      </w:r>
      <w:r w:rsidR="00CF0BE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</w:t>
      </w:r>
      <w:r w:rsidR="00CF0BE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ză cu respectarea prevederilor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art. 3 alin.(1) lit. c), art. 24 și art. 25 din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nn-NO"/>
        </w:rPr>
        <w:t>L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egea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nn-NO"/>
        </w:rPr>
        <w:t xml:space="preserve"> 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nn-NO"/>
        </w:rPr>
        <w:t>r. 98/2016 privind achiziţiile publice</w:t>
      </w:r>
      <w:r w:rsidR="00604522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cu modificările și completările ulterioare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61A128B0" w14:textId="357A0A27" w:rsidR="00604522" w:rsidRPr="00175B3F" w:rsidRDefault="00EC7FAD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d) </w:t>
      </w:r>
      <w:r w:rsidR="00175B3F" w:rsidRPr="00175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documentaţia de atribuire </w:t>
      </w:r>
      <w:r w:rsidR="00175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 întelesul prevăzut la </w:t>
      </w:r>
      <w:r w:rsidR="00175B3F" w:rsidRPr="00175B3F">
        <w:rPr>
          <w:rFonts w:ascii="Times New Roman" w:hAnsi="Times New Roman" w:cs="Times New Roman"/>
          <w:color w:val="000000" w:themeColor="text1"/>
          <w:sz w:val="24"/>
          <w:szCs w:val="24"/>
        </w:rPr>
        <w:t>art. 3 alin. (1) lit. z) din Legea 98/2016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și conține</w:t>
      </w:r>
      <w:r w:rsidR="00175B3F" w:rsidRPr="00175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documentul achiziţiei care cuprinde cerinţele, criteriile, regulile şi alte informaţii necesare pentru a asigura operatorilor economici o informare completă, corectă şi explicită cu privire la cerinţe sau elemente ale achiziţiei, obiectul contractului şi modul de desfăşurare a </w:t>
      </w:r>
      <w:r w:rsidR="00175B3F" w:rsidRPr="00175B3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procedurii de atribuire, inclusiv specificaţiile tehnice ori documentul descriptiv, condiţiile contractuale propuse, formatele de prezentare a documentelor de către candidaţi/ofertanţi, informaţiile privind obligaţiile generale aplicabile;</w:t>
      </w:r>
    </w:p>
    <w:p w14:paraId="7FC326BC" w14:textId="004E0CEE" w:rsidR="009F43B0" w:rsidRPr="00803385" w:rsidRDefault="00EC7FAD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e) 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societatea prestatoare de servicii de proiectare și performanță energetică</w:t>
      </w:r>
      <w:r w:rsidR="00CF0BE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înseamnă operatorul economic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căr</w:t>
      </w:r>
      <w:r w:rsidR="00CF0BE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ia i-a fost atribuit contractul de achiziție publică</w:t>
      </w:r>
      <w:r w:rsidR="00EC20F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CF0BE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respectiv cel care 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semnează </w:t>
      </w:r>
      <w:bookmarkStart w:id="4" w:name="_Hlk79338594"/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contractul cadru de servicii de proiectare și performanță energetică</w:t>
      </w:r>
      <w:bookmarkEnd w:id="4"/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402C0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cu </w:t>
      </w:r>
      <w:r w:rsidR="009402C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operatorul economic din industrie, unitatea administrativ-teritorială și/sau sectoarele municipiului București</w:t>
      </w:r>
      <w:r w:rsidR="009402C0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6C56EA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sau un contract de concesiune</w:t>
      </w:r>
      <w:r w:rsidR="009402C0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B499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de lucrări sau concesiune de servicii, în cazul în care entitatea contractantă constată că o parte semnificativă a riscului de operare va fi transferată operatorului economic</w:t>
      </w:r>
      <w:r w:rsidR="009402C0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1353D4D3" w14:textId="7EFA4683" w:rsidR="00B868D3" w:rsidRPr="00803385" w:rsidRDefault="00EC7FAD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f) </w:t>
      </w:r>
      <w:r w:rsidR="00B868D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anterior semnării contractului cadru de servicii de proiectare și performanță energetică, </w:t>
      </w:r>
      <w:r w:rsidR="00EC20F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societatea ESCO va realiza un audit energetic estimativ conform anexei nr.2, pentru a ajusta elem</w:t>
      </w:r>
      <w:r w:rsidR="006C56EA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EC20F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ntele de economie de energie și categoriile/standardele echipamentelor cuprinse în documentația de achiziție, respectând componenta de cost, respectiv valoarea totală angajată a contractului de achiziție.</w:t>
      </w:r>
    </w:p>
    <w:p w14:paraId="29B36686" w14:textId="631E3FCC" w:rsidR="00EC20FC" w:rsidRPr="00803385" w:rsidRDefault="00EC20FC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Art.</w:t>
      </w:r>
      <w:r w:rsidR="00934480"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296F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3</w:t>
      </w:r>
      <w:r w:rsid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 -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7598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Se autorizează </w:t>
      </w:r>
      <w:r w:rsidR="0007598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Institutul Național de Statistică</w:t>
      </w:r>
      <w:r w:rsidR="00075989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să completeze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cu respectarea prevederilor art. 5 din </w:t>
      </w:r>
      <w:r w:rsidR="009F18F6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Hotărârea Guvernului nr. 656/1997, 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privind aprobarea </w:t>
      </w:r>
      <w:r w:rsidR="009F18F6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Clasificar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ii</w:t>
      </w:r>
      <w:r w:rsidR="009F18F6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activităţilor din economia naţională - CAEN cu modificările și completările ulterioare,</w:t>
      </w:r>
      <w:r w:rsidR="0042034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termen de 30 de zile de la 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data intrării în vigoare a prezentei hotărâri</w:t>
      </w:r>
      <w:r w:rsidR="0042034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să introducă </w:t>
      </w:r>
      <w:r w:rsidR="00C40FC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activitatea de presta</w:t>
      </w:r>
      <w:r w:rsidR="00A45A4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re</w:t>
      </w:r>
      <w:r w:rsidR="00C40FC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servicii de proiectare și performanță energetică a societăților ESCO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lista activităților din economia națională</w:t>
      </w:r>
      <w:r w:rsidR="00C40FC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î</w:t>
      </w:r>
      <w:r w:rsidR="00420349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 scopul identificării activității economice a </w:t>
      </w:r>
      <w:r w:rsidR="00C40FC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acestora.</w:t>
      </w:r>
    </w:p>
    <w:p w14:paraId="21FF4B35" w14:textId="156AE5A6" w:rsidR="00420349" w:rsidRPr="00803385" w:rsidRDefault="00420349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Art.</w:t>
      </w:r>
      <w:r w:rsidR="00296F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4</w:t>
      </w:r>
      <w:r w:rsidR="00175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-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462A75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(1)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Societățile înregistrate la Oficiul Național al Registrului Comerțului</w:t>
      </w:r>
      <w:r w:rsidR="00A45A43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în temeiul art.</w:t>
      </w:r>
      <w:r w:rsidR="009F18F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296F8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3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prezintă Ministerului Energiei</w:t>
      </w:r>
      <w:r w:rsidR="000105E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solicitarea de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0105E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înscriere în baza de date națională a societăților prestatoare de servicii de proiectare și performanță energetică</w:t>
      </w:r>
      <w:r w:rsidR="00175B3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denumite în continuare societăți</w:t>
      </w:r>
      <w:r w:rsidR="000105E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ESCO și prezintă spre avizare următoarele documente</w:t>
      </w:r>
      <w:r w:rsidR="000105EF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34C2366" w14:textId="467B3F4C" w:rsidR="000105EF" w:rsidRPr="00803385" w:rsidRDefault="00EC7FAD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a) </w:t>
      </w:r>
      <w:r w:rsidR="00462A75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dovada înregistrării la </w:t>
      </w:r>
      <w:r w:rsidR="004E287E">
        <w:rPr>
          <w:rFonts w:ascii="Times New Roman" w:hAnsi="Times New Roman" w:cs="Times New Roman"/>
          <w:color w:val="000000" w:themeColor="text1"/>
          <w:sz w:val="24"/>
          <w:szCs w:val="24"/>
        </w:rPr>
        <w:t>oficiile</w:t>
      </w:r>
      <w:r w:rsidR="00462A75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Registrului Comerțului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date generale de identificare ale societății, obiectul de activitate care să corespundă specificului de servicii de proiectare și performanță energetică și codul CAEN, </w:t>
      </w:r>
    </w:p>
    <w:p w14:paraId="725933D3" w14:textId="40F8D15F" w:rsidR="000105EF" w:rsidRPr="00803385" w:rsidRDefault="00EC7FAD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r w:rsidR="00462A75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actul </w:t>
      </w:r>
      <w:r w:rsidR="004E287E">
        <w:rPr>
          <w:rFonts w:ascii="Times New Roman" w:hAnsi="Times New Roman" w:cs="Times New Roman"/>
          <w:color w:val="000000" w:themeColor="text1"/>
          <w:sz w:val="24"/>
          <w:szCs w:val="24"/>
        </w:rPr>
        <w:t>constitutiv înregistrat;</w:t>
      </w:r>
    </w:p>
    <w:p w14:paraId="09AD6A25" w14:textId="5C9D6085" w:rsidR="00462A75" w:rsidRPr="00803385" w:rsidRDefault="00EC7FAD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r w:rsidR="00462A75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dovada acordului 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fondatorilor, administratorilor, asociaţilor, acţionarilor, membrilor şi reprezentanţilor legali sau desemnaţi, după caz</w:t>
      </w:r>
      <w:r w:rsidR="00175B3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F3DFA2B" w14:textId="5D18A150" w:rsidR="00934480" w:rsidRPr="00803385" w:rsidRDefault="00EC7FAD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prezentarea experienței și/sau echipei care realizează activitatea de servicii de proiectare și performanță energetică, în cadrul societății</w:t>
      </w:r>
      <w:r w:rsidR="00175B3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9620E2" w14:textId="6D2BADCE" w:rsidR="00934480" w:rsidRPr="00803385" w:rsidRDefault="00EC7FAD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e) 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dovada privind plata tarifului legal</w:t>
      </w:r>
      <w:r w:rsidR="00C40FC8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BA2FADC" w14:textId="428CBC82" w:rsidR="00462A75" w:rsidRDefault="00462A75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) Procedura de înscriere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formularele tipizate</w:t>
      </w:r>
      <w:r w:rsidR="00934480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și tariful de înregistrare a societăților ESCO în baza de date națională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aprobă prin ordin al ministrului energiei, în termen de </w:t>
      </w:r>
      <w:r w:rsidR="00A45A43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90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zile de la </w:t>
      </w:r>
      <w:r w:rsidR="004E287E">
        <w:rPr>
          <w:rFonts w:ascii="Times New Roman" w:hAnsi="Times New Roman" w:cs="Times New Roman"/>
          <w:color w:val="000000" w:themeColor="text1"/>
          <w:sz w:val="24"/>
          <w:szCs w:val="24"/>
        </w:rPr>
        <w:t>intrarea în vigoare a</w:t>
      </w:r>
      <w:r w:rsidR="004E287E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prezentei </w:t>
      </w:r>
      <w:r w:rsidR="004E287E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A45A43" w:rsidRPr="00803385">
        <w:rPr>
          <w:rFonts w:ascii="Times New Roman" w:hAnsi="Times New Roman" w:cs="Times New Roman"/>
          <w:color w:val="000000" w:themeColor="text1"/>
          <w:sz w:val="24"/>
          <w:szCs w:val="24"/>
        </w:rPr>
        <w:t>otărâri</w:t>
      </w:r>
      <w:r w:rsidR="004E287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820CE92" w14:textId="2484FF9B" w:rsidR="004E287E" w:rsidRPr="00803385" w:rsidRDefault="004E287E" w:rsidP="00A8706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(3) Min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sterul Energiei, prin Direcția Eficiență Energetică, realizează o bază de date a</w:t>
      </w:r>
      <w:r w:rsidRPr="004E287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societăților ESCO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pe care o publică 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website-ul propriu, la o secțiune dedicată. 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Această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bază de date este actualizată anual sau ori de câte ori este necesar.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6F16819E" w14:textId="77777777" w:rsidR="00296F82" w:rsidRDefault="00296F82" w:rsidP="00296F8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C5866D4" w14:textId="77777777" w:rsidR="00296F82" w:rsidRDefault="00296F82" w:rsidP="00296F8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497A62" w14:textId="4DAAF238" w:rsidR="00296F82" w:rsidRPr="00432AFC" w:rsidRDefault="00296F82" w:rsidP="00296F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2AF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Art.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32AFC">
        <w:rPr>
          <w:rFonts w:ascii="Times New Roman" w:hAnsi="Times New Roman" w:cs="Times New Roman"/>
          <w:b/>
          <w:bCs/>
          <w:sz w:val="24"/>
          <w:szCs w:val="24"/>
        </w:rPr>
        <w:t xml:space="preserve">. – (1) </w:t>
      </w:r>
      <w:r w:rsidRPr="00432AFC">
        <w:rPr>
          <w:rFonts w:ascii="Times New Roman" w:hAnsi="Times New Roman" w:cs="Times New Roman"/>
          <w:sz w:val="24"/>
          <w:szCs w:val="24"/>
        </w:rPr>
        <w:t xml:space="preserve">Desfășurarea activităților de servicii de proiectare și performanță energetică, conform prevederilor prezentei hotărâri, fără avizul Ministerului Energiei constituie contravenție și se sancționează cu amendă </w:t>
      </w:r>
      <w:r w:rsidRPr="00432AFC">
        <w:rPr>
          <w:rFonts w:ascii="Times New Roman" w:eastAsia="Times New Roman" w:hAnsi="Times New Roman" w:cs="Times New Roman"/>
          <w:sz w:val="24"/>
          <w:szCs w:val="24"/>
        </w:rPr>
        <w:t>în măsura în care nu sunt săvârșite în astfel de condiții încât să fie considerate, potrivit legii penale, infracțiuni, și se sancționează cu amendă cuprinsă între 10.000 și 50.000 lei</w:t>
      </w:r>
      <w:r w:rsidRPr="00432AFC">
        <w:rPr>
          <w:rFonts w:ascii="Times New Roman" w:hAnsi="Times New Roman" w:cs="Times New Roman"/>
          <w:sz w:val="24"/>
          <w:szCs w:val="24"/>
        </w:rPr>
        <w:t>.</w:t>
      </w:r>
    </w:p>
    <w:p w14:paraId="0BE8E795" w14:textId="77777777" w:rsidR="00296F82" w:rsidRPr="00347E63" w:rsidRDefault="00296F82" w:rsidP="00296F82">
      <w:pPr>
        <w:spacing w:after="0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347E63">
        <w:rPr>
          <w:rFonts w:ascii="Times New Roman" w:eastAsia="Times New Roman" w:hAnsi="Times New Roman" w:cs="Times New Roman"/>
          <w:sz w:val="24"/>
          <w:szCs w:val="24"/>
        </w:rPr>
        <w:t xml:space="preserve">) Constatarea contravențiilor și aplicarea sancțiunilor se realizează de către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personalul </w:t>
      </w:r>
      <w:r w:rsidRPr="00347E63">
        <w:rPr>
          <w:rFonts w:ascii="Times New Roman" w:eastAsia="Times New Roman" w:hAnsi="Times New Roman" w:cs="Times New Roman"/>
          <w:sz w:val="24"/>
          <w:szCs w:val="24"/>
        </w:rPr>
        <w:t>desemnat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prin ordin emis de ministrul Energiei, emis în termen de 60 de zile de la data intrării în vigoare a prezentei hotărâri</w:t>
      </w:r>
      <w:r w:rsidRPr="00347E6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08FAC7" w14:textId="77777777" w:rsidR="00296F82" w:rsidRPr="00347E63" w:rsidRDefault="00296F82" w:rsidP="00296F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E6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47E63">
        <w:rPr>
          <w:rFonts w:ascii="Times New Roman" w:eastAsia="Times New Roman" w:hAnsi="Times New Roman" w:cs="Times New Roman"/>
          <w:sz w:val="24"/>
          <w:szCs w:val="24"/>
        </w:rPr>
        <w:t xml:space="preserve">) În măsura în care prin prezenta </w:t>
      </w:r>
      <w:r>
        <w:rPr>
          <w:rFonts w:ascii="Times New Roman" w:eastAsia="Times New Roman" w:hAnsi="Times New Roman" w:cs="Times New Roman"/>
          <w:sz w:val="24"/>
          <w:szCs w:val="24"/>
        </w:rPr>
        <w:t>hotărâre</w:t>
      </w:r>
      <w:r w:rsidRPr="00347E63">
        <w:rPr>
          <w:rFonts w:ascii="Times New Roman" w:eastAsia="Times New Roman" w:hAnsi="Times New Roman" w:cs="Times New Roman"/>
          <w:sz w:val="24"/>
          <w:szCs w:val="24"/>
        </w:rPr>
        <w:t xml:space="preserve"> nu se dispune altfel, sunt aplicabile prevederile Ordonanței Guvernului nr. 2/2001 privind regimul juridic al contravențiilor.</w:t>
      </w:r>
    </w:p>
    <w:p w14:paraId="41548FB4" w14:textId="77777777" w:rsidR="00296F82" w:rsidRPr="00803385" w:rsidRDefault="00296F82" w:rsidP="00296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761D13" w14:textId="4D09D785" w:rsidR="000105EF" w:rsidRPr="00803385" w:rsidRDefault="00C47DBA" w:rsidP="00296F8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Art. </w:t>
      </w:r>
      <w:r w:rsidR="00296F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6</w:t>
      </w:r>
      <w:r w:rsidR="00A079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 -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(1) Se aprobă constituirea </w:t>
      </w:r>
      <w:bookmarkStart w:id="5" w:name="_Hlk79446411"/>
      <w:r w:rsidR="00175B3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unui comitet consultativ</w:t>
      </w:r>
      <w:r w:rsidR="00290F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Comitetul de Monitorizare a </w:t>
      </w:r>
      <w:bookmarkStart w:id="6" w:name="_Hlk79448114"/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Contractului de servicii de proiectare și performanță energetică</w:t>
      </w:r>
      <w:bookmarkEnd w:id="5"/>
      <w:bookmarkEnd w:id="6"/>
      <w:r w:rsidR="00175B3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monitoriz</w:t>
      </w:r>
      <w:r w:rsidR="001F0E5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area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activității societăților ESCO</w:t>
      </w:r>
      <w:r w:rsidR="00A079C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în componența căruia sunt nominalizați</w:t>
      </w:r>
      <w:r w:rsidR="007A2BA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reprezentanți cu profil energetic, tehnic și reprezentanți ai Ministerului Energiei.</w:t>
      </w:r>
    </w:p>
    <w:p w14:paraId="674ABF08" w14:textId="0D9DF18C" w:rsidR="007A2BAC" w:rsidRPr="00803385" w:rsidRDefault="007A2BAC" w:rsidP="00D426D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(</w:t>
      </w:r>
      <w:r w:rsidR="00A079C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) </w:t>
      </w:r>
      <w:r w:rsidR="00A079C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Atribuțiile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Comitetului de Monitorizare a </w:t>
      </w:r>
      <w:r w:rsidR="00290F3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Contractului de servicii de proiectare și performanță energetică</w:t>
      </w:r>
      <w:r w:rsidR="00290F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și </w:t>
      </w:r>
      <w:r w:rsidR="00290F3C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monitorizarea activității societăților ESCO</w:t>
      </w:r>
      <w:r w:rsidR="00A079C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se stabilesc prin ordin al ministrului energiei, emis în termen de </w:t>
      </w:r>
      <w:r w:rsidR="00A8706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60 </w:t>
      </w:r>
      <w:r w:rsidR="00A079C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de zile de la data intrării în vigoare a prezentei hotărâri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14:paraId="0D8AA756" w14:textId="7F482E5E" w:rsidR="00EC20FC" w:rsidRPr="00CD12DD" w:rsidRDefault="00BE026D" w:rsidP="00BE02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12DD">
        <w:rPr>
          <w:rFonts w:ascii="Times New Roman" w:hAnsi="Times New Roman" w:cs="Times New Roman"/>
          <w:b/>
          <w:bCs/>
          <w:sz w:val="24"/>
          <w:szCs w:val="24"/>
        </w:rPr>
        <w:t xml:space="preserve">Art. </w:t>
      </w:r>
      <w:r w:rsidR="00296F8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079CD" w:rsidRPr="00CD12DD">
        <w:rPr>
          <w:rFonts w:ascii="Times New Roman" w:hAnsi="Times New Roman" w:cs="Times New Roman"/>
          <w:b/>
          <w:bCs/>
          <w:sz w:val="24"/>
          <w:szCs w:val="24"/>
        </w:rPr>
        <w:t>. -</w:t>
      </w:r>
      <w:r w:rsidRPr="00CD12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20FC" w:rsidRPr="00CD12DD">
        <w:rPr>
          <w:rFonts w:ascii="Times New Roman" w:hAnsi="Times New Roman" w:cs="Times New Roman"/>
          <w:sz w:val="24"/>
          <w:szCs w:val="24"/>
        </w:rPr>
        <w:t xml:space="preserve">Prevederile prezentei </w:t>
      </w:r>
      <w:r w:rsidR="00A079CD" w:rsidRPr="00CD12DD">
        <w:rPr>
          <w:rFonts w:ascii="Times New Roman" w:hAnsi="Times New Roman" w:cs="Times New Roman"/>
          <w:sz w:val="24"/>
          <w:szCs w:val="24"/>
        </w:rPr>
        <w:t>hotărâri</w:t>
      </w:r>
      <w:r w:rsidR="00EC20FC" w:rsidRPr="00CD12DD">
        <w:rPr>
          <w:rFonts w:ascii="Times New Roman" w:hAnsi="Times New Roman" w:cs="Times New Roman"/>
          <w:sz w:val="24"/>
          <w:szCs w:val="24"/>
        </w:rPr>
        <w:t xml:space="preserve"> se completează cu prevederile Legii nr. 98/2016 privind achiziţiile publice, cu modificările și completările ulterioare</w:t>
      </w:r>
      <w:r w:rsidR="00A079CD" w:rsidRPr="00CD12DD">
        <w:rPr>
          <w:rFonts w:ascii="Times New Roman" w:hAnsi="Times New Roman" w:cs="Times New Roman"/>
          <w:sz w:val="24"/>
          <w:szCs w:val="24"/>
        </w:rPr>
        <w:t xml:space="preserve"> si ale </w:t>
      </w:r>
      <w:r w:rsidR="003E473E" w:rsidRPr="00CD12D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Normelor metodologice de aplicare a prevederilor referitoare la atribuirea contractului de achiziţie publică/acordului-cadru din Legea nr. 98/2016 privind achiziţiile publice, aprobate prin H.G. nr. 395/2016, </w:t>
      </w:r>
      <w:r w:rsidR="003E473E" w:rsidRPr="00CD12DD">
        <w:rPr>
          <w:rFonts w:ascii="Times New Roman" w:hAnsi="Times New Roman" w:cs="Times New Roman"/>
          <w:sz w:val="24"/>
          <w:szCs w:val="24"/>
        </w:rPr>
        <w:t>cu modificările și completările ulterioare</w:t>
      </w:r>
      <w:r w:rsidR="00EC20FC" w:rsidRPr="00CD12DD">
        <w:rPr>
          <w:rFonts w:ascii="Times New Roman" w:hAnsi="Times New Roman" w:cs="Times New Roman"/>
          <w:sz w:val="24"/>
          <w:szCs w:val="24"/>
        </w:rPr>
        <w:t>.</w:t>
      </w:r>
    </w:p>
    <w:p w14:paraId="4C715D1C" w14:textId="034166B7" w:rsidR="00EC7FAD" w:rsidRDefault="00BE026D" w:rsidP="009C4E0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Art. </w:t>
      </w:r>
      <w:r w:rsidR="00296F8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8</w:t>
      </w:r>
      <w:r w:rsidR="00CD12D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</w:t>
      </w:r>
      <w:r w:rsidR="003E4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-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Anex</w:t>
      </w:r>
      <w:r w:rsidR="002E6A4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nr.1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–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Modelul 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Contract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ului cadru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 servicii de proiectare și performanță energetică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2E6A48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și anexa 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nr.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–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Modelul 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Ghid</w:t>
      </w:r>
      <w:r w:rsidR="001038A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ului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de realizare a procedurii de achiziție a managementului eficienței energetice pentru implementarea măsurilor de îmbunătățire a eficienței energetice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="001C24FF"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80338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fac parte integrantă din prezenta </w:t>
      </w:r>
      <w:r w:rsidR="00CD12D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hotarâre.</w:t>
      </w:r>
    </w:p>
    <w:p w14:paraId="7092F89E" w14:textId="77777777" w:rsidR="00296F82" w:rsidRPr="00432AFC" w:rsidRDefault="00296F82" w:rsidP="00296F8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432AF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Art.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9.</w:t>
      </w:r>
    </w:p>
    <w:p w14:paraId="36FF6A50" w14:textId="5D87675E" w:rsidR="00296F82" w:rsidRDefault="00296F82" w:rsidP="00296F8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Prevederile art.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alin. (1) și (2) intră în vigoare în termen de 30 zile de la data publicării prezentei hotărâri</w:t>
      </w:r>
    </w:p>
    <w:p w14:paraId="61F78B01" w14:textId="77777777" w:rsidR="00446E01" w:rsidRDefault="00446E01" w:rsidP="009C4E0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41B4243" w14:textId="77777777" w:rsidR="00446E01" w:rsidRPr="009C4E0B" w:rsidRDefault="00446E01" w:rsidP="009C4E0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A38D402" w14:textId="2E09E3B5" w:rsidR="00BE026D" w:rsidRPr="00803385" w:rsidRDefault="00BE026D" w:rsidP="00BE026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80338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PRIM-MINISTRU</w:t>
      </w:r>
    </w:p>
    <w:p w14:paraId="39271BC6" w14:textId="77777777" w:rsidR="00242723" w:rsidRPr="00803385" w:rsidRDefault="00242723" w:rsidP="00BE026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06043422" w14:textId="429AC0B7" w:rsidR="00BE026D" w:rsidRPr="008337FD" w:rsidRDefault="00290F3C" w:rsidP="008337F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Ion- </w:t>
      </w:r>
      <w:r w:rsidR="00242723" w:rsidRPr="0080338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Marcel CIOLACU</w:t>
      </w:r>
    </w:p>
    <w:sectPr w:rsidR="00BE026D" w:rsidRPr="008337FD" w:rsidSect="00446E01"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A1F0C"/>
    <w:multiLevelType w:val="hybridMultilevel"/>
    <w:tmpl w:val="AAB0AF5E"/>
    <w:lvl w:ilvl="0" w:tplc="5AAAB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204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3C2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247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F23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2AF4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0825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44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E2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A895417"/>
    <w:multiLevelType w:val="hybridMultilevel"/>
    <w:tmpl w:val="36C22C3A"/>
    <w:lvl w:ilvl="0" w:tplc="6FCA1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496420">
    <w:abstractNumId w:val="1"/>
  </w:num>
  <w:num w:numId="2" w16cid:durableId="183972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4F"/>
    <w:rsid w:val="000105EF"/>
    <w:rsid w:val="00022F81"/>
    <w:rsid w:val="000377EA"/>
    <w:rsid w:val="0004794F"/>
    <w:rsid w:val="0006584F"/>
    <w:rsid w:val="00075989"/>
    <w:rsid w:val="000D1E0E"/>
    <w:rsid w:val="001038AD"/>
    <w:rsid w:val="00105AD0"/>
    <w:rsid w:val="001216E5"/>
    <w:rsid w:val="00143192"/>
    <w:rsid w:val="00175B3F"/>
    <w:rsid w:val="00196D6A"/>
    <w:rsid w:val="001A0B0E"/>
    <w:rsid w:val="001C24FF"/>
    <w:rsid w:val="001F0E5F"/>
    <w:rsid w:val="00242723"/>
    <w:rsid w:val="00252328"/>
    <w:rsid w:val="0026191C"/>
    <w:rsid w:val="00271E1E"/>
    <w:rsid w:val="00290F3C"/>
    <w:rsid w:val="00296F82"/>
    <w:rsid w:val="002E6A48"/>
    <w:rsid w:val="003819C5"/>
    <w:rsid w:val="003B6277"/>
    <w:rsid w:val="003C4137"/>
    <w:rsid w:val="003D1A8C"/>
    <w:rsid w:val="003E473E"/>
    <w:rsid w:val="003F5FDB"/>
    <w:rsid w:val="00420349"/>
    <w:rsid w:val="004242C5"/>
    <w:rsid w:val="004247B1"/>
    <w:rsid w:val="00446E01"/>
    <w:rsid w:val="0045581A"/>
    <w:rsid w:val="0045660B"/>
    <w:rsid w:val="00462A75"/>
    <w:rsid w:val="00483AB1"/>
    <w:rsid w:val="004A0BB4"/>
    <w:rsid w:val="004E287E"/>
    <w:rsid w:val="004F47F1"/>
    <w:rsid w:val="00524C80"/>
    <w:rsid w:val="00556BEE"/>
    <w:rsid w:val="005A284B"/>
    <w:rsid w:val="005A5A66"/>
    <w:rsid w:val="005C45FF"/>
    <w:rsid w:val="00604522"/>
    <w:rsid w:val="00614422"/>
    <w:rsid w:val="00670EF3"/>
    <w:rsid w:val="00673942"/>
    <w:rsid w:val="006B00FA"/>
    <w:rsid w:val="006C56EA"/>
    <w:rsid w:val="006D4F04"/>
    <w:rsid w:val="006F3E45"/>
    <w:rsid w:val="006F44F1"/>
    <w:rsid w:val="006F6623"/>
    <w:rsid w:val="007439EC"/>
    <w:rsid w:val="00766056"/>
    <w:rsid w:val="007A2BAC"/>
    <w:rsid w:val="007A738F"/>
    <w:rsid w:val="00803385"/>
    <w:rsid w:val="008337FD"/>
    <w:rsid w:val="008732FD"/>
    <w:rsid w:val="008B51E9"/>
    <w:rsid w:val="008C2AB5"/>
    <w:rsid w:val="009340B1"/>
    <w:rsid w:val="00934480"/>
    <w:rsid w:val="009402C0"/>
    <w:rsid w:val="00944257"/>
    <w:rsid w:val="009578F1"/>
    <w:rsid w:val="0098157F"/>
    <w:rsid w:val="00990B05"/>
    <w:rsid w:val="009B508D"/>
    <w:rsid w:val="009C3D69"/>
    <w:rsid w:val="009C4E0B"/>
    <w:rsid w:val="009F18F6"/>
    <w:rsid w:val="009F43B0"/>
    <w:rsid w:val="00A079CD"/>
    <w:rsid w:val="00A45474"/>
    <w:rsid w:val="00A45A43"/>
    <w:rsid w:val="00A87068"/>
    <w:rsid w:val="00AA1330"/>
    <w:rsid w:val="00AE6AE4"/>
    <w:rsid w:val="00B70B85"/>
    <w:rsid w:val="00B868D3"/>
    <w:rsid w:val="00B936C5"/>
    <w:rsid w:val="00BB4999"/>
    <w:rsid w:val="00BE026D"/>
    <w:rsid w:val="00BE1534"/>
    <w:rsid w:val="00BF4FF6"/>
    <w:rsid w:val="00C0101D"/>
    <w:rsid w:val="00C40FC8"/>
    <w:rsid w:val="00C47DBA"/>
    <w:rsid w:val="00C7308F"/>
    <w:rsid w:val="00CC65E9"/>
    <w:rsid w:val="00CD12DD"/>
    <w:rsid w:val="00CD6CC0"/>
    <w:rsid w:val="00CF0BEB"/>
    <w:rsid w:val="00D12907"/>
    <w:rsid w:val="00D426DF"/>
    <w:rsid w:val="00D465F5"/>
    <w:rsid w:val="00D53AAD"/>
    <w:rsid w:val="00D57BB3"/>
    <w:rsid w:val="00D62A61"/>
    <w:rsid w:val="00DD28C7"/>
    <w:rsid w:val="00E165E2"/>
    <w:rsid w:val="00E34AC7"/>
    <w:rsid w:val="00EC20FC"/>
    <w:rsid w:val="00EC7FAD"/>
    <w:rsid w:val="00F36727"/>
    <w:rsid w:val="00F646F3"/>
    <w:rsid w:val="00F7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4F518"/>
  <w15:chartTrackingRefBased/>
  <w15:docId w15:val="{3AFDC917-9C0C-407D-AC40-27B89D27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01D"/>
    <w:pPr>
      <w:ind w:left="720"/>
      <w:contextualSpacing/>
    </w:pPr>
  </w:style>
  <w:style w:type="paragraph" w:styleId="Revision">
    <w:name w:val="Revision"/>
    <w:hidden/>
    <w:uiPriority w:val="99"/>
    <w:semiHidden/>
    <w:rsid w:val="00524C80"/>
    <w:pPr>
      <w:spacing w:after="0" w:line="240" w:lineRule="auto"/>
    </w:pPr>
  </w:style>
  <w:style w:type="paragraph" w:styleId="NoSpacing">
    <w:name w:val="No Spacing"/>
    <w:uiPriority w:val="1"/>
    <w:qFormat/>
    <w:rsid w:val="00D426D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F0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B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B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BEB"/>
    <w:rPr>
      <w:b/>
      <w:bCs/>
      <w:sz w:val="20"/>
      <w:szCs w:val="20"/>
    </w:rPr>
  </w:style>
  <w:style w:type="character" w:customStyle="1" w:styleId="l5def">
    <w:name w:val="l5def"/>
    <w:basedOn w:val="DefaultParagraphFont"/>
    <w:rsid w:val="004E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3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87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24</dc:creator>
  <cp:keywords/>
  <dc:description/>
  <cp:lastModifiedBy>Cornel Bobalca</cp:lastModifiedBy>
  <cp:revision>4</cp:revision>
  <cp:lastPrinted>2023-11-10T11:28:00Z</cp:lastPrinted>
  <dcterms:created xsi:type="dcterms:W3CDTF">2023-11-10T11:26:00Z</dcterms:created>
  <dcterms:modified xsi:type="dcterms:W3CDTF">2023-11-10T11:39:00Z</dcterms:modified>
</cp:coreProperties>
</file>