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4CD9F" w14:textId="18E3E556" w:rsidR="00F105DE" w:rsidRPr="00040B54" w:rsidRDefault="00F1436B" w:rsidP="003474AE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40B5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NOTA DE FUNDAMENTARE</w:t>
      </w:r>
    </w:p>
    <w:p w14:paraId="7E8C0AFC" w14:textId="3A499CC6" w:rsidR="00F105DE" w:rsidRPr="00040B54" w:rsidRDefault="00F105DE" w:rsidP="00F105DE">
      <w:pPr>
        <w:spacing w:after="0" w:line="240" w:lineRule="auto"/>
        <w:rPr>
          <w:rFonts w:ascii="Times New Roman" w:eastAsiaTheme="majorEastAsia" w:hAnsi="Times New Roman" w:cs="Times New Roman"/>
          <w:bCs/>
          <w:sz w:val="24"/>
          <w:szCs w:val="24"/>
          <w:lang w:eastAsia="en-US"/>
        </w:rPr>
      </w:pPr>
      <w:r w:rsidRPr="00040B54">
        <w:rPr>
          <w:rFonts w:ascii="Times New Roman" w:eastAsiaTheme="majorEastAsia" w:hAnsi="Times New Roman" w:cs="Times New Roman"/>
          <w:bCs/>
          <w:sz w:val="24"/>
          <w:szCs w:val="24"/>
          <w:lang w:eastAsia="en-US"/>
        </w:rPr>
        <w:t xml:space="preserve">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256"/>
        <w:gridCol w:w="1419"/>
        <w:gridCol w:w="584"/>
        <w:gridCol w:w="585"/>
        <w:gridCol w:w="584"/>
        <w:gridCol w:w="585"/>
        <w:gridCol w:w="2338"/>
      </w:tblGrid>
      <w:tr w:rsidR="006D5B9C" w:rsidRPr="00040B54" w14:paraId="08375FA0" w14:textId="77777777" w:rsidTr="0008230D">
        <w:tc>
          <w:tcPr>
            <w:tcW w:w="9351" w:type="dxa"/>
            <w:gridSpan w:val="7"/>
          </w:tcPr>
          <w:p w14:paraId="144B52DD" w14:textId="77777777" w:rsidR="00BB619F" w:rsidRPr="00040B54" w:rsidRDefault="00BB619F" w:rsidP="0008230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5102ACD" w14:textId="7300F9E2" w:rsidR="0008230D" w:rsidRPr="00040B54" w:rsidRDefault="0008230D" w:rsidP="0008230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Sec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iunea 1:</w:t>
            </w:r>
          </w:p>
          <w:p w14:paraId="4A6CF4E2" w14:textId="77777777" w:rsidR="00F105DE" w:rsidRPr="00040B54" w:rsidRDefault="0008230D" w:rsidP="0008230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Titlul proiectului de act normativ</w:t>
            </w:r>
          </w:p>
          <w:p w14:paraId="3281D319" w14:textId="77777777" w:rsidR="001F05F4" w:rsidRPr="00040B54" w:rsidRDefault="001F05F4" w:rsidP="0008230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21243088" w14:textId="77777777" w:rsidR="00E93373" w:rsidRPr="00040B54" w:rsidRDefault="001F05F4" w:rsidP="00E93373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bookmarkStart w:id="0" w:name="_Hlk141360008"/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Hotărâre </w:t>
            </w:r>
            <w:bookmarkStart w:id="1" w:name="_Hlk150512287"/>
          </w:p>
          <w:p w14:paraId="6B762F33" w14:textId="418B896F" w:rsidR="00E93373" w:rsidRPr="00040B54" w:rsidRDefault="00E93373" w:rsidP="00E93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pentru aprobarea unor măsuri necesare derulării activității </w:t>
            </w:r>
            <w:r w:rsidRPr="00040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societăților prestatoare de servicii de proiectare și performanță energetică și a modelului </w:t>
            </w:r>
            <w:r w:rsidRPr="00040B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contractului cadru de </w:t>
            </w:r>
            <w:bookmarkStart w:id="2" w:name="_Hlk79332582"/>
            <w:r w:rsidRPr="00040B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servicii de proiectare și performanță energetică</w:t>
            </w:r>
            <w:bookmarkEnd w:id="2"/>
          </w:p>
          <w:bookmarkEnd w:id="0"/>
          <w:bookmarkEnd w:id="1"/>
          <w:p w14:paraId="3AF94776" w14:textId="2FFD9AA9" w:rsidR="0008230D" w:rsidRPr="00040B54" w:rsidRDefault="0008230D" w:rsidP="00C93DE0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2910625C" w14:textId="77777777" w:rsidTr="0008230D">
        <w:tc>
          <w:tcPr>
            <w:tcW w:w="9351" w:type="dxa"/>
            <w:gridSpan w:val="7"/>
          </w:tcPr>
          <w:p w14:paraId="73C07957" w14:textId="77777777" w:rsidR="00BB619F" w:rsidRPr="00040B54" w:rsidRDefault="00BB619F" w:rsidP="0008230D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0BB3B4C" w14:textId="1645D49C" w:rsidR="0008230D" w:rsidRPr="00040B54" w:rsidRDefault="0008230D" w:rsidP="0008230D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Sec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iunea a 2-a:</w:t>
            </w:r>
          </w:p>
          <w:p w14:paraId="540BF4DB" w14:textId="77777777" w:rsidR="0008230D" w:rsidRPr="00040B54" w:rsidRDefault="0008230D" w:rsidP="0008230D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Motivul emiterii actului normativ</w:t>
            </w:r>
          </w:p>
          <w:p w14:paraId="36D51EEE" w14:textId="3C953669" w:rsidR="0008230D" w:rsidRPr="00040B54" w:rsidRDefault="0008230D" w:rsidP="0008230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526941AF" w14:textId="77777777" w:rsidTr="0008230D">
        <w:tc>
          <w:tcPr>
            <w:tcW w:w="9351" w:type="dxa"/>
            <w:gridSpan w:val="7"/>
          </w:tcPr>
          <w:p w14:paraId="51FA9F5F" w14:textId="4B51DB74" w:rsidR="0008230D" w:rsidRPr="00040B54" w:rsidRDefault="0008230D" w:rsidP="0008230D">
            <w:pP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2.1 Sursa proiectului de act normativ </w:t>
            </w:r>
          </w:p>
          <w:p w14:paraId="3138D187" w14:textId="7677FC16" w:rsidR="00521B08" w:rsidRPr="00040B54" w:rsidRDefault="00521B08" w:rsidP="00521B08">
            <w:pPr>
              <w:pStyle w:val="Heading4"/>
              <w:spacing w:before="225" w:beforeAutospacing="0" w:after="75" w:afterAutospacing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040B54">
              <w:rPr>
                <w:rFonts w:ascii="Times New Roman" w:eastAsia="Times New Roman" w:hAnsi="Times New Roman" w:cs="Times New Roman"/>
                <w:b w:val="0"/>
                <w:bCs w:val="0"/>
              </w:rPr>
              <w:t>Legea 121/2014 privind eficiența energetică</w:t>
            </w:r>
            <w:r w:rsidR="00432267" w:rsidRPr="00040B54">
              <w:rPr>
                <w:rFonts w:ascii="Times New Roman" w:eastAsia="Times New Roman" w:hAnsi="Times New Roman" w:cs="Times New Roman"/>
                <w:b w:val="0"/>
                <w:bCs w:val="0"/>
              </w:rPr>
              <w:t xml:space="preserve">, </w:t>
            </w:r>
            <w:r w:rsidR="002D7D1F" w:rsidRPr="00040B54">
              <w:rPr>
                <w:rFonts w:ascii="Times New Roman" w:eastAsia="Times New Roman" w:hAnsi="Times New Roman" w:cs="Times New Roman"/>
                <w:b w:val="0"/>
                <w:bCs w:val="0"/>
              </w:rPr>
              <w:t xml:space="preserve">cu modificările și completările ulterioare, </w:t>
            </w:r>
            <w:r w:rsidR="00432267" w:rsidRPr="00040B54">
              <w:rPr>
                <w:rFonts w:ascii="Times New Roman" w:eastAsia="Times New Roman" w:hAnsi="Times New Roman" w:cs="Times New Roman"/>
                <w:b w:val="0"/>
                <w:bCs w:val="0"/>
              </w:rPr>
              <w:t xml:space="preserve">în acord cu </w:t>
            </w:r>
            <w:r w:rsidR="00033505" w:rsidRPr="00040B54">
              <w:rPr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 xml:space="preserve">Directiva 2012/27/UE a Parlamentului European și a Consiliului din 25 octombrie 2012 privind eficiența energetică, </w:t>
            </w:r>
            <w:r w:rsidR="00E93373" w:rsidRPr="00040B54">
              <w:rPr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de modificare a Directivelor 2009/125/CE și 2010/30/UE și de abrogare a Directivelor 2004/8/CE și 2006/32/CE </w:t>
            </w:r>
            <w:r w:rsidR="00033505" w:rsidRPr="00040B54">
              <w:rPr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, </w:t>
            </w:r>
            <w:r w:rsidRPr="00040B54">
              <w:rPr>
                <w:rFonts w:ascii="Times New Roman" w:eastAsia="Times New Roman" w:hAnsi="Times New Roman" w:cs="Times New Roman"/>
                <w:b w:val="0"/>
                <w:bCs w:val="0"/>
              </w:rPr>
              <w:t xml:space="preserve">prevede la art. 17 faptul că </w:t>
            </w:r>
            <w:r w:rsidRPr="00040B54">
              <w:rPr>
                <w:rFonts w:ascii="Times New Roman" w:hAnsi="Times New Roman" w:cs="Times New Roman"/>
                <w:b w:val="0"/>
                <w:bCs w:val="0"/>
              </w:rPr>
              <w:t>Ministerul Energiei, în colaborare cu celelalte autorităţi competente, promovează dezvoltarea pieţei serviciilor energetice şi reglementează accesul la aceasta prin instrumentele financiare, stimulentele, granturile, facilitarea împrumuturilor de la instituţiile financiar</w:t>
            </w:r>
            <w:r w:rsidR="00376BEC" w:rsidRPr="00040B54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040B54">
              <w:rPr>
                <w:rFonts w:ascii="Times New Roman" w:hAnsi="Times New Roman" w:cs="Times New Roman"/>
                <w:b w:val="0"/>
                <w:bCs w:val="0"/>
              </w:rPr>
              <w:t>- bancare, după caz, menite să susţină proiectele de eficienţă energetică şi activitatea societăţilor de servicii energetice de tip ESCO</w:t>
            </w:r>
            <w:r w:rsidR="00432267" w:rsidRPr="00040B54">
              <w:rPr>
                <w:rFonts w:ascii="Times New Roman" w:hAnsi="Times New Roman" w:cs="Times New Roman"/>
                <w:b w:val="0"/>
                <w:bCs w:val="0"/>
              </w:rPr>
              <w:t xml:space="preserve"> și reprezintă o măsură de politică alternativă în domneiul eficienței energetice.</w:t>
            </w:r>
          </w:p>
          <w:p w14:paraId="76522753" w14:textId="2EB19E2E" w:rsidR="00A630C9" w:rsidRPr="00040B54" w:rsidRDefault="00432267" w:rsidP="00A630C9">
            <w:pPr>
              <w:pStyle w:val="Heading4"/>
              <w:spacing w:before="225" w:beforeAutospacing="0" w:after="75" w:afterAutospacing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040B54">
              <w:rPr>
                <w:rFonts w:ascii="Times New Roman" w:hAnsi="Times New Roman" w:cs="Times New Roman"/>
                <w:b w:val="0"/>
                <w:bCs w:val="0"/>
              </w:rPr>
              <w:t xml:space="preserve">De asemenea, crearea unei piețe a serviciilor energetice </w:t>
            </w:r>
            <w:r w:rsidR="00A630C9" w:rsidRPr="00040B54">
              <w:rPr>
                <w:rFonts w:ascii="Times New Roman" w:hAnsi="Times New Roman" w:cs="Times New Roman"/>
                <w:b w:val="0"/>
                <w:bCs w:val="0"/>
              </w:rPr>
              <w:t xml:space="preserve">și implicit promovarea mecanismelor adecvate precum contractele specifice de servicii de proiectare și performanță energetică </w:t>
            </w:r>
            <w:r w:rsidRPr="00040B54">
              <w:rPr>
                <w:rFonts w:ascii="Times New Roman" w:hAnsi="Times New Roman" w:cs="Times New Roman"/>
                <w:b w:val="0"/>
                <w:bCs w:val="0"/>
              </w:rPr>
              <w:t>este prevăzută și în Componenta C.6 din Planul Național de Reziliență și Reformă al României</w:t>
            </w:r>
            <w:r w:rsidR="00A630C9" w:rsidRPr="00040B54">
              <w:rPr>
                <w:rFonts w:ascii="Times New Roman" w:hAnsi="Times New Roman" w:cs="Times New Roman"/>
                <w:b w:val="0"/>
                <w:bCs w:val="0"/>
              </w:rPr>
              <w:t xml:space="preserve"> – Reforma nr. 5 ”Reducerea intensității energetice a economiei prin dezvoltarea unui mecanism sustenabil de stimulare a eficienței energetice în industrie şi de creștere a rezilienței”.</w:t>
            </w:r>
          </w:p>
          <w:p w14:paraId="339C99ED" w14:textId="4AE449EB" w:rsidR="00171407" w:rsidRPr="00040B54" w:rsidRDefault="00171407" w:rsidP="00171407">
            <w:pPr>
              <w:pStyle w:val="Default"/>
              <w:rPr>
                <w:noProof/>
                <w:color w:val="auto"/>
                <w:lang w:val="ro-RO"/>
              </w:rPr>
            </w:pPr>
            <w:r w:rsidRPr="00040B54">
              <w:rPr>
                <w:noProof/>
                <w:color w:val="auto"/>
                <w:lang w:val="ro-RO"/>
              </w:rPr>
              <w:t>Acestă reformă</w:t>
            </w:r>
            <w:r w:rsidR="00E729C0" w:rsidRPr="00040B54">
              <w:rPr>
                <w:noProof/>
                <w:color w:val="auto"/>
                <w:lang w:val="ro-RO"/>
              </w:rPr>
              <w:t xml:space="preserve"> transpusă în Jalonul nr. 127 </w:t>
            </w:r>
            <w:r w:rsidRPr="00040B54">
              <w:rPr>
                <w:noProof/>
                <w:color w:val="auto"/>
                <w:lang w:val="ro-RO"/>
              </w:rPr>
              <w:t xml:space="preserve"> vizează inclusiv intrarea în vigoare a cadrului legislativ care va introduce măsuri pentru a facilita investițiile în eficiență energetică în industrie. </w:t>
            </w:r>
          </w:p>
          <w:p w14:paraId="19C9E993" w14:textId="2F18C261" w:rsidR="00171407" w:rsidRPr="00040B54" w:rsidRDefault="00E729C0" w:rsidP="00171407">
            <w:pPr>
              <w:pStyle w:val="Default"/>
              <w:rPr>
                <w:noProof/>
                <w:color w:val="auto"/>
                <w:lang w:val="ro-RO"/>
              </w:rPr>
            </w:pPr>
            <w:r w:rsidRPr="00040B54">
              <w:rPr>
                <w:noProof/>
                <w:color w:val="auto"/>
                <w:lang w:val="ro-RO"/>
              </w:rPr>
              <w:t>Intre rezultatele acestei r</w:t>
            </w:r>
            <w:r w:rsidR="00171407" w:rsidRPr="00040B54">
              <w:rPr>
                <w:noProof/>
                <w:color w:val="auto"/>
                <w:lang w:val="ro-RO"/>
              </w:rPr>
              <w:t>eform</w:t>
            </w:r>
            <w:r w:rsidRPr="00040B54">
              <w:rPr>
                <w:noProof/>
                <w:color w:val="auto"/>
                <w:lang w:val="ro-RO"/>
              </w:rPr>
              <w:t>e se află si următoarea măsură</w:t>
            </w:r>
            <w:r w:rsidR="00171407" w:rsidRPr="00040B54">
              <w:rPr>
                <w:noProof/>
                <w:color w:val="auto"/>
                <w:lang w:val="ro-RO"/>
              </w:rPr>
              <w:t xml:space="preserve">: </w:t>
            </w:r>
          </w:p>
          <w:p w14:paraId="4551AE6A" w14:textId="2A86E171" w:rsidR="004E528C" w:rsidRPr="00040B54" w:rsidRDefault="00E729C0" w:rsidP="00380B4D">
            <w:pPr>
              <w:pStyle w:val="Default"/>
              <w:rPr>
                <w:noProof/>
                <w:color w:val="auto"/>
                <w:lang w:val="ro-RO"/>
              </w:rPr>
            </w:pPr>
            <w:r w:rsidRPr="00040B54">
              <w:rPr>
                <w:noProof/>
                <w:color w:val="auto"/>
                <w:lang w:val="ro-RO"/>
              </w:rPr>
              <w:t>”</w:t>
            </w:r>
            <w:r w:rsidR="00171407" w:rsidRPr="00040B54">
              <w:rPr>
                <w:noProof/>
                <w:color w:val="auto"/>
                <w:lang w:val="ro-RO"/>
              </w:rPr>
              <w:t>i) va elimina obstacolele din calea calea contractelor de performanță energetică</w:t>
            </w:r>
            <w:r w:rsidR="00D83CC4" w:rsidRPr="00040B54">
              <w:rPr>
                <w:noProof/>
                <w:color w:val="auto"/>
                <w:lang w:val="ro-RO"/>
              </w:rPr>
              <w:t>.</w:t>
            </w:r>
            <w:r w:rsidRPr="00040B54">
              <w:rPr>
                <w:noProof/>
                <w:color w:val="auto"/>
                <w:lang w:val="ro-RO"/>
              </w:rPr>
              <w:t>”</w:t>
            </w:r>
          </w:p>
          <w:p w14:paraId="597E03EB" w14:textId="1AA65058" w:rsidR="00A630C9" w:rsidRPr="00040B54" w:rsidRDefault="00A630C9" w:rsidP="00A630C9">
            <w:pPr>
              <w:pStyle w:val="Heading4"/>
              <w:spacing w:before="225" w:beforeAutospacing="0" w:after="75" w:afterAutospacing="0"/>
              <w:jc w:val="both"/>
              <w:rPr>
                <w:rFonts w:ascii="Times New Roman" w:eastAsiaTheme="majorEastAsia" w:hAnsi="Times New Roman" w:cs="Times New Roman"/>
                <w:b w:val="0"/>
                <w:bCs w:val="0"/>
              </w:rPr>
            </w:pPr>
          </w:p>
        </w:tc>
      </w:tr>
      <w:tr w:rsidR="006D5B9C" w:rsidRPr="00040B54" w14:paraId="2781B999" w14:textId="77777777" w:rsidTr="0008230D">
        <w:tc>
          <w:tcPr>
            <w:tcW w:w="9351" w:type="dxa"/>
            <w:gridSpan w:val="7"/>
          </w:tcPr>
          <w:p w14:paraId="538006C0" w14:textId="1A6B3B71" w:rsidR="0008230D" w:rsidRPr="00040B54" w:rsidRDefault="0008230D" w:rsidP="0008230D">
            <w:pP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2.2 Descrierea situa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iei actuale</w:t>
            </w:r>
          </w:p>
          <w:p w14:paraId="713F37F2" w14:textId="77777777" w:rsidR="001F05F4" w:rsidRPr="00040B54" w:rsidRDefault="001F05F4" w:rsidP="0008230D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</w:p>
          <w:p w14:paraId="33A081BB" w14:textId="77777777" w:rsidR="00E729C0" w:rsidRPr="00040B54" w:rsidRDefault="00E729C0" w:rsidP="00E729C0">
            <w:pPr>
              <w:pStyle w:val="al"/>
              <w:shd w:val="clear" w:color="auto" w:fill="FFFFFF"/>
              <w:spacing w:before="0" w:beforeAutospacing="0" w:after="15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În conformitate cu prevederile art. 3 alin. (2) din Legea nr. 121/2014,</w:t>
            </w:r>
            <w:r w:rsidRPr="00040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</w:rPr>
              <w:t>cu modificările și completările ulterioare, Ministerul Energiei are responsabilitatea de a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elabora cadrul legal privind aprobarea şi implementarea Contractului-cadru de performanţă energetică şi de a reglementa societăţile de servicii energetice de tip ESCO (lit. l);</w:t>
            </w:r>
          </w:p>
          <w:p w14:paraId="2F9DB009" w14:textId="77777777" w:rsidR="00E729C0" w:rsidRPr="00040B54" w:rsidRDefault="00E729C0" w:rsidP="00E729C0">
            <w:pPr>
              <w:pStyle w:val="al"/>
              <w:shd w:val="clear" w:color="auto" w:fill="FFFFFF"/>
              <w:spacing w:before="0" w:beforeAutospacing="0" w:after="15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Potrivit prevederilor art. 17 alin. (2) din Legea nr. 121/2014, Ministerul Energiei şi autorităţile competente sprijină funcţionarea adecvată a pieţei de servicii energetice, după caz, prin adoptarea de măsuri vizând eliminarea barierelor legislative care împiedică încheierea de 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contracte de performanţă energetică şi adoptarea altor modele de servicii de eficienţă energetică în vederea identificării şi/sau punerii în aplicare a măsurilor destinate economisirii de energie (lit. b).</w:t>
            </w:r>
          </w:p>
          <w:p w14:paraId="1434335B" w14:textId="35E1AC12" w:rsidR="00E729C0" w:rsidRPr="00040B54" w:rsidRDefault="00E729C0" w:rsidP="00521B0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 cadrul Anexei X la Legea nr. 121/2014 este prevăzută Lista Minimă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 elemente care trebuie incluse în contractele sau în caietele de sarcini asociate privind performanţa energetică încheiate cu sectorul public.</w:t>
            </w:r>
          </w:p>
          <w:p w14:paraId="1771D204" w14:textId="5D982F46" w:rsidR="00836296" w:rsidRPr="00040B54" w:rsidRDefault="00836296" w:rsidP="00521B0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Aceste elemente sunt următoarele:</w:t>
            </w:r>
          </w:p>
          <w:p w14:paraId="31FA375E" w14:textId="604DEC5F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-Lista clară şi transparentă a măsurilor privind eficienţa energetică care urmează să fie puse în aplicare sau a rezultatelor în materie de eficienţă care urmează să fie obţinute</w:t>
            </w:r>
          </w:p>
          <w:p w14:paraId="672AF148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Economiile garantate care urmează să fie realizate prin punerea în aplicare a măsurilor contractului</w:t>
            </w:r>
          </w:p>
          <w:p w14:paraId="757732B7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Durata şi etapele de referinţă ale contractului, termenii şi perioada de preaviz</w:t>
            </w:r>
          </w:p>
          <w:p w14:paraId="78E19555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Lista clară şi transparentă a obligaţiilor fiecărei părţi contractante</w:t>
            </w:r>
          </w:p>
          <w:p w14:paraId="012ACBA7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Data/datele de referinţă care stabileşte/stabilesc economiile realizate</w:t>
            </w:r>
          </w:p>
          <w:p w14:paraId="61D37D30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Lista clară şi transparentă a etapelor care urmează să fie efectuate pentru a se pune în aplicare măsura sau pachetul de măsuri şi, acolo unde este relevant, costurile asociate</w:t>
            </w:r>
          </w:p>
          <w:p w14:paraId="09768B22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Obligaţia de îndeplinire în totalitate a măsurilor prevăzute în contract şi de documentare a tuturor schimbărilor efectuate pe parcursul proiectului</w:t>
            </w:r>
          </w:p>
          <w:p w14:paraId="23C45D7D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Reglementările care specifică includerea cerinţelor echivalente în orice subcontractare către terţe părţi</w:t>
            </w:r>
          </w:p>
          <w:p w14:paraId="3F43387C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Afişarea clară şi transparentă a implicaţiilor financiare ale proiectului şi distribuirea contribuţiei fiecărei părţi la economiile monetare realizate, şi anume, remunerarea furnizorilor de servicii</w:t>
            </w:r>
          </w:p>
          <w:p w14:paraId="10DAD01B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Dispoziţii clare şi transparente privind măsurarea şi verificarea economiilor garantate obţinute, verificările şi garanţiile privind calitatea</w:t>
            </w:r>
          </w:p>
          <w:p w14:paraId="356E543B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Dispoziţii care clarifică procedura de abordare a condiţiilor de modificare a cadrului care afectează conţinutul şi rezultatele contractului, şi anume, modificarea preţurilor la energie, intensitatea utilizării unei instalaţii</w:t>
            </w:r>
          </w:p>
          <w:p w14:paraId="64A22CA7" w14:textId="77777777" w:rsidR="00836296" w:rsidRPr="00040B54" w:rsidRDefault="00836296" w:rsidP="0083629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 Informaţii detaliate privind obligaţiile fiecărei părţi contractante şi despre sancţiunile în caz de încălcare</w:t>
            </w:r>
          </w:p>
          <w:p w14:paraId="2FE6A7D1" w14:textId="77777777" w:rsidR="00E729C0" w:rsidRPr="00040B54" w:rsidRDefault="00E729C0" w:rsidP="00521B0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87A43FD" w14:textId="154F09B5" w:rsidR="00521B08" w:rsidRPr="00040B54" w:rsidRDefault="008C19CC" w:rsidP="00521B0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Cel mai important element al contractelor de performan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ță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energetic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ă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este garan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ț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ia de economisire a energiei, legat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ă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de o rambursare total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ă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 costurilor proiectului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realizat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ă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din economii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de energie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6DDB8FCD" w14:textId="304E5F39" w:rsidR="008C19CC" w:rsidRPr="00040B54" w:rsidRDefault="008C19CC" w:rsidP="00521B08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 scopul dezvolt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ării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capacit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ății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de 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utilizare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</w:t>
            </w:r>
            <w:r w:rsidR="00521B08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acestui tip de contracte este necesară existența unui tip de contract-cadru, reglementat</w:t>
            </w: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38E5AF10" w14:textId="1B6B4C67" w:rsidR="00C93DE0" w:rsidRPr="00040B54" w:rsidRDefault="001F05F4" w:rsidP="00C93D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Prin</w:t>
            </w:r>
            <w:r w:rsidRPr="00040B5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C93DE0" w:rsidRPr="00040B54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acest proiect de act normativ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se aprobă </w:t>
            </w:r>
            <w:bookmarkStart w:id="3" w:name="_Hlk79337739"/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contractul cadru de servicii de proiectare și performanță energetică</w:t>
            </w:r>
            <w:bookmarkEnd w:id="3"/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, element integrat în procedura de achiziție a managementului eficienței energetice pentru implementarea măsurilor de îmbunătățire a eficienței energetice</w:t>
            </w:r>
            <w:r w:rsidR="00A23BFC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în industrie și 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la nivelul unității administrativ-teritoriale și a sectoarelor municipiului București.</w:t>
            </w:r>
            <w:r w:rsidR="00836296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Modelul de contract cadru stabileste continutul drepturi și obligațiilor părților în acord cu prevederile Anexei X la Legea nr. 121/2014, ale  </w:t>
            </w:r>
            <w:r w:rsidR="00836296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Directiva 2012/27/UE a Parlamentului European și a Consiliului și ale actelor delegate ale Comisiei Europene în materie.</w:t>
            </w:r>
          </w:p>
          <w:p w14:paraId="69ADE4B6" w14:textId="77777777" w:rsidR="00836296" w:rsidRPr="00040B54" w:rsidRDefault="00836296" w:rsidP="00C93D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43359" w14:textId="18CB9FDE" w:rsidR="00C93DE0" w:rsidRPr="00040B54" w:rsidRDefault="00C93DE0" w:rsidP="00C93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De asemenea, se stabilesc etapele procedurii de contractare a serviciilor de proiectare și performanță energetică, desfășurată </w:t>
            </w:r>
            <w:r w:rsidR="00A23BFC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în industrie și 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la nivelul unității administrativ-teritoriale și a sectoarelor municipiului</w:t>
            </w:r>
            <w:r w:rsidR="00F90D22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București, respectiv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D4D0FFA" w14:textId="63E5CB18" w:rsidR="00A23BFC" w:rsidRPr="00040B54" w:rsidRDefault="00A23BFC" w:rsidP="00C93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- operatorii industriali identifică necesitatea de inv</w:t>
            </w:r>
            <w:r w:rsidR="00836296" w:rsidRPr="00040B5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stiții în eficiență energetică;</w:t>
            </w:r>
          </w:p>
          <w:p w14:paraId="7382C6D4" w14:textId="53354261" w:rsidR="00C93DE0" w:rsidRPr="00040B54" w:rsidRDefault="00F90D22" w:rsidP="00C93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1DED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operatorul industrial,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unitatea administrativ-teritorială sau sectorul municipiului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București 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identifică necesitatea de investiții, conform specificului contractului cadru de servicii de proiectare și performanță energetică, în vederea realizării de economii de energie;</w:t>
            </w:r>
          </w:p>
          <w:p w14:paraId="7B12A9A0" w14:textId="58560F4A" w:rsidR="00C93DE0" w:rsidRPr="00040B54" w:rsidRDefault="00F90D22" w:rsidP="00C93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- în 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scopul inițierii procedurii de achiziție de servicii de proiectare și performanță energetică, </w:t>
            </w:r>
            <w:r w:rsidR="00A23BFC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operatorii industriali, 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unitatea administrativ-teritorială sau sectorul municipiului realizează un audit energetic preliminar, care stabilește necesarul de investiție, economia lunară de energie urmare a investiției, în mod estimativ, reflectată în economia de costuri lunară, rezultând valoarea achiziției solicitate, elemente integrate în documentația de atribuire (caietul de sarcini);</w:t>
            </w:r>
          </w:p>
          <w:p w14:paraId="16024DA6" w14:textId="4B5A7342" w:rsidR="00C93DE0" w:rsidRPr="00040B54" w:rsidRDefault="00F90D22" w:rsidP="00C93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inițierea achiziției se poate realiza în temeiul art. 3 alin. (1) lit. c), art. 24 și art. 25 din Legea nr. 98/2016 privind achiziţiile publice, cu modificările și completările ulterioare;</w:t>
            </w:r>
          </w:p>
          <w:p w14:paraId="716989C8" w14:textId="65D186CE" w:rsidR="00C93DE0" w:rsidRPr="00040B54" w:rsidRDefault="00F90D22" w:rsidP="00C93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documentația de achiziție nu cuprinde contractul cadru de servicii de proiectare și performanță energetică, clauzele acestuia urmând a fi negociate, iar contractul semnat ulterior încheierii procedurii de achiziție;</w:t>
            </w:r>
          </w:p>
          <w:p w14:paraId="78D7AB7F" w14:textId="4D3A60B1" w:rsidR="00C93DE0" w:rsidRPr="00040B54" w:rsidRDefault="00F90D22" w:rsidP="00C93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societatea prestatoare de servicii de proiectare și performanță energetică, ESCO, căreia i-a fost atribuit contractul de achiziție publică, negociază clauzele contractuale și semnează </w:t>
            </w:r>
            <w:bookmarkStart w:id="4" w:name="_Hlk79338594"/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contractul cadru de servicii de proiectare și performanță energetică</w:t>
            </w:r>
            <w:bookmarkEnd w:id="4"/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, cu unitatea administrativ-teritorială sau sectorul municipiului;</w:t>
            </w:r>
          </w:p>
          <w:p w14:paraId="04DB326F" w14:textId="1DF1EEF3" w:rsidR="00C93DE0" w:rsidRPr="00040B54" w:rsidRDefault="00F90D22" w:rsidP="00C93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anterior semnării contractului cadru de servicii de proiectare și performanță energetică, societatea ESCO va realiza un audit energetic estimativ, pentru a ajusta elem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93DE0" w:rsidRPr="00040B54">
              <w:rPr>
                <w:rFonts w:ascii="Times New Roman" w:hAnsi="Times New Roman" w:cs="Times New Roman"/>
                <w:sz w:val="24"/>
                <w:szCs w:val="24"/>
              </w:rPr>
              <w:t>ntele de economie de energie și categoriile/standardele echipamentelor cuprinse în documentația de achiziție, respectând componenta de cost, respectiv valoarea totală angajată a contractului de achiziție.</w:t>
            </w:r>
          </w:p>
          <w:p w14:paraId="44EC58B4" w14:textId="2544411E" w:rsidR="002D7D1F" w:rsidRPr="00040B54" w:rsidRDefault="00836296" w:rsidP="00F90D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De asemenea este necesară includerea în </w:t>
            </w:r>
            <w:r w:rsidR="007D103C" w:rsidRPr="00040B54">
              <w:rPr>
                <w:rFonts w:ascii="Times New Roman" w:hAnsi="Times New Roman" w:cs="Times New Roman"/>
                <w:sz w:val="24"/>
                <w:szCs w:val="24"/>
              </w:rPr>
              <w:t>Clasificarea activităţilor din economia naţională - CAEN cu modificările și completările ulterioare, a activității de prestare  servicii de proiectare și performanță energetică a societăților ESCO, în scopul identificării activității economice a acestora și reglementarea modalității de avizare a acestor entități de către Ministerul Energiei, în calitate de autoritate competentă.</w:t>
            </w:r>
          </w:p>
          <w:p w14:paraId="30E3A019" w14:textId="7FD882B7" w:rsidR="00471169" w:rsidRPr="00040B54" w:rsidRDefault="00471169" w:rsidP="006D5B9C">
            <w:pPr>
              <w:pStyle w:val="al"/>
              <w:shd w:val="clear" w:color="auto" w:fill="FFFFFF"/>
              <w:spacing w:before="0" w:beforeAutospacing="0" w:after="150" w:afterAutospacing="0"/>
              <w:jc w:val="both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5B9C" w:rsidRPr="00040B54" w14:paraId="0C610A0A" w14:textId="77777777" w:rsidTr="0008230D">
        <w:tc>
          <w:tcPr>
            <w:tcW w:w="9351" w:type="dxa"/>
            <w:gridSpan w:val="7"/>
          </w:tcPr>
          <w:p w14:paraId="6C53659C" w14:textId="008F2E91" w:rsidR="0008230D" w:rsidRPr="00040B54" w:rsidRDefault="0008230D" w:rsidP="0008230D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lastRenderedPageBreak/>
              <w:t>2.3 Schimbări preconizate</w:t>
            </w:r>
            <w:r w:rsidR="002D5E85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A2F613C" w14:textId="0174372F" w:rsidR="00715D6F" w:rsidRPr="00040B54" w:rsidRDefault="00367F2A" w:rsidP="001B2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Proiectul de act normativ își propune </w:t>
            </w:r>
            <w:r w:rsidR="00450466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aprobarea </w:t>
            </w:r>
            <w:r w:rsidR="00450466" w:rsidRPr="00040B54">
              <w:rPr>
                <w:rFonts w:ascii="Times New Roman" w:hAnsi="Times New Roman" w:cs="Times New Roman"/>
                <w:sz w:val="24"/>
                <w:szCs w:val="24"/>
              </w:rPr>
              <w:t>contractul</w:t>
            </w:r>
            <w:r w:rsidR="007D103C" w:rsidRPr="00040B54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 w:rsidR="00450466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cadru de servicii de proiectare și performanță energetică, element integrat în procedura de achiziție a managementului eficienței energetice pentru implementarea măsurilor de îmbunătățire a eficienței energetice</w:t>
            </w:r>
            <w:r w:rsidR="00B94F70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în industrie și </w:t>
            </w:r>
            <w:r w:rsidR="00450466" w:rsidRPr="00040B54">
              <w:rPr>
                <w:rFonts w:ascii="Times New Roman" w:hAnsi="Times New Roman" w:cs="Times New Roman"/>
                <w:sz w:val="24"/>
                <w:szCs w:val="24"/>
              </w:rPr>
              <w:t>la nivelul</w:t>
            </w:r>
            <w:r w:rsidR="006C1DED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operatorului industrial, </w:t>
            </w:r>
            <w:r w:rsidR="00450466" w:rsidRPr="00040B54">
              <w:rPr>
                <w:rFonts w:ascii="Times New Roman" w:hAnsi="Times New Roman" w:cs="Times New Roman"/>
                <w:sz w:val="24"/>
                <w:szCs w:val="24"/>
              </w:rPr>
              <w:t>unității administrativ-teritoriale și a</w:t>
            </w:r>
            <w:r w:rsidR="00B94F70" w:rsidRPr="00040B5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450466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sectoarelor municipiului București</w:t>
            </w:r>
            <w:r w:rsidR="007D103C"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care este prevăzut în anexa nr. 1 la prezenta hotărâre</w:t>
            </w:r>
            <w:r w:rsidR="00450466" w:rsidRPr="00040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78F379" w14:textId="5C4BBBA4" w:rsidR="00B94F70" w:rsidRPr="00040B54" w:rsidRDefault="00B94F70" w:rsidP="00B94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Societatea prestatoare de servicii de proiectare și performanță energetică, ESCO, căreia i-a fost atribuit contractul de achiziție publică, negociază clauzele contractuale și semnează contractul-cadru de servicii de proiectare și performanță energetică, cu operatorul </w:t>
            </w:r>
            <w:r w:rsidR="00972262" w:rsidRPr="00040B54">
              <w:rPr>
                <w:rFonts w:ascii="Times New Roman" w:hAnsi="Times New Roman" w:cs="Times New Roman"/>
                <w:sz w:val="24"/>
                <w:szCs w:val="24"/>
              </w:rPr>
              <w:t>industrial,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unitatea administrativ-teritorială sau sectorul municipiului București.</w:t>
            </w:r>
          </w:p>
          <w:p w14:paraId="542152D4" w14:textId="26FA81C7" w:rsidR="00B94F70" w:rsidRPr="00040B54" w:rsidRDefault="00B94F70" w:rsidP="00B94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Anterior semnării contractului-cadru de servicii de proiectare și performanță energetică, societatea ESCO va realiza un audit energetic estimativ conform Ghidului de realizare a procedurii de achiziție a managementului eficienței energetice pentru implementarea măsurilor de îmbunătățire a eficienței energetice, prevăzut în anexa nr. </w:t>
            </w:r>
            <w:r w:rsidR="007D103C" w:rsidRPr="00040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la prezenta </w:t>
            </w:r>
            <w:r w:rsidR="007D103C" w:rsidRPr="00040B5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otărâre, pentru a ajusta elementele de economie de energie și categoriile/standardele echipamentelor cuprinse în documentația de achiziție, respectând componenta de cost, respectiv valoarea totală angajată a contractului de achiziție.</w:t>
            </w:r>
          </w:p>
          <w:p w14:paraId="11CE8C25" w14:textId="77777777" w:rsidR="00771E5A" w:rsidRPr="00040B54" w:rsidRDefault="00771E5A" w:rsidP="00771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 autorizează Institutul Național de Statistică, să completeze, cu respectarea prevederilor art. 5 din  Hotărârea Guvernului nr. 656/1997, privind aprobarea Clasificarea activităţilor din economia naţională - CAEN cu modificările și completările ulterioare, în termen de 30 de zile de la data intrării în vigoare a prezentei hotărâri, să introducă activitatea de prestare  servicii de proiectare și performanță energetică a societăților ESCO în lista activităților din economia națională, în scopul identificării activității economice a acestora.</w:t>
            </w:r>
          </w:p>
          <w:p w14:paraId="44D8BEA1" w14:textId="77777777" w:rsidR="006D5B9C" w:rsidRPr="00040B54" w:rsidRDefault="006D5B9C" w:rsidP="00B94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26B7F" w14:textId="575DCEF0" w:rsidR="00771E5A" w:rsidRPr="00040B54" w:rsidRDefault="00771E5A" w:rsidP="00B94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Se stabileste documentatia si procedura de autorizare a societăților ESCO.</w:t>
            </w:r>
          </w:p>
          <w:p w14:paraId="608131BB" w14:textId="77777777" w:rsidR="006D5B9C" w:rsidRPr="00040B54" w:rsidRDefault="006D5B9C" w:rsidP="00771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FEA24" w14:textId="2F2CB0A3" w:rsidR="00771E5A" w:rsidRPr="00040B54" w:rsidRDefault="00771E5A" w:rsidP="00771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Se aprobă constituirea </w:t>
            </w:r>
            <w:bookmarkStart w:id="5" w:name="_Hlk79446411"/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unui comitet consultativ, Comitetul de Monitorizare a </w:t>
            </w:r>
            <w:bookmarkStart w:id="6" w:name="_Hlk79448114"/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Contractului de servicii de proiectare și performanță energetică</w:t>
            </w:r>
            <w:bookmarkEnd w:id="5"/>
            <w:bookmarkEnd w:id="6"/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și monitorizarea activității societăților ESCO, în componența căruia sunt nominalizați reprezentanți cu profil energetic, tehnic și reprezentanți ai Ministerului Energiei.</w:t>
            </w:r>
          </w:p>
          <w:p w14:paraId="5406445D" w14:textId="146D8109" w:rsidR="00771E5A" w:rsidRPr="00040B54" w:rsidRDefault="00771E5A" w:rsidP="00771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Atribuțiile Comitetului de Monitorizare a Contractului de servicii de proiectare și performanță energetică și monitorizarea activității societăților ESCO se stabilesc prin ordin al ministrului energiei, emis în termen de </w:t>
            </w:r>
            <w:r w:rsidR="004504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0 de zile de la data intrării în vigoare a prezentei hotărâri.</w:t>
            </w:r>
          </w:p>
          <w:p w14:paraId="188D82C1" w14:textId="77777777" w:rsidR="00771E5A" w:rsidRPr="00040B54" w:rsidRDefault="00771E5A" w:rsidP="00B94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2B331" w14:textId="6795BAB9" w:rsidR="0008230D" w:rsidRPr="00040B54" w:rsidRDefault="0008230D" w:rsidP="006D5B9C">
            <w:pPr>
              <w:jc w:val="both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641498AF" w14:textId="77777777" w:rsidTr="0008230D">
        <w:tc>
          <w:tcPr>
            <w:tcW w:w="9351" w:type="dxa"/>
            <w:gridSpan w:val="7"/>
          </w:tcPr>
          <w:p w14:paraId="76824EDA" w14:textId="59200020" w:rsidR="0008230D" w:rsidRPr="00040B54" w:rsidRDefault="0008230D" w:rsidP="0008230D">
            <w:pPr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  <w:lastRenderedPageBreak/>
              <w:t>2.4 Alte informa</w:t>
            </w:r>
            <w:r w:rsidR="00750C52" w:rsidRPr="00040B54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  <w:t>ii *)</w:t>
            </w:r>
          </w:p>
          <w:p w14:paraId="5C41D1A5" w14:textId="184BCA93" w:rsidR="00715D6F" w:rsidRPr="00040B54" w:rsidRDefault="00127E0F" w:rsidP="00521B08">
            <w:pP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Nu este cazul</w:t>
            </w:r>
          </w:p>
        </w:tc>
      </w:tr>
      <w:tr w:rsidR="006D5B9C" w:rsidRPr="00040B54" w14:paraId="2E90ECA0" w14:textId="77777777" w:rsidTr="0008230D">
        <w:tc>
          <w:tcPr>
            <w:tcW w:w="9351" w:type="dxa"/>
            <w:gridSpan w:val="7"/>
          </w:tcPr>
          <w:p w14:paraId="214D2555" w14:textId="77777777" w:rsidR="00BB619F" w:rsidRPr="00040B54" w:rsidRDefault="00BB619F" w:rsidP="0008230D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5D802EC" w14:textId="3EFE416E" w:rsidR="0008230D" w:rsidRPr="00040B54" w:rsidRDefault="0008230D" w:rsidP="0008230D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Sec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iunea a 3-a:</w:t>
            </w:r>
          </w:p>
          <w:p w14:paraId="30F475AF" w14:textId="77777777" w:rsidR="0008230D" w:rsidRPr="00040B54" w:rsidRDefault="0008230D" w:rsidP="0008230D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Impactul socioeconomic **)</w:t>
            </w:r>
          </w:p>
          <w:p w14:paraId="7769BD52" w14:textId="5AD82446" w:rsidR="0008230D" w:rsidRPr="00040B54" w:rsidRDefault="0008230D" w:rsidP="0008230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70689D1B" w14:textId="77777777" w:rsidTr="0008230D">
        <w:tc>
          <w:tcPr>
            <w:tcW w:w="9351" w:type="dxa"/>
            <w:gridSpan w:val="7"/>
          </w:tcPr>
          <w:p w14:paraId="0FFC5855" w14:textId="583EBD27" w:rsidR="0008230D" w:rsidRPr="00040B54" w:rsidRDefault="0008230D" w:rsidP="0008230D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3.1 Descrierea generală a beneficiilor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 costurilor estimate ca urmare a intrării în vigoare a actului normativ</w:t>
            </w:r>
          </w:p>
          <w:p w14:paraId="0D2F7358" w14:textId="46E7CEFE" w:rsidR="0008230D" w:rsidRPr="00040B54" w:rsidRDefault="00127E0F" w:rsidP="00015275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Prezentul proiect de act normativ contribuie la facilitarea realizării investițiilor în eficienta energetică.</w:t>
            </w:r>
          </w:p>
        </w:tc>
      </w:tr>
      <w:tr w:rsidR="006D5B9C" w:rsidRPr="00040B54" w14:paraId="5647DBCF" w14:textId="77777777" w:rsidTr="0008230D">
        <w:tc>
          <w:tcPr>
            <w:tcW w:w="9351" w:type="dxa"/>
            <w:gridSpan w:val="7"/>
          </w:tcPr>
          <w:p w14:paraId="4274292F" w14:textId="77777777" w:rsidR="0008230D" w:rsidRPr="00040B54" w:rsidRDefault="0008230D" w:rsidP="0008230D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3.2 Impactul social</w:t>
            </w:r>
          </w:p>
          <w:p w14:paraId="15F0E9D9" w14:textId="2A319ECD" w:rsidR="0008230D" w:rsidRPr="00040B54" w:rsidRDefault="00127E0F" w:rsidP="00B8430F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Nu este cazul.</w:t>
            </w:r>
          </w:p>
        </w:tc>
      </w:tr>
      <w:tr w:rsidR="006D5B9C" w:rsidRPr="00040B54" w14:paraId="04A10217" w14:textId="77777777" w:rsidTr="0008230D">
        <w:tc>
          <w:tcPr>
            <w:tcW w:w="9351" w:type="dxa"/>
            <w:gridSpan w:val="7"/>
          </w:tcPr>
          <w:p w14:paraId="07014C77" w14:textId="5642BF8F" w:rsidR="0008230D" w:rsidRPr="00040B54" w:rsidRDefault="0008230D" w:rsidP="0008230D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3.3 Impactul asupra drepturilor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 libertă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ilor fundamentale ale omului</w:t>
            </w:r>
          </w:p>
          <w:p w14:paraId="2E155D17" w14:textId="45FCB2ED" w:rsidR="0008230D" w:rsidRPr="00040B54" w:rsidRDefault="00127E0F" w:rsidP="002E298A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Nu este cazul.</w:t>
            </w:r>
          </w:p>
        </w:tc>
      </w:tr>
      <w:tr w:rsidR="006D5B9C" w:rsidRPr="00040B54" w14:paraId="4D13D1DF" w14:textId="77777777" w:rsidTr="0008230D">
        <w:tc>
          <w:tcPr>
            <w:tcW w:w="9351" w:type="dxa"/>
            <w:gridSpan w:val="7"/>
          </w:tcPr>
          <w:p w14:paraId="2C4EF95D" w14:textId="77777777" w:rsidR="0008230D" w:rsidRPr="00040B54" w:rsidRDefault="0008230D" w:rsidP="0008230D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3.4 Impactul macroeconomic</w:t>
            </w:r>
          </w:p>
          <w:p w14:paraId="571EA103" w14:textId="0A6900F9" w:rsidR="0008230D" w:rsidRPr="00040B54" w:rsidRDefault="0008230D" w:rsidP="002E298A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5B9C" w:rsidRPr="00040B54" w14:paraId="421552BE" w14:textId="77777777" w:rsidTr="0008230D">
        <w:tc>
          <w:tcPr>
            <w:tcW w:w="9351" w:type="dxa"/>
            <w:gridSpan w:val="7"/>
          </w:tcPr>
          <w:p w14:paraId="5833BB53" w14:textId="126DF836" w:rsidR="0008230D" w:rsidRPr="00040B54" w:rsidRDefault="0008230D" w:rsidP="0008230D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3.4.1 Impactul asupra economiei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 asupra principalilor indicatori macroeconomici</w:t>
            </w:r>
          </w:p>
          <w:p w14:paraId="6E2CA726" w14:textId="7956FFE2" w:rsidR="0008230D" w:rsidRPr="00040B54" w:rsidRDefault="00127E0F" w:rsidP="002E298A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Prin facilitarea investițiilor în eficiența energetică contribuie la îmbunătățirea indicatorilor macroeconomici aferenți consumului de energie electrică și al altor combustibili.</w:t>
            </w:r>
          </w:p>
        </w:tc>
      </w:tr>
      <w:tr w:rsidR="006D5B9C" w:rsidRPr="00040B54" w14:paraId="2A9D84A5" w14:textId="77777777" w:rsidTr="0008230D">
        <w:tc>
          <w:tcPr>
            <w:tcW w:w="9351" w:type="dxa"/>
            <w:gridSpan w:val="7"/>
          </w:tcPr>
          <w:p w14:paraId="4E2A23BE" w14:textId="5A35F842" w:rsidR="0008230D" w:rsidRPr="00040B54" w:rsidRDefault="0008230D" w:rsidP="0008230D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3.4.2 Impactul asupra mediului concuren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ial si domeniul ajutoarelor de stat</w:t>
            </w:r>
          </w:p>
          <w:p w14:paraId="691A222A" w14:textId="3AE365D9" w:rsidR="00715D6F" w:rsidRPr="00040B54" w:rsidRDefault="00127E0F" w:rsidP="007943A3">
            <w:pPr>
              <w:pStyle w:val="NormalWeb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040B54">
              <w:rPr>
                <w:rFonts w:eastAsiaTheme="majorEastAsia"/>
                <w:lang w:eastAsia="en-US"/>
              </w:rPr>
              <w:t>Nu este cazul.</w:t>
            </w:r>
          </w:p>
        </w:tc>
      </w:tr>
      <w:tr w:rsidR="006D5B9C" w:rsidRPr="00040B54" w14:paraId="18366E2C" w14:textId="77777777" w:rsidTr="0008230D">
        <w:tc>
          <w:tcPr>
            <w:tcW w:w="9351" w:type="dxa"/>
            <w:gridSpan w:val="7"/>
          </w:tcPr>
          <w:p w14:paraId="184FA5FA" w14:textId="77777777" w:rsidR="0008230D" w:rsidRPr="00040B54" w:rsidRDefault="0008230D" w:rsidP="0008230D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3.5. Impactul asupra mediului de afaceri</w:t>
            </w:r>
          </w:p>
          <w:p w14:paraId="43546869" w14:textId="19A3807B" w:rsidR="0008230D" w:rsidRPr="00040B54" w:rsidRDefault="00127E0F" w:rsidP="00715D6F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Nu se aplică.</w:t>
            </w:r>
          </w:p>
        </w:tc>
      </w:tr>
      <w:tr w:rsidR="006D5B9C" w:rsidRPr="00040B54" w14:paraId="57C19D65" w14:textId="77777777" w:rsidTr="0008230D">
        <w:tc>
          <w:tcPr>
            <w:tcW w:w="9351" w:type="dxa"/>
            <w:gridSpan w:val="7"/>
          </w:tcPr>
          <w:p w14:paraId="2C51FC3D" w14:textId="77777777" w:rsidR="0008230D" w:rsidRPr="00040B54" w:rsidRDefault="0008230D" w:rsidP="0008230D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3.6 Impactul asupra mediului înconjurător</w:t>
            </w:r>
          </w:p>
          <w:p w14:paraId="1254BC1F" w14:textId="3084C06E" w:rsidR="0008230D" w:rsidRPr="00040B54" w:rsidRDefault="00A42312" w:rsidP="00715D6F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Prezentul proiect de act normativ contribuie la reducerea consumului de energie și, implicit, la obținerea</w:t>
            </w:r>
            <w:r w:rsidR="00715D6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emisii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lor</w:t>
            </w:r>
            <w:r w:rsidR="00715D6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de </w:t>
            </w:r>
            <w:r w:rsidR="00127E0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dioxid decarbon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, dat fiind că măsurile de eficiență energetică au ca vector rezultant un impact pozitiv asupra mediului.</w:t>
            </w:r>
            <w:r w:rsidR="00715D6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D5B9C" w:rsidRPr="00040B54" w14:paraId="3639676C" w14:textId="77777777" w:rsidTr="0008230D">
        <w:tc>
          <w:tcPr>
            <w:tcW w:w="9351" w:type="dxa"/>
            <w:gridSpan w:val="7"/>
          </w:tcPr>
          <w:p w14:paraId="3D697E27" w14:textId="7647CC3F" w:rsidR="0008230D" w:rsidRPr="00040B54" w:rsidRDefault="0008230D" w:rsidP="0008230D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3.7 Evaluarea costurilor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 beneficiilor din perspectiva inovării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 digitalizării</w:t>
            </w:r>
          </w:p>
          <w:p w14:paraId="168CE4FC" w14:textId="2FAE0065" w:rsidR="0008230D" w:rsidRPr="00040B54" w:rsidRDefault="00127E0F" w:rsidP="00715D6F">
            <w:pP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Nu este cazul</w:t>
            </w:r>
          </w:p>
        </w:tc>
      </w:tr>
      <w:tr w:rsidR="006D5B9C" w:rsidRPr="00040B54" w14:paraId="27D51F91" w14:textId="77777777" w:rsidTr="0008230D">
        <w:tc>
          <w:tcPr>
            <w:tcW w:w="9351" w:type="dxa"/>
            <w:gridSpan w:val="7"/>
          </w:tcPr>
          <w:p w14:paraId="38C2DED9" w14:textId="58971885" w:rsidR="0008230D" w:rsidRPr="00040B54" w:rsidRDefault="0008230D" w:rsidP="0008230D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shd w:val="clear" w:color="auto" w:fill="FFFFFF" w:themeFill="background1"/>
                <w:lang w:eastAsia="en-US"/>
              </w:rPr>
              <w:t xml:space="preserve">3.8 Evaluarea costurilor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shd w:val="clear" w:color="auto" w:fill="FFFFFF" w:themeFill="background1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shd w:val="clear" w:color="auto" w:fill="FFFFFF" w:themeFill="background1"/>
                <w:lang w:eastAsia="en-US"/>
              </w:rPr>
              <w:t>i beneficiilor din perspectiva dezvoltării durabile</w:t>
            </w:r>
          </w:p>
          <w:p w14:paraId="0EECA726" w14:textId="59E57267" w:rsidR="0008230D" w:rsidRPr="00040B54" w:rsidRDefault="00015275" w:rsidP="00A97F51">
            <w:pPr>
              <w:jc w:val="both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-</w:t>
            </w:r>
            <w:r w:rsidR="002D5E85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Contribuie la Obiectivul de Dezvoltare Durabilă nr. 7 – energie curate și la prețuri accesibile, și la ținta nr. 1 – Până în 2030, asigurarea accesului universal la servicii energetice accesibile, sigure și moderne.”</w:t>
            </w:r>
          </w:p>
        </w:tc>
      </w:tr>
      <w:tr w:rsidR="006D5B9C" w:rsidRPr="00040B54" w14:paraId="7E36B65E" w14:textId="77777777" w:rsidTr="0008230D">
        <w:tc>
          <w:tcPr>
            <w:tcW w:w="9351" w:type="dxa"/>
            <w:gridSpan w:val="7"/>
          </w:tcPr>
          <w:p w14:paraId="45603527" w14:textId="07929D7D" w:rsidR="0008230D" w:rsidRPr="00040B54" w:rsidRDefault="0008230D" w:rsidP="0008230D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lastRenderedPageBreak/>
              <w:t>3.9 Alte informa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</w:t>
            </w:r>
          </w:p>
          <w:p w14:paraId="56F7DF19" w14:textId="4C82F5E8" w:rsidR="00BB619F" w:rsidRPr="00040B54" w:rsidRDefault="00015275" w:rsidP="0008230D">
            <w:pPr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16D01EA9" w14:textId="77777777" w:rsidTr="0008230D">
        <w:tc>
          <w:tcPr>
            <w:tcW w:w="9351" w:type="dxa"/>
            <w:gridSpan w:val="7"/>
          </w:tcPr>
          <w:p w14:paraId="4FB9E242" w14:textId="7369EBD5" w:rsidR="0008230D" w:rsidRPr="00040B54" w:rsidRDefault="0008230D" w:rsidP="00BB619F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Sec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iunea a 4-a</w:t>
            </w:r>
          </w:p>
          <w:p w14:paraId="29198B62" w14:textId="1185E681" w:rsidR="0008230D" w:rsidRPr="00040B54" w:rsidRDefault="0008230D" w:rsidP="00BB6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Impactul financiar asupra bugetului general consolidat atât pe termen scurt, pentru anul curent, cât </w:t>
            </w:r>
            <w:r w:rsidR="00750C52" w:rsidRPr="00040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</w:t>
            </w:r>
            <w:r w:rsidRPr="00040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pe termen lung (pe 5 ani), inclusiv informa</w:t>
            </w:r>
            <w:r w:rsidR="00750C52" w:rsidRPr="00040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ț</w:t>
            </w:r>
            <w:r w:rsidRPr="00040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cu privire la cheltuieli </w:t>
            </w:r>
            <w:r w:rsidR="00750C52" w:rsidRPr="00040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</w:t>
            </w:r>
            <w:r w:rsidRPr="00040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venituri.***)</w:t>
            </w:r>
          </w:p>
          <w:p w14:paraId="3FFE38A6" w14:textId="14C372D8" w:rsidR="0008230D" w:rsidRPr="00040B54" w:rsidRDefault="0008230D" w:rsidP="0008230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568981E3" w14:textId="77777777" w:rsidTr="0008230D">
        <w:tc>
          <w:tcPr>
            <w:tcW w:w="9351" w:type="dxa"/>
            <w:gridSpan w:val="7"/>
          </w:tcPr>
          <w:p w14:paraId="628D01C3" w14:textId="4536F344" w:rsidR="0008230D" w:rsidRPr="00040B54" w:rsidRDefault="0008230D" w:rsidP="0008230D">
            <w:pPr>
              <w:tabs>
                <w:tab w:val="left" w:pos="567"/>
              </w:tabs>
              <w:jc w:val="right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- în mii lei (RON) -</w:t>
            </w:r>
          </w:p>
        </w:tc>
      </w:tr>
      <w:tr w:rsidR="006D5B9C" w:rsidRPr="00040B54" w14:paraId="3BF67B45" w14:textId="77777777" w:rsidTr="008E56F7">
        <w:tc>
          <w:tcPr>
            <w:tcW w:w="3256" w:type="dxa"/>
          </w:tcPr>
          <w:p w14:paraId="350CAA44" w14:textId="68C7031D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Indicatori</w:t>
            </w:r>
          </w:p>
        </w:tc>
        <w:tc>
          <w:tcPr>
            <w:tcW w:w="1419" w:type="dxa"/>
          </w:tcPr>
          <w:p w14:paraId="41ECC7E6" w14:textId="198A8FE7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Anul curent</w:t>
            </w:r>
          </w:p>
        </w:tc>
        <w:tc>
          <w:tcPr>
            <w:tcW w:w="2338" w:type="dxa"/>
            <w:gridSpan w:val="4"/>
          </w:tcPr>
          <w:p w14:paraId="33BD8A30" w14:textId="1F638960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Următorii patru ani</w:t>
            </w:r>
          </w:p>
        </w:tc>
        <w:tc>
          <w:tcPr>
            <w:tcW w:w="2338" w:type="dxa"/>
          </w:tcPr>
          <w:p w14:paraId="24D935ED" w14:textId="6D32AF71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Media pe cinci ani</w:t>
            </w:r>
          </w:p>
        </w:tc>
      </w:tr>
      <w:tr w:rsidR="006D5B9C" w:rsidRPr="00040B54" w14:paraId="4C14B5D8" w14:textId="77777777" w:rsidTr="008E56F7">
        <w:tc>
          <w:tcPr>
            <w:tcW w:w="3256" w:type="dxa"/>
          </w:tcPr>
          <w:p w14:paraId="672355BA" w14:textId="69FB1F7D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</w:tcPr>
          <w:p w14:paraId="519CBB3A" w14:textId="34723D53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4" w:type="dxa"/>
          </w:tcPr>
          <w:p w14:paraId="0678A3A0" w14:textId="1FDDE92E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5" w:type="dxa"/>
          </w:tcPr>
          <w:p w14:paraId="5D29E247" w14:textId="1F474C53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4" w:type="dxa"/>
          </w:tcPr>
          <w:p w14:paraId="2ADA9DA1" w14:textId="0D47D1FD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85" w:type="dxa"/>
          </w:tcPr>
          <w:p w14:paraId="04C7872D" w14:textId="174F957A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38" w:type="dxa"/>
          </w:tcPr>
          <w:p w14:paraId="37F1A35B" w14:textId="010914AA" w:rsidR="0008230D" w:rsidRPr="00040B54" w:rsidRDefault="0008230D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6D5B9C" w:rsidRPr="00040B54" w14:paraId="6372945D" w14:textId="77777777" w:rsidTr="00A96D44">
        <w:tc>
          <w:tcPr>
            <w:tcW w:w="3256" w:type="dxa"/>
          </w:tcPr>
          <w:p w14:paraId="6A8763A5" w14:textId="39E32AAC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4.1 Modificări ale veniturilor bugetare, plus/minus, din care:</w:t>
            </w:r>
          </w:p>
        </w:tc>
        <w:tc>
          <w:tcPr>
            <w:tcW w:w="1419" w:type="dxa"/>
          </w:tcPr>
          <w:p w14:paraId="6706B14B" w14:textId="20B93851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6D05F080" w14:textId="5C25756C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17E83CEA" w14:textId="12F7A755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43758B63" w14:textId="0E00005F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06CC69DC" w14:textId="729501A6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44A75B9E" w14:textId="4A87E7E5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2A9CFDB9" w14:textId="77777777" w:rsidTr="00482B37">
        <w:tc>
          <w:tcPr>
            <w:tcW w:w="3256" w:type="dxa"/>
          </w:tcPr>
          <w:p w14:paraId="1A672452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a) buget de stat, din acesta:</w:t>
            </w:r>
          </w:p>
          <w:p w14:paraId="0A143D38" w14:textId="36E1AFD9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i. impozit pe profit</w:t>
            </w:r>
          </w:p>
          <w:p w14:paraId="7C14EC3C" w14:textId="32FA484E" w:rsidR="00715D6F" w:rsidRPr="00040B54" w:rsidRDefault="00715D6F" w:rsidP="00715D6F">
            <w:pPr>
              <w:tabs>
                <w:tab w:val="left" w:pos="567"/>
              </w:tabs>
              <w:jc w:val="both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ii. impozit pe venit</w:t>
            </w:r>
          </w:p>
        </w:tc>
        <w:tc>
          <w:tcPr>
            <w:tcW w:w="1419" w:type="dxa"/>
          </w:tcPr>
          <w:p w14:paraId="49B7AE29" w14:textId="5AD8080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769BD9D9" w14:textId="2CB87AC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54015CCE" w14:textId="3C4A679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53523828" w14:textId="0D7553D8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26A1382F" w14:textId="691E313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075A3481" w14:textId="46535AE8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421FB217" w14:textId="77777777" w:rsidTr="008612A0">
        <w:tc>
          <w:tcPr>
            <w:tcW w:w="3256" w:type="dxa"/>
          </w:tcPr>
          <w:p w14:paraId="1F6DF8F6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b) bugete locale</w:t>
            </w:r>
          </w:p>
          <w:p w14:paraId="4342EE02" w14:textId="5081CBEE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i. impozit pe profit</w:t>
            </w:r>
          </w:p>
        </w:tc>
        <w:tc>
          <w:tcPr>
            <w:tcW w:w="1419" w:type="dxa"/>
          </w:tcPr>
          <w:p w14:paraId="79B193B9" w14:textId="06D35226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7799554C" w14:textId="74032370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506A329A" w14:textId="3773834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152430AA" w14:textId="657F79AE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2C7D079C" w14:textId="666BE7F8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338CF855" w14:textId="54AEF42D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175D7E52" w14:textId="77777777" w:rsidTr="00193694">
        <w:tc>
          <w:tcPr>
            <w:tcW w:w="3256" w:type="dxa"/>
          </w:tcPr>
          <w:p w14:paraId="299AB404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c) bugetul asigurărilor sociale de stat:</w:t>
            </w:r>
          </w:p>
          <w:p w14:paraId="0D190F61" w14:textId="72FD3119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i. contribuții de asigurări</w:t>
            </w:r>
          </w:p>
        </w:tc>
        <w:tc>
          <w:tcPr>
            <w:tcW w:w="1419" w:type="dxa"/>
          </w:tcPr>
          <w:p w14:paraId="156FA77A" w14:textId="56DA4F71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3602DE28" w14:textId="10268DE0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27116A5E" w14:textId="321D8C77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622A56B6" w14:textId="32A26CA6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77789F60" w14:textId="1C2EF7B8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7A5B306B" w14:textId="50E21866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5564C90E" w14:textId="77777777" w:rsidTr="00146245">
        <w:tc>
          <w:tcPr>
            <w:tcW w:w="3256" w:type="dxa"/>
          </w:tcPr>
          <w:p w14:paraId="009EEACB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d) alte tipuri de venituri </w:t>
            </w:r>
          </w:p>
          <w:p w14:paraId="0B1483DC" w14:textId="32B0508F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(se va menționa natura acestora)</w:t>
            </w:r>
          </w:p>
        </w:tc>
        <w:tc>
          <w:tcPr>
            <w:tcW w:w="1419" w:type="dxa"/>
          </w:tcPr>
          <w:p w14:paraId="2D133510" w14:textId="0CCED0A2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118581BC" w14:textId="7526869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49CEBA26" w14:textId="6205D0A7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1AC82E21" w14:textId="14227E4C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54E76BBF" w14:textId="0A53E51B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0C0C7803" w14:textId="4F88F8D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614518D1" w14:textId="77777777" w:rsidTr="00D232FA">
        <w:tc>
          <w:tcPr>
            <w:tcW w:w="3256" w:type="dxa"/>
          </w:tcPr>
          <w:p w14:paraId="4462475A" w14:textId="35426D18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4.2 Modificări ale cheltuielilor bugetare, plus/minus, din care:</w:t>
            </w:r>
          </w:p>
        </w:tc>
        <w:tc>
          <w:tcPr>
            <w:tcW w:w="1419" w:type="dxa"/>
          </w:tcPr>
          <w:p w14:paraId="09581ED7" w14:textId="54BEA37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0A021F58" w14:textId="309142B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0E792207" w14:textId="4FB9AC2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581B1CB7" w14:textId="210DC15D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14A3DB1A" w14:textId="27BFCFEC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1450226B" w14:textId="049860FD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3A2D8A08" w14:textId="77777777" w:rsidTr="00E21FAA">
        <w:tc>
          <w:tcPr>
            <w:tcW w:w="3256" w:type="dxa"/>
          </w:tcPr>
          <w:p w14:paraId="193D5699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a) buget de stat, din acesta:</w:t>
            </w:r>
          </w:p>
          <w:p w14:paraId="612FF83B" w14:textId="77777777" w:rsidR="00715D6F" w:rsidRPr="00040B54" w:rsidRDefault="00715D6F" w:rsidP="00715D6F">
            <w:pPr>
              <w:numPr>
                <w:ilvl w:val="0"/>
                <w:numId w:val="5"/>
              </w:num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cheltuieli de personal</w:t>
            </w:r>
          </w:p>
          <w:p w14:paraId="66164D4D" w14:textId="6F8E65BF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bunuri și servicii</w:t>
            </w:r>
          </w:p>
        </w:tc>
        <w:tc>
          <w:tcPr>
            <w:tcW w:w="1419" w:type="dxa"/>
          </w:tcPr>
          <w:p w14:paraId="00A07325" w14:textId="64CD6BA0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1B20A84C" w14:textId="37A6CF4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4EE52C1F" w14:textId="156B0E85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48DA8A29" w14:textId="4718C67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266E02B2" w14:textId="1C831F1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570D7425" w14:textId="6D4BCCD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33A44C09" w14:textId="77777777" w:rsidTr="00F616C3">
        <w:tc>
          <w:tcPr>
            <w:tcW w:w="3256" w:type="dxa"/>
          </w:tcPr>
          <w:p w14:paraId="06F389EB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b) bugete locale:</w:t>
            </w:r>
          </w:p>
          <w:p w14:paraId="47FEAD00" w14:textId="77777777" w:rsidR="00715D6F" w:rsidRPr="00040B54" w:rsidRDefault="00715D6F" w:rsidP="00715D6F">
            <w:pPr>
              <w:numPr>
                <w:ilvl w:val="0"/>
                <w:numId w:val="21"/>
              </w:num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cheltuieli de personal</w:t>
            </w:r>
          </w:p>
          <w:p w14:paraId="103FAE6C" w14:textId="37E471EB" w:rsidR="00715D6F" w:rsidRPr="00040B54" w:rsidRDefault="00715D6F" w:rsidP="00715D6F">
            <w:pPr>
              <w:numPr>
                <w:ilvl w:val="0"/>
                <w:numId w:val="21"/>
              </w:num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bunuri și servicii</w:t>
            </w:r>
          </w:p>
          <w:p w14:paraId="2DBDB0B6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</w:tcPr>
          <w:p w14:paraId="613100BE" w14:textId="0FFDD24F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5B6C0943" w14:textId="1779ECC1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5AAC4055" w14:textId="3B7C699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1D2CD36C" w14:textId="2EEC0958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2FF675EE" w14:textId="302F4AFD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4567A150" w14:textId="215C9378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4116B9EC" w14:textId="77777777" w:rsidTr="00564BAE">
        <w:tc>
          <w:tcPr>
            <w:tcW w:w="3256" w:type="dxa"/>
          </w:tcPr>
          <w:p w14:paraId="204DE042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c) bugetul asigurărilor sociale de stat:</w:t>
            </w:r>
          </w:p>
          <w:p w14:paraId="66A116EC" w14:textId="77777777" w:rsidR="00715D6F" w:rsidRPr="00040B54" w:rsidRDefault="00715D6F" w:rsidP="00715D6F">
            <w:pPr>
              <w:numPr>
                <w:ilvl w:val="0"/>
                <w:numId w:val="20"/>
              </w:num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cheltuieli de personal</w:t>
            </w:r>
          </w:p>
          <w:p w14:paraId="28F4F81E" w14:textId="758A7E6B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bunuri și servicii</w:t>
            </w:r>
          </w:p>
        </w:tc>
        <w:tc>
          <w:tcPr>
            <w:tcW w:w="1419" w:type="dxa"/>
          </w:tcPr>
          <w:p w14:paraId="58DF4C9F" w14:textId="779227F9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79B35949" w14:textId="3D14834D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707543C5" w14:textId="56FE06F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5DB5DF51" w14:textId="6A5D7A48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098B52AC" w14:textId="1F290C7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174EB231" w14:textId="04D0628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633EAA8E" w14:textId="77777777" w:rsidTr="000918D3">
        <w:tc>
          <w:tcPr>
            <w:tcW w:w="3256" w:type="dxa"/>
          </w:tcPr>
          <w:p w14:paraId="6E611F77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d) alte tipuri de cheltuieli</w:t>
            </w:r>
          </w:p>
          <w:p w14:paraId="69DD869B" w14:textId="336B8048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(se va menționa natura acestora)</w:t>
            </w:r>
          </w:p>
        </w:tc>
        <w:tc>
          <w:tcPr>
            <w:tcW w:w="1419" w:type="dxa"/>
          </w:tcPr>
          <w:p w14:paraId="7281E630" w14:textId="49600C4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537DEA52" w14:textId="04C43E6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20932F39" w14:textId="779B1F9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4987529B" w14:textId="15175E0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7C68B645" w14:textId="3C7E6CA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0C84F1D8" w14:textId="591A70FF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0B3DF5C2" w14:textId="77777777" w:rsidTr="00A43CC7">
        <w:tc>
          <w:tcPr>
            <w:tcW w:w="3256" w:type="dxa"/>
          </w:tcPr>
          <w:p w14:paraId="5F264ACC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4.3 Impact financiar, plus/minus, din care:</w:t>
            </w:r>
          </w:p>
          <w:p w14:paraId="1D30487B" w14:textId="5B106A58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a)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buget de stat</w:t>
            </w:r>
          </w:p>
        </w:tc>
        <w:tc>
          <w:tcPr>
            <w:tcW w:w="1419" w:type="dxa"/>
          </w:tcPr>
          <w:p w14:paraId="6059692E" w14:textId="666DC0EC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0FF568C6" w14:textId="1B8F1938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54C12CCD" w14:textId="5BC73A01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11E08925" w14:textId="05092F3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6124E306" w14:textId="4C64948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12881FF0" w14:textId="49A24F6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46D1DAE7" w14:textId="77777777" w:rsidTr="001C3A90">
        <w:tc>
          <w:tcPr>
            <w:tcW w:w="3256" w:type="dxa"/>
          </w:tcPr>
          <w:p w14:paraId="08668739" w14:textId="7777777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4.3 Impact financiar, plus/minus, din care:</w:t>
            </w:r>
          </w:p>
          <w:p w14:paraId="2AB78F84" w14:textId="605E4762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a)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buget de stat</w:t>
            </w:r>
          </w:p>
        </w:tc>
        <w:tc>
          <w:tcPr>
            <w:tcW w:w="1419" w:type="dxa"/>
          </w:tcPr>
          <w:p w14:paraId="5F099132" w14:textId="72CC7515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615A2366" w14:textId="28B4AAF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5A0CEE46" w14:textId="360F2417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3D1DD4B0" w14:textId="7DE84AD6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0D141EA2" w14:textId="538BF4B1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46F52D26" w14:textId="3B371B5E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3625E08A" w14:textId="77777777" w:rsidTr="00611BBF">
        <w:trPr>
          <w:trHeight w:val="411"/>
        </w:trPr>
        <w:tc>
          <w:tcPr>
            <w:tcW w:w="3256" w:type="dxa"/>
          </w:tcPr>
          <w:p w14:paraId="66A2DE19" w14:textId="430BC63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lastRenderedPageBreak/>
              <w:t>b) bugete locale</w:t>
            </w:r>
          </w:p>
        </w:tc>
        <w:tc>
          <w:tcPr>
            <w:tcW w:w="1419" w:type="dxa"/>
          </w:tcPr>
          <w:p w14:paraId="112F4957" w14:textId="4C21C2A9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02A9F42C" w14:textId="46359B3F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4D08F6F4" w14:textId="11918F2A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6BF6C69B" w14:textId="182DF87B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5E1D436E" w14:textId="36A23F55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36C81DA4" w14:textId="09645FA6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6894287B" w14:textId="77777777" w:rsidTr="00871049">
        <w:tc>
          <w:tcPr>
            <w:tcW w:w="3256" w:type="dxa"/>
          </w:tcPr>
          <w:p w14:paraId="5ABE0F13" w14:textId="4C285AEE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4.4 Propuneri pentru acoperirea creșterii cheltuielilor bugetare</w:t>
            </w:r>
          </w:p>
        </w:tc>
        <w:tc>
          <w:tcPr>
            <w:tcW w:w="1419" w:type="dxa"/>
          </w:tcPr>
          <w:p w14:paraId="48553CBF" w14:textId="6AB60685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52D27801" w14:textId="6425046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6F52AFE1" w14:textId="7B2655A1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52322BB2" w14:textId="08AFF18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090833FF" w14:textId="60D0D0FB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09143DD1" w14:textId="45EE1555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33AADB98" w14:textId="77777777" w:rsidTr="009520C4">
        <w:tc>
          <w:tcPr>
            <w:tcW w:w="3256" w:type="dxa"/>
          </w:tcPr>
          <w:p w14:paraId="6C607917" w14:textId="11DAFED7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4.5 Propuneri pentru a compensa reducerea veniturilor bugetare</w:t>
            </w:r>
          </w:p>
        </w:tc>
        <w:tc>
          <w:tcPr>
            <w:tcW w:w="1419" w:type="dxa"/>
          </w:tcPr>
          <w:p w14:paraId="4C126430" w14:textId="59B54A26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0D1B1914" w14:textId="1AEA7FB4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639DD5C0" w14:textId="3131E572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391E1D83" w14:textId="623C2413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789A5096" w14:textId="3840C8B1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728D5961" w14:textId="285FF556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6A615DFE" w14:textId="77777777" w:rsidTr="00BE58F3">
        <w:tc>
          <w:tcPr>
            <w:tcW w:w="3256" w:type="dxa"/>
          </w:tcPr>
          <w:p w14:paraId="459196A5" w14:textId="6D9600F1" w:rsidR="00715D6F" w:rsidRPr="00040B54" w:rsidRDefault="00715D6F" w:rsidP="00715D6F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4.6 Calcule detaliate privind fundamentarea modificărilor veniturilor și/sau cheltuielilor bugetare</w:t>
            </w:r>
          </w:p>
        </w:tc>
        <w:tc>
          <w:tcPr>
            <w:tcW w:w="1419" w:type="dxa"/>
          </w:tcPr>
          <w:p w14:paraId="7D4D081C" w14:textId="04539F37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34883644" w14:textId="170FB296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68969968" w14:textId="5042E169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4" w:type="dxa"/>
          </w:tcPr>
          <w:p w14:paraId="7488084A" w14:textId="30CE4679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85" w:type="dxa"/>
          </w:tcPr>
          <w:p w14:paraId="0F3D2804" w14:textId="747254D0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38" w:type="dxa"/>
          </w:tcPr>
          <w:p w14:paraId="5A14C89F" w14:textId="612CACFE" w:rsidR="00715D6F" w:rsidRPr="00040B54" w:rsidRDefault="00715D6F" w:rsidP="002E298A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6D5B9C" w:rsidRPr="00040B54" w14:paraId="4C58A699" w14:textId="77777777" w:rsidTr="0008230D">
        <w:tc>
          <w:tcPr>
            <w:tcW w:w="9351" w:type="dxa"/>
            <w:gridSpan w:val="7"/>
          </w:tcPr>
          <w:p w14:paraId="1A90DB84" w14:textId="77777777" w:rsidR="008E56F7" w:rsidRPr="00040B54" w:rsidRDefault="008E56F7" w:rsidP="008E56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4.7 Prezentarea, 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în cazul proiectelor de acte normative a căror adoptare atrage majorarea cheltuielilor bugetare, a următoarelor documente:</w:t>
            </w:r>
          </w:p>
          <w:p w14:paraId="68801E41" w14:textId="4541800A" w:rsidR="008E56F7" w:rsidRPr="00040B54" w:rsidRDefault="008E56F7" w:rsidP="008E56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a) fi</w:t>
            </w:r>
            <w:r w:rsidR="00750C52" w:rsidRPr="00040B54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a financiară prevăzută la art.15 din Legea nr. 500/2002 privind finan</w:t>
            </w:r>
            <w:r w:rsidR="00750C52" w:rsidRPr="00040B5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ele publice, cu modificările </w:t>
            </w:r>
            <w:r w:rsidR="00750C52" w:rsidRPr="00040B54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i completările ulterioare, înso</w:t>
            </w:r>
            <w:r w:rsidR="00750C52" w:rsidRPr="00040B5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ită de ipotezele </w:t>
            </w:r>
            <w:r w:rsidR="00750C52" w:rsidRPr="00040B54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i metodologia de calcul utilizată;</w:t>
            </w:r>
          </w:p>
          <w:p w14:paraId="0DCC49F9" w14:textId="77777777" w:rsidR="00023774" w:rsidRPr="00040B54" w:rsidRDefault="008E56F7" w:rsidP="000152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b) declara</w:t>
            </w:r>
            <w:r w:rsidR="00750C52" w:rsidRPr="00040B5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ie conform căreia majorarea de cheltuială respectivă este compatibilă cu obiectivele </w:t>
            </w:r>
            <w:r w:rsidR="00750C52" w:rsidRPr="00040B54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i priorită</w:t>
            </w:r>
            <w:r w:rsidR="00750C52" w:rsidRPr="00040B5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ile strategice specificate în strategia fiscal-bugetară, cu legea bugetară anuală </w:t>
            </w:r>
            <w:r w:rsidR="00750C52" w:rsidRPr="00040B54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>i cu plafoanele de cheltuieli prezentate în strategia fiscal-bugetară.</w:t>
            </w:r>
          </w:p>
          <w:p w14:paraId="6336E76A" w14:textId="584AE57D" w:rsidR="00015275" w:rsidRPr="00040B54" w:rsidRDefault="00015275" w:rsidP="00015275">
            <w:pPr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Nu este cazul.</w:t>
            </w:r>
          </w:p>
        </w:tc>
      </w:tr>
      <w:tr w:rsidR="006D5B9C" w:rsidRPr="00040B54" w14:paraId="1005E664" w14:textId="77777777" w:rsidTr="0008230D">
        <w:tc>
          <w:tcPr>
            <w:tcW w:w="9351" w:type="dxa"/>
            <w:gridSpan w:val="7"/>
          </w:tcPr>
          <w:p w14:paraId="6DE556CB" w14:textId="63F970B8" w:rsidR="00023774" w:rsidRPr="00040B54" w:rsidRDefault="008E56F7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4.8 Alte informa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</w:t>
            </w:r>
          </w:p>
          <w:p w14:paraId="04A383DA" w14:textId="1F5F1606" w:rsidR="008E56F7" w:rsidRPr="00040B54" w:rsidRDefault="00015275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  <w:t>Nu este cazul.</w:t>
            </w:r>
          </w:p>
        </w:tc>
      </w:tr>
      <w:tr w:rsidR="006D5B9C" w:rsidRPr="00040B54" w14:paraId="3A2D7E99" w14:textId="77777777" w:rsidTr="0008230D">
        <w:tc>
          <w:tcPr>
            <w:tcW w:w="9351" w:type="dxa"/>
            <w:gridSpan w:val="7"/>
          </w:tcPr>
          <w:p w14:paraId="479C800B" w14:textId="77777777" w:rsidR="008E56F7" w:rsidRPr="00040B54" w:rsidRDefault="008E56F7" w:rsidP="008E56F7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1755D466" w14:textId="334CAA5F" w:rsidR="008E56F7" w:rsidRPr="00040B54" w:rsidRDefault="008E56F7" w:rsidP="008E56F7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Sec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iunea a 5-a:</w:t>
            </w:r>
          </w:p>
          <w:p w14:paraId="1D6ECEAB" w14:textId="2E451940" w:rsidR="00023774" w:rsidRPr="00040B54" w:rsidRDefault="008E56F7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Efectele proiectului de act normativ asupra legisla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iei în vigoare</w:t>
            </w:r>
          </w:p>
          <w:p w14:paraId="181A0B3A" w14:textId="5D479011" w:rsidR="008E56F7" w:rsidRPr="00040B54" w:rsidRDefault="008E56F7" w:rsidP="008E56F7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31D6A6AF" w14:textId="77777777" w:rsidTr="0008230D">
        <w:tc>
          <w:tcPr>
            <w:tcW w:w="9351" w:type="dxa"/>
            <w:gridSpan w:val="7"/>
          </w:tcPr>
          <w:p w14:paraId="6A03F85A" w14:textId="77777777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5.1 Măsuri normative necesare pentru aplicarea prevederilor proiectului de act normativ</w:t>
            </w:r>
          </w:p>
          <w:p w14:paraId="08B56454" w14:textId="318F2E7D" w:rsidR="00023774" w:rsidRPr="00040B54" w:rsidRDefault="00023774" w:rsidP="007943A3">
            <w:pPr>
              <w:pStyle w:val="ListParagraph"/>
              <w:tabs>
                <w:tab w:val="left" w:pos="567"/>
              </w:tabs>
              <w:ind w:left="596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19BB1916" w14:textId="77777777" w:rsidTr="0008230D">
        <w:tc>
          <w:tcPr>
            <w:tcW w:w="9351" w:type="dxa"/>
            <w:gridSpan w:val="7"/>
          </w:tcPr>
          <w:p w14:paraId="07A75369" w14:textId="39502FFC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i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iCs/>
                <w:sz w:val="24"/>
                <w:szCs w:val="24"/>
                <w:lang w:eastAsia="en-US"/>
              </w:rPr>
              <w:t>5.2 Impactul asupra legisla</w:t>
            </w:r>
            <w:r w:rsidR="00750C52" w:rsidRPr="00040B54">
              <w:rPr>
                <w:rFonts w:ascii="Times New Roman" w:eastAsiaTheme="majorEastAsia" w:hAnsi="Times New Roman" w:cs="Times New Roman"/>
                <w:iCs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iCs/>
                <w:sz w:val="24"/>
                <w:szCs w:val="24"/>
                <w:lang w:eastAsia="en-US"/>
              </w:rPr>
              <w:t>iei in domeniul achizi</w:t>
            </w:r>
            <w:r w:rsidR="00750C52" w:rsidRPr="00040B54">
              <w:rPr>
                <w:rFonts w:ascii="Times New Roman" w:eastAsiaTheme="majorEastAsia" w:hAnsi="Times New Roman" w:cs="Times New Roman"/>
                <w:iCs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iCs/>
                <w:sz w:val="24"/>
                <w:szCs w:val="24"/>
                <w:lang w:eastAsia="en-US"/>
              </w:rPr>
              <w:t>iilor publice</w:t>
            </w:r>
          </w:p>
          <w:p w14:paraId="38651A9F" w14:textId="7C307139" w:rsidR="00715D6F" w:rsidRPr="00040B54" w:rsidRDefault="00715D6F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Proiectul de act normativ </w:t>
            </w:r>
            <w:r w:rsidR="007943A3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face trimitere la respectarea legislației în materia achizițiilor publice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D5B9C" w:rsidRPr="00040B54" w14:paraId="2C83E7F8" w14:textId="77777777" w:rsidTr="0008230D">
        <w:tc>
          <w:tcPr>
            <w:tcW w:w="9351" w:type="dxa"/>
            <w:gridSpan w:val="7"/>
          </w:tcPr>
          <w:p w14:paraId="558B876C" w14:textId="41F8A686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5.3 Conformitatea proiectului de act normativ cu legisla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ia UE (în cazul proiectelor ce transpun sau asigură aplicarea unor prevederi de drept UE). </w:t>
            </w:r>
            <w:r w:rsidR="00F0524C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Prezentul act normativ este elaborat cu respectarea </w:t>
            </w:r>
            <w:r w:rsidR="00F0524C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Directivei 2012/27/UE a Parlamentului European și a Consiliului din 25 octombrie 2012 privind eficiența energetică, de modificare a Directivelor 2009/125/CE și 2010/30/UE și de abrogare a Directivelor 2004/8/CE și 2006/32/CE</w:t>
            </w:r>
            <w:r w:rsidR="00127E0F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C0D124D" w14:textId="463BCEBA" w:rsidR="00023774" w:rsidRPr="00040B54" w:rsidRDefault="00023774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07BAF0DA" w14:textId="77777777" w:rsidTr="0008230D">
        <w:tc>
          <w:tcPr>
            <w:tcW w:w="9351" w:type="dxa"/>
            <w:gridSpan w:val="7"/>
          </w:tcPr>
          <w:p w14:paraId="011ED6E6" w14:textId="77777777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5.3.1 Măsuri normative necesare transpunerii directivelor UE</w:t>
            </w:r>
          </w:p>
          <w:p w14:paraId="14B891B8" w14:textId="7F769CBE" w:rsidR="00023774" w:rsidRPr="00040B54" w:rsidRDefault="00023774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02ABB584" w14:textId="77777777" w:rsidTr="0008230D">
        <w:tc>
          <w:tcPr>
            <w:tcW w:w="9351" w:type="dxa"/>
            <w:gridSpan w:val="7"/>
          </w:tcPr>
          <w:p w14:paraId="63DD986B" w14:textId="77777777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5.3.2 Măsuri normative necesare aplicării actelor legislative UE  </w:t>
            </w:r>
          </w:p>
          <w:p w14:paraId="5A5B7BDD" w14:textId="7BD330A0" w:rsidR="00023774" w:rsidRPr="00040B54" w:rsidRDefault="00023774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36B4BD29" w14:textId="77777777" w:rsidTr="0008230D">
        <w:tc>
          <w:tcPr>
            <w:tcW w:w="9351" w:type="dxa"/>
            <w:gridSpan w:val="7"/>
          </w:tcPr>
          <w:p w14:paraId="677FEE62" w14:textId="684A4609" w:rsidR="00611BBF" w:rsidRPr="00040B54" w:rsidRDefault="00611BBF" w:rsidP="00611BBF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5.4 Hotărâri ale Cur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 de Justi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ie a Uniunii Europene </w:t>
            </w:r>
          </w:p>
          <w:p w14:paraId="2EACD003" w14:textId="501E5750" w:rsidR="00023774" w:rsidRPr="00040B54" w:rsidRDefault="00023774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7E14A646" w14:textId="77777777" w:rsidTr="0008230D">
        <w:tc>
          <w:tcPr>
            <w:tcW w:w="9351" w:type="dxa"/>
            <w:gridSpan w:val="7"/>
          </w:tcPr>
          <w:p w14:paraId="6B9658B0" w14:textId="37088994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5.5 Alte acte normative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i/sau documente interna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ionale din care decurg angajamente asumate </w:t>
            </w:r>
          </w:p>
          <w:p w14:paraId="27E4581A" w14:textId="48FCE41C" w:rsidR="00023774" w:rsidRPr="00040B54" w:rsidRDefault="00715D6F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Proiectul de act normativ nu se referă la acest subiect.</w:t>
            </w:r>
          </w:p>
        </w:tc>
      </w:tr>
      <w:tr w:rsidR="006D5B9C" w:rsidRPr="00040B54" w14:paraId="7C165919" w14:textId="77777777" w:rsidTr="0008230D">
        <w:tc>
          <w:tcPr>
            <w:tcW w:w="9351" w:type="dxa"/>
            <w:gridSpan w:val="7"/>
          </w:tcPr>
          <w:p w14:paraId="03D99D53" w14:textId="77777777" w:rsidR="00715D6F" w:rsidRPr="00040B54" w:rsidRDefault="00611BBF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5.6. Alte informa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</w:t>
            </w:r>
          </w:p>
          <w:p w14:paraId="34BE1AC9" w14:textId="4A31A20D" w:rsidR="008E56F7" w:rsidRPr="00040B54" w:rsidRDefault="00715D6F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Nu au fost identificate.</w:t>
            </w:r>
          </w:p>
        </w:tc>
      </w:tr>
      <w:tr w:rsidR="006D5B9C" w:rsidRPr="00040B54" w14:paraId="1BC9D1B7" w14:textId="77777777" w:rsidTr="0008230D">
        <w:tc>
          <w:tcPr>
            <w:tcW w:w="9351" w:type="dxa"/>
            <w:gridSpan w:val="7"/>
          </w:tcPr>
          <w:p w14:paraId="00B383E5" w14:textId="77777777" w:rsidR="00611BBF" w:rsidRPr="00040B54" w:rsidRDefault="00611BBF" w:rsidP="00611BB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1247DB29" w14:textId="55EB4F3F" w:rsidR="00611BBF" w:rsidRPr="00040B54" w:rsidRDefault="00611BBF" w:rsidP="00611BB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Sec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iunea a 6-a:</w:t>
            </w:r>
          </w:p>
          <w:p w14:paraId="46426EE4" w14:textId="77777777" w:rsidR="008E56F7" w:rsidRPr="00040B54" w:rsidRDefault="00611BBF" w:rsidP="00611BBF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Consultările efectuate în vederea elaborării proiectului de act normativ</w:t>
            </w:r>
          </w:p>
          <w:p w14:paraId="3F46D799" w14:textId="01D79381" w:rsidR="00611BBF" w:rsidRPr="00040B54" w:rsidRDefault="00611BBF" w:rsidP="00611BBF">
            <w:pPr>
              <w:tabs>
                <w:tab w:val="left" w:pos="567"/>
              </w:tabs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5B9C" w:rsidRPr="00040B54" w14:paraId="1E5C9581" w14:textId="77777777" w:rsidTr="0008230D">
        <w:tc>
          <w:tcPr>
            <w:tcW w:w="9351" w:type="dxa"/>
            <w:gridSpan w:val="7"/>
          </w:tcPr>
          <w:p w14:paraId="2D4AE3F1" w14:textId="61AAB63B" w:rsidR="00611BBF" w:rsidRPr="00040B54" w:rsidRDefault="00611BBF" w:rsidP="00611B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>6.1 Informa</w:t>
            </w:r>
            <w:r w:rsidR="00750C52"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>ii privind neaplicarea procedurii de participare la elaborarea actelor normative</w:t>
            </w:r>
          </w:p>
          <w:p w14:paraId="20387374" w14:textId="2EDED276" w:rsidR="00216110" w:rsidRPr="00040B54" w:rsidRDefault="00216110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30E6B939" w14:textId="6018F5E3" w:rsidR="008E56F7" w:rsidRPr="00040B54" w:rsidRDefault="00216110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  <w:t>Nu este cazul</w:t>
            </w:r>
            <w:r w:rsidR="007943A3" w:rsidRPr="00040B54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6D5B9C" w:rsidRPr="00040B54" w14:paraId="323CB063" w14:textId="77777777" w:rsidTr="0008230D">
        <w:tc>
          <w:tcPr>
            <w:tcW w:w="9351" w:type="dxa"/>
            <w:gridSpan w:val="7"/>
          </w:tcPr>
          <w:p w14:paraId="79D30C4B" w14:textId="28CC991D" w:rsidR="00611BBF" w:rsidRPr="00040B54" w:rsidRDefault="00611BBF" w:rsidP="00611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6.2 Informa</w:t>
            </w:r>
            <w:r w:rsidR="00750C52"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>ii privind procesul de consultare cu organiza</w:t>
            </w:r>
            <w:r w:rsidR="00750C52"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ii neguvernamentale, institute de cercetare </w:t>
            </w:r>
            <w:r w:rsidR="00750C52"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>ș</w:t>
            </w:r>
            <w:r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>i alte organisme implicate.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7F21B4" w14:textId="535505F4" w:rsidR="008E56F7" w:rsidRPr="00040B54" w:rsidRDefault="00B94F70" w:rsidP="0008230D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  <w:t xml:space="preserve">ANAP, </w:t>
            </w:r>
            <w:r w:rsidR="002E298A" w:rsidRPr="00040B54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  <w:t>Societatea Auditorilor și Managerilor Energetici din România (SAMER), Electrocentrale București S.A.</w:t>
            </w:r>
            <w:r w:rsidR="007943A3" w:rsidRPr="00040B54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  <w:t>, ESCOROM, Universitatea Politehnică București.</w:t>
            </w:r>
          </w:p>
        </w:tc>
      </w:tr>
      <w:tr w:rsidR="006D5B9C" w:rsidRPr="00040B54" w14:paraId="7D27F4EF" w14:textId="77777777" w:rsidTr="0008230D">
        <w:tc>
          <w:tcPr>
            <w:tcW w:w="9351" w:type="dxa"/>
            <w:gridSpan w:val="7"/>
          </w:tcPr>
          <w:p w14:paraId="41A5065C" w14:textId="1AA7F312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6.3 Informa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 despre consultările organizate cu autorită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ile administra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iei publice locale </w:t>
            </w:r>
          </w:p>
          <w:p w14:paraId="3D2CDD06" w14:textId="77DC872A" w:rsidR="00611BBF" w:rsidRPr="00040B54" w:rsidRDefault="001B2E96" w:rsidP="00611B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="00DD7773" w:rsidRPr="00040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otrivit HG nr. 635/2022 </w:t>
            </w:r>
            <w:r w:rsidR="00BB0F52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privind procedura de consultare a structurilor asociative ale autorităţilor administraţiei publice locale la elaborarea proiectelor de acte normative</w:t>
            </w:r>
            <w:r w:rsidR="00127E0F" w:rsidRPr="00040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se realizează consultarea structurilor asociative.</w:t>
            </w:r>
          </w:p>
        </w:tc>
      </w:tr>
      <w:tr w:rsidR="006D5B9C" w:rsidRPr="00040B54" w14:paraId="46421A19" w14:textId="77777777" w:rsidTr="0008230D">
        <w:tc>
          <w:tcPr>
            <w:tcW w:w="9351" w:type="dxa"/>
            <w:gridSpan w:val="7"/>
          </w:tcPr>
          <w:p w14:paraId="731D1C52" w14:textId="72B21CC0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</w:rPr>
              <w:t>6.4 Informa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ii privind puncte de vedere/opinii emise de organisme consultative constituite prin acte normative </w:t>
            </w:r>
          </w:p>
          <w:p w14:paraId="0AF07841" w14:textId="579E0A50" w:rsidR="00611BBF" w:rsidRPr="00040B54" w:rsidRDefault="007943A3" w:rsidP="00611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Au fost analizate observațiile primite</w:t>
            </w:r>
            <w:r w:rsidR="0097433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în timpul consultărilor și preluate cele pertinente.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D5B9C" w:rsidRPr="00040B54" w14:paraId="6A6B6D3A" w14:textId="77777777" w:rsidTr="0008230D">
        <w:tc>
          <w:tcPr>
            <w:tcW w:w="9351" w:type="dxa"/>
            <w:gridSpan w:val="7"/>
          </w:tcPr>
          <w:p w14:paraId="78948186" w14:textId="1C599863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6.5 Informa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ii privind avizarea de către: </w:t>
            </w:r>
          </w:p>
          <w:p w14:paraId="7439DDCC" w14:textId="77777777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a)Consiliul Legislativ  </w:t>
            </w:r>
          </w:p>
          <w:p w14:paraId="6AFEDF81" w14:textId="5E68CB28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b)Consiliul Suprem de Apărare a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ării </w:t>
            </w:r>
          </w:p>
          <w:p w14:paraId="4ED15691" w14:textId="5190C321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c)Consiliul Economic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 Social </w:t>
            </w:r>
            <w:r w:rsidR="00127E0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- se solicita avizul acestei instituții</w:t>
            </w:r>
          </w:p>
          <w:p w14:paraId="4FF2D882" w14:textId="0C03CEFF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d)Consiliul Concuren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ei</w:t>
            </w:r>
            <w:r w:rsidR="00F0524C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– se solicita avizul acestei instituții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3268D948" w14:textId="77777777" w:rsidR="00611BBF" w:rsidRPr="00040B54" w:rsidRDefault="00611BBF" w:rsidP="00611BBF">
            <w:pPr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e)Curtea de Conturi </w:t>
            </w:r>
          </w:p>
          <w:p w14:paraId="45B5CC4D" w14:textId="7B175B56" w:rsidR="00611BBF" w:rsidRPr="00040B54" w:rsidRDefault="00711E77" w:rsidP="002E298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Prezentul proiect de act normativ este supus avizării Consiliului Legislativ</w:t>
            </w:r>
            <w:r w:rsidR="0097433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D5B9C" w:rsidRPr="00040B54" w14:paraId="4CA38860" w14:textId="77777777" w:rsidTr="0008230D">
        <w:tc>
          <w:tcPr>
            <w:tcW w:w="9351" w:type="dxa"/>
            <w:gridSpan w:val="7"/>
          </w:tcPr>
          <w:p w14:paraId="2310E465" w14:textId="670A16E8" w:rsidR="00611BBF" w:rsidRPr="00040B54" w:rsidRDefault="00611BBF" w:rsidP="00611BB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6.6 Alte informa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</w:t>
            </w:r>
          </w:p>
          <w:p w14:paraId="5991E24D" w14:textId="6698EC03" w:rsidR="00E25B6E" w:rsidRPr="00040B54" w:rsidRDefault="00711E77" w:rsidP="00611B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Nu au fost identificate.</w:t>
            </w:r>
          </w:p>
        </w:tc>
      </w:tr>
      <w:tr w:rsidR="006D5B9C" w:rsidRPr="00040B54" w14:paraId="53215D40" w14:textId="77777777" w:rsidTr="0008230D">
        <w:tc>
          <w:tcPr>
            <w:tcW w:w="9351" w:type="dxa"/>
            <w:gridSpan w:val="7"/>
          </w:tcPr>
          <w:p w14:paraId="4AA1F0EA" w14:textId="77777777" w:rsidR="00BB619F" w:rsidRPr="00040B54" w:rsidRDefault="00BB619F" w:rsidP="00BB619F">
            <w:pPr>
              <w:jc w:val="center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</w:p>
          <w:p w14:paraId="159FC8BC" w14:textId="50F257D0" w:rsidR="00611BBF" w:rsidRPr="00040B54" w:rsidRDefault="00611BBF" w:rsidP="00BB619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Sec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iunea a 7-a:</w:t>
            </w:r>
          </w:p>
          <w:p w14:paraId="54978313" w14:textId="4F5F6C9A" w:rsidR="00611BBF" w:rsidRPr="00040B54" w:rsidRDefault="00611BBF" w:rsidP="00BB619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Activită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 xml:space="preserve">i de informare publică privind elaborarea 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i implementarea proiectului de act normativ</w:t>
            </w:r>
          </w:p>
          <w:p w14:paraId="610D37C5" w14:textId="2162565A" w:rsidR="00BB619F" w:rsidRPr="00040B54" w:rsidRDefault="00BB619F" w:rsidP="00BB61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B9C" w:rsidRPr="00040B54" w14:paraId="0C428DAF" w14:textId="77777777" w:rsidTr="0008230D">
        <w:tc>
          <w:tcPr>
            <w:tcW w:w="9351" w:type="dxa"/>
            <w:gridSpan w:val="7"/>
          </w:tcPr>
          <w:p w14:paraId="0ADFD9B7" w14:textId="5ADE7B66" w:rsidR="00BB619F" w:rsidRPr="00040B54" w:rsidRDefault="00BB619F" w:rsidP="00BB619F">
            <w:pPr>
              <w:pStyle w:val="ListParagraph"/>
              <w:numPr>
                <w:ilvl w:val="1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Informarea societă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 civile cu privire la elaborarea proiectului de act normativ</w:t>
            </w:r>
          </w:p>
          <w:p w14:paraId="7F4EC759" w14:textId="63B9DE38" w:rsidR="00BB619F" w:rsidRPr="00040B54" w:rsidRDefault="00127E0F" w:rsidP="00711E77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Proiectul de act normativ este supus procedurilor de transparență decizională. Acesta a fost postat pe website-ul Ministerului Energiei in data de 10 noiembrie 2023</w:t>
            </w:r>
            <w:r w:rsidR="0097433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D5B9C" w:rsidRPr="00040B54" w14:paraId="2426397A" w14:textId="77777777" w:rsidTr="0008230D">
        <w:tc>
          <w:tcPr>
            <w:tcW w:w="9351" w:type="dxa"/>
            <w:gridSpan w:val="7"/>
          </w:tcPr>
          <w:p w14:paraId="1E944DE5" w14:textId="2FA8F5D1" w:rsidR="00BB619F" w:rsidRPr="00040B54" w:rsidRDefault="00BB619F" w:rsidP="00BB619F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7.2 Informarea societă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ii civile cu privire la eventualul impact asupra mediului în urma implementării proiectului de act normativ, precum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 efectele asupra sănătă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ii 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 securită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 cetă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enilor sau diversită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ii biologice.</w:t>
            </w:r>
          </w:p>
          <w:p w14:paraId="32C0A928" w14:textId="04CBF43F" w:rsidR="00BB619F" w:rsidRPr="00040B54" w:rsidRDefault="00711E77" w:rsidP="00BB619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Proiectul de act normativ nu se referă la acest subiect.</w:t>
            </w:r>
          </w:p>
        </w:tc>
      </w:tr>
      <w:tr w:rsidR="006D5B9C" w:rsidRPr="00040B54" w14:paraId="1F830812" w14:textId="77777777" w:rsidTr="0008230D">
        <w:tc>
          <w:tcPr>
            <w:tcW w:w="9351" w:type="dxa"/>
            <w:gridSpan w:val="7"/>
          </w:tcPr>
          <w:p w14:paraId="2978615C" w14:textId="3C092976" w:rsidR="00711E77" w:rsidRPr="00040B54" w:rsidRDefault="00711E77" w:rsidP="00711E77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7.3 </w:t>
            </w:r>
            <w:r w:rsidR="00BB619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Alte informa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="00BB619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ii  </w:t>
            </w:r>
          </w:p>
          <w:p w14:paraId="007EE77B" w14:textId="7002432C" w:rsidR="00BB619F" w:rsidRPr="00040B54" w:rsidRDefault="00711E77" w:rsidP="00711E77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Nu au fost identificate.</w:t>
            </w:r>
            <w:r w:rsidR="00BB619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                 </w:t>
            </w:r>
          </w:p>
        </w:tc>
      </w:tr>
      <w:tr w:rsidR="006D5B9C" w:rsidRPr="00040B54" w14:paraId="48AB5BE9" w14:textId="77777777" w:rsidTr="0008230D">
        <w:tc>
          <w:tcPr>
            <w:tcW w:w="9351" w:type="dxa"/>
            <w:gridSpan w:val="7"/>
          </w:tcPr>
          <w:p w14:paraId="7995CE5B" w14:textId="77777777" w:rsidR="00BB619F" w:rsidRPr="00040B54" w:rsidRDefault="00BB619F" w:rsidP="00BB619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  <w:p w14:paraId="4DF3493C" w14:textId="7D38F46B" w:rsidR="00BB619F" w:rsidRPr="00040B54" w:rsidRDefault="00BB619F" w:rsidP="00BB619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Sec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iunea a 8-a:</w:t>
            </w:r>
          </w:p>
          <w:p w14:paraId="2B2BFFC2" w14:textId="7C8E67F5" w:rsidR="00BB619F" w:rsidRPr="00040B54" w:rsidRDefault="00BB619F" w:rsidP="00BB619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 xml:space="preserve">Măsuri privind implementarea, monitorizarea </w:t>
            </w:r>
            <w:r w:rsidR="00750C52"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ș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i evaluarea</w:t>
            </w: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0B54">
              <w:rPr>
                <w:rFonts w:ascii="Times New Roman" w:eastAsiaTheme="majorEastAsia" w:hAnsi="Times New Roman" w:cs="Times New Roman"/>
                <w:b/>
                <w:sz w:val="24"/>
                <w:szCs w:val="24"/>
                <w:lang w:eastAsia="en-US"/>
              </w:rPr>
              <w:t>proiectului de act normativ</w:t>
            </w:r>
          </w:p>
          <w:p w14:paraId="31BD5D26" w14:textId="031A834E" w:rsidR="00BB619F" w:rsidRPr="00040B54" w:rsidRDefault="00BB619F" w:rsidP="00BB619F">
            <w:pPr>
              <w:jc w:val="center"/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</w:p>
        </w:tc>
      </w:tr>
      <w:tr w:rsidR="006D5B9C" w:rsidRPr="00040B54" w14:paraId="5B902EA4" w14:textId="77777777" w:rsidTr="0008230D">
        <w:tc>
          <w:tcPr>
            <w:tcW w:w="9351" w:type="dxa"/>
            <w:gridSpan w:val="7"/>
          </w:tcPr>
          <w:p w14:paraId="098555A5" w14:textId="77777777" w:rsidR="00BB619F" w:rsidRPr="00040B54" w:rsidRDefault="00BB619F" w:rsidP="00BB619F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8.1 Măsurile de punere în aplicare a proiectului de act normativ</w:t>
            </w:r>
            <w:r w:rsidRPr="0004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428392" w14:textId="6C8F012D" w:rsidR="00BB619F" w:rsidRPr="00040B54" w:rsidRDefault="00216110" w:rsidP="00711E77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Emiterea, in termen de 30 de zile de la data intrării în vigoare a hotărârii, de c</w:t>
            </w:r>
            <w:r w:rsidR="005A0ECA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ă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tre Institutul Na</w:t>
            </w:r>
            <w:r w:rsidR="001240D3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ional de Statistica a ordinului prev</w:t>
            </w:r>
            <w:r w:rsidR="005A0ECA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ă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zut la art. </w:t>
            </w:r>
            <w:r w:rsidR="00127E0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5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din hotărâre</w:t>
            </w:r>
            <w:r w:rsidR="00711E77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0AA0F2D3" w14:textId="2990300A" w:rsidR="00216110" w:rsidRPr="00040B54" w:rsidRDefault="00216110" w:rsidP="00711E77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</w:rPr>
              <w:t>Emiterea de c</w:t>
            </w:r>
            <w:r w:rsidR="001240D3" w:rsidRPr="00040B54">
              <w:rPr>
                <w:rFonts w:ascii="Times New Roman" w:eastAsiaTheme="majorEastAsia" w:hAnsi="Times New Roman" w:cs="Times New Roman"/>
                <w:sz w:val="24"/>
                <w:szCs w:val="24"/>
              </w:rPr>
              <w:t>ă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tre Ministerul Energiei, 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in termen de </w:t>
            </w:r>
            <w:r w:rsidR="00450415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6</w:t>
            </w:r>
            <w:r w:rsidR="0097226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0 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de zile de la data intrării în vigoare a hotărârii, </w:t>
            </w:r>
            <w:r w:rsidR="00127E0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a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ordinului</w:t>
            </w:r>
            <w:r w:rsidR="001D316B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prev</w:t>
            </w:r>
            <w:r w:rsidR="001240D3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ă</w:t>
            </w:r>
            <w:r w:rsidR="001D316B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zut la art. </w:t>
            </w:r>
            <w:r w:rsidR="00127E0F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8</w:t>
            </w:r>
            <w:r w:rsidR="001D316B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 alin. (2) din hotărâre.</w:t>
            </w:r>
          </w:p>
        </w:tc>
      </w:tr>
      <w:tr w:rsidR="006D5B9C" w:rsidRPr="00040B54" w14:paraId="1882CBC0" w14:textId="77777777" w:rsidTr="0008230D">
        <w:tc>
          <w:tcPr>
            <w:tcW w:w="9351" w:type="dxa"/>
            <w:gridSpan w:val="7"/>
          </w:tcPr>
          <w:p w14:paraId="0116A15B" w14:textId="77777777" w:rsidR="00711E77" w:rsidRPr="00040B54" w:rsidRDefault="00BB619F" w:rsidP="00BB619F">
            <w:pPr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8.2 Alte informa</w:t>
            </w:r>
            <w:r w:rsidR="00750C52"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ț</w:t>
            </w: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 xml:space="preserve">ii                </w:t>
            </w:r>
          </w:p>
          <w:p w14:paraId="2E94AB77" w14:textId="56583CEF" w:rsidR="00BB619F" w:rsidRPr="00040B54" w:rsidRDefault="00711E77" w:rsidP="00711E77">
            <w:pPr>
              <w:tabs>
                <w:tab w:val="left" w:pos="567"/>
              </w:tabs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040B54">
              <w:rPr>
                <w:rFonts w:ascii="Times New Roman" w:eastAsiaTheme="majorEastAsia" w:hAnsi="Times New Roman" w:cs="Times New Roman"/>
                <w:sz w:val="24"/>
                <w:szCs w:val="24"/>
                <w:lang w:eastAsia="en-US"/>
              </w:rPr>
              <w:t>Nu au fost identificate.</w:t>
            </w:r>
          </w:p>
        </w:tc>
      </w:tr>
    </w:tbl>
    <w:p w14:paraId="34202CA1" w14:textId="6FE26629" w:rsidR="00B80ED4" w:rsidRPr="00040B54" w:rsidRDefault="00F105DE" w:rsidP="00BB619F">
      <w:pPr>
        <w:spacing w:after="0" w:line="240" w:lineRule="auto"/>
        <w:rPr>
          <w:rFonts w:ascii="Times New Roman" w:eastAsiaTheme="majorEastAsia" w:hAnsi="Times New Roman" w:cs="Times New Roman"/>
          <w:bCs/>
          <w:sz w:val="24"/>
          <w:szCs w:val="24"/>
          <w:lang w:eastAsia="en-US"/>
        </w:rPr>
      </w:pPr>
      <w:r w:rsidRPr="00040B54">
        <w:rPr>
          <w:rFonts w:ascii="Times New Roman" w:eastAsiaTheme="majorEastAsia" w:hAnsi="Times New Roman" w:cs="Times New Roman"/>
          <w:b/>
          <w:bCs/>
          <w:sz w:val="24"/>
          <w:szCs w:val="24"/>
          <w:lang w:eastAsia="en-US"/>
        </w:rPr>
        <w:t xml:space="preserve">                </w:t>
      </w:r>
    </w:p>
    <w:p w14:paraId="58B0F296" w14:textId="77777777" w:rsidR="008E4C04" w:rsidRDefault="008E4C04" w:rsidP="008D10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A41C05" w14:textId="219127CF" w:rsidR="00711E77" w:rsidRPr="00040B54" w:rsidRDefault="00711E77" w:rsidP="008D10C0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40B54">
        <w:rPr>
          <w:rFonts w:ascii="Times New Roman" w:hAnsi="Times New Roman" w:cs="Times New Roman"/>
          <w:sz w:val="24"/>
          <w:szCs w:val="24"/>
        </w:rPr>
        <w:lastRenderedPageBreak/>
        <w:t xml:space="preserve">Față de cele prezentate mai sus, a fost </w:t>
      </w:r>
      <w:r w:rsidR="00036DBB" w:rsidRPr="00040B54">
        <w:rPr>
          <w:rFonts w:ascii="Times New Roman" w:hAnsi="Times New Roman" w:cs="Times New Roman"/>
          <w:sz w:val="24"/>
          <w:szCs w:val="24"/>
        </w:rPr>
        <w:t>elaborat</w:t>
      </w:r>
      <w:r w:rsidRPr="00040B54">
        <w:rPr>
          <w:rFonts w:ascii="Times New Roman" w:hAnsi="Times New Roman" w:cs="Times New Roman"/>
          <w:sz w:val="24"/>
          <w:szCs w:val="24"/>
        </w:rPr>
        <w:t xml:space="preserve"> prezent</w:t>
      </w:r>
      <w:r w:rsidR="00036DBB" w:rsidRPr="00040B54">
        <w:rPr>
          <w:rFonts w:ascii="Times New Roman" w:hAnsi="Times New Roman" w:cs="Times New Roman"/>
          <w:sz w:val="24"/>
          <w:szCs w:val="24"/>
        </w:rPr>
        <w:t>ul proiect de</w:t>
      </w:r>
      <w:r w:rsidR="008D10C0" w:rsidRPr="00040B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hotărâre pentru aprobarea unor măsuri necesare derulării activității </w:t>
      </w:r>
      <w:r w:rsidR="008D10C0" w:rsidRPr="00040B54">
        <w:rPr>
          <w:rFonts w:ascii="Times New Roman" w:hAnsi="Times New Roman" w:cs="Times New Roman"/>
          <w:b/>
          <w:bCs/>
          <w:sz w:val="24"/>
          <w:szCs w:val="24"/>
        </w:rPr>
        <w:t xml:space="preserve">societăților prestatoare de servicii de proiectare și performanță energetică și a modelului </w:t>
      </w:r>
      <w:r w:rsidR="008D10C0" w:rsidRPr="00040B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contractului cadru de servicii de proiectare și performanță energetică</w:t>
      </w:r>
      <w:r w:rsidR="00036DBB" w:rsidRPr="00040B5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036DBB" w:rsidRPr="00040B54">
        <w:rPr>
          <w:rFonts w:ascii="Times New Roman" w:hAnsi="Times New Roman" w:cs="Times New Roman"/>
          <w:sz w:val="24"/>
          <w:szCs w:val="24"/>
        </w:rPr>
        <w:t xml:space="preserve">pe </w:t>
      </w:r>
      <w:r w:rsidRPr="00040B54">
        <w:rPr>
          <w:rFonts w:ascii="Times New Roman" w:hAnsi="Times New Roman" w:cs="Times New Roman"/>
          <w:sz w:val="24"/>
          <w:szCs w:val="24"/>
        </w:rPr>
        <w:t xml:space="preserve">care, </w:t>
      </w:r>
      <w:r w:rsidR="00036DBB" w:rsidRPr="00040B54">
        <w:rPr>
          <w:rFonts w:ascii="Times New Roman" w:hAnsi="Times New Roman" w:cs="Times New Roman"/>
          <w:sz w:val="24"/>
          <w:szCs w:val="24"/>
        </w:rPr>
        <w:t>dacă sunteți de acord, vă rugăm să îl adoptați</w:t>
      </w:r>
      <w:r w:rsidRPr="00040B54">
        <w:rPr>
          <w:rFonts w:ascii="Times New Roman" w:hAnsi="Times New Roman" w:cs="Times New Roman"/>
          <w:sz w:val="24"/>
          <w:szCs w:val="24"/>
        </w:rPr>
        <w:t>.</w:t>
      </w:r>
    </w:p>
    <w:p w14:paraId="12D3DA6A" w14:textId="77777777" w:rsidR="00711E77" w:rsidRPr="00040B54" w:rsidRDefault="00711E77" w:rsidP="00711E7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1"/>
        <w:gridCol w:w="4475"/>
      </w:tblGrid>
      <w:tr w:rsidR="006D5B9C" w:rsidRPr="00040B54" w14:paraId="36B6D02F" w14:textId="77777777" w:rsidTr="00EE1A6C">
        <w:trPr>
          <w:jc w:val="center"/>
        </w:trPr>
        <w:tc>
          <w:tcPr>
            <w:tcW w:w="9016" w:type="dxa"/>
            <w:gridSpan w:val="2"/>
          </w:tcPr>
          <w:p w14:paraId="5C7460B4" w14:textId="5D79B7E8" w:rsidR="008D10C0" w:rsidRPr="00040B54" w:rsidRDefault="00040B54" w:rsidP="008E4C0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MINISTRUL  ENERGIEI </w:t>
            </w:r>
          </w:p>
          <w:p w14:paraId="01C6200D" w14:textId="38BA41A0" w:rsidR="00711E77" w:rsidRPr="00040B54" w:rsidRDefault="004F0956" w:rsidP="005F24B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Sebastian-Ioan BURDUJA</w:t>
            </w:r>
          </w:p>
          <w:p w14:paraId="2EC01871" w14:textId="77777777" w:rsidR="00C65355" w:rsidRPr="00040B54" w:rsidRDefault="00C65355" w:rsidP="00C65355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0D5D770" w14:textId="17573BC9" w:rsidR="00711E77" w:rsidRPr="008E4C04" w:rsidRDefault="00711E77" w:rsidP="008E4C0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AVIZĂM:</w:t>
            </w:r>
          </w:p>
        </w:tc>
      </w:tr>
      <w:tr w:rsidR="006D5B9C" w:rsidRPr="00040B54" w14:paraId="4CE0FAA8" w14:textId="77777777" w:rsidTr="00EE1A6C">
        <w:trPr>
          <w:trHeight w:val="1484"/>
          <w:jc w:val="center"/>
        </w:trPr>
        <w:tc>
          <w:tcPr>
            <w:tcW w:w="4541" w:type="dxa"/>
          </w:tcPr>
          <w:p w14:paraId="1E5D7584" w14:textId="051B4E1A" w:rsidR="00711E77" w:rsidRPr="00040B54" w:rsidRDefault="00D322C9" w:rsidP="005F2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MINISTRUL DEZVOLTĂRII,</w:t>
            </w:r>
            <w:r w:rsidR="00BA7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LUCRĂRILOR PUBLICE ȘI ADMINISTRAȚIEI </w:t>
            </w:r>
          </w:p>
          <w:p w14:paraId="027205A6" w14:textId="77777777" w:rsidR="00711E77" w:rsidRPr="00040B54" w:rsidRDefault="00711E77" w:rsidP="005F2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4F69B9" w14:textId="1CD758E1" w:rsidR="00711E77" w:rsidRPr="00040B54" w:rsidRDefault="004F0956" w:rsidP="005F2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Adrian Ioan VEȘTEA</w:t>
            </w:r>
          </w:p>
        </w:tc>
        <w:tc>
          <w:tcPr>
            <w:tcW w:w="4475" w:type="dxa"/>
          </w:tcPr>
          <w:p w14:paraId="6097D5CB" w14:textId="4067D2BE" w:rsidR="00711E77" w:rsidRPr="00040B54" w:rsidRDefault="00D322C9" w:rsidP="005F2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MINISTRUL MEDIULUI, APELOR ȘI PĂDURILOR</w:t>
            </w:r>
          </w:p>
          <w:p w14:paraId="3BF1B9C4" w14:textId="77777777" w:rsidR="00711E77" w:rsidRPr="00040B54" w:rsidRDefault="00711E77" w:rsidP="005F2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52F248" w14:textId="77777777" w:rsidR="003474AE" w:rsidRPr="00040B54" w:rsidRDefault="003474AE" w:rsidP="005F2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70790F" w14:textId="6F5E641A" w:rsidR="00711E77" w:rsidRPr="00040B54" w:rsidRDefault="004F0956" w:rsidP="005F2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Mircea FECHET</w:t>
            </w:r>
          </w:p>
        </w:tc>
      </w:tr>
      <w:tr w:rsidR="006D5B9C" w:rsidRPr="00040B54" w14:paraId="713B1CA5" w14:textId="77777777" w:rsidTr="00EE1A6C">
        <w:trPr>
          <w:trHeight w:hRule="exact" w:val="2168"/>
          <w:jc w:val="center"/>
        </w:trPr>
        <w:tc>
          <w:tcPr>
            <w:tcW w:w="4541" w:type="dxa"/>
          </w:tcPr>
          <w:p w14:paraId="6DFCE070" w14:textId="77777777" w:rsidR="00711E77" w:rsidRPr="00040B54" w:rsidRDefault="00711E77" w:rsidP="00C653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3B07A0" w14:textId="77777777" w:rsidR="00711E77" w:rsidRPr="00040B54" w:rsidRDefault="00711E77" w:rsidP="00A957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A03E00" w14:textId="4555F1AE" w:rsidR="00711E77" w:rsidRPr="00040B54" w:rsidRDefault="00711E77" w:rsidP="005F2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MINISTRUL ECONOMIEI</w:t>
            </w:r>
            <w:r w:rsidR="008E4C04">
              <w:rPr>
                <w:rFonts w:ascii="Times New Roman" w:hAnsi="Times New Roman" w:cs="Times New Roman"/>
                <w:b/>
                <w:sz w:val="24"/>
                <w:szCs w:val="24"/>
              </w:rPr>
              <w:t>, ANTREPRENORIATULUI ȘI TURISMULUI</w:t>
            </w: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</w:p>
          <w:p w14:paraId="0677344F" w14:textId="77777777" w:rsidR="00711E77" w:rsidRPr="00040B54" w:rsidRDefault="00711E77" w:rsidP="005F2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EB3534" w14:textId="05A3DF2F" w:rsidR="00684550" w:rsidRPr="00040B54" w:rsidRDefault="004F0956" w:rsidP="00C653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Ștefan</w:t>
            </w:r>
            <w:r w:rsidR="00CF46D3"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Radu OPREA</w:t>
            </w:r>
          </w:p>
        </w:tc>
        <w:tc>
          <w:tcPr>
            <w:tcW w:w="4475" w:type="dxa"/>
          </w:tcPr>
          <w:p w14:paraId="4F650CFE" w14:textId="77777777" w:rsidR="00711E77" w:rsidRPr="00040B54" w:rsidRDefault="00711E77" w:rsidP="005F24B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B044E9" w14:textId="77777777" w:rsidR="00711E77" w:rsidRPr="00040B54" w:rsidRDefault="00711E77" w:rsidP="005F24B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509A46" w14:textId="77777777" w:rsidR="00711E77" w:rsidRPr="00040B54" w:rsidRDefault="00711E77" w:rsidP="005F24B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MINISTRUL FINANȚELOR</w:t>
            </w:r>
          </w:p>
          <w:p w14:paraId="023B648C" w14:textId="77777777" w:rsidR="00711E77" w:rsidRDefault="00711E77" w:rsidP="005F24B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7C752D" w14:textId="77777777" w:rsidR="008E4C04" w:rsidRDefault="008E4C04" w:rsidP="005F24B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A44F0E" w14:textId="77777777" w:rsidR="008E4C04" w:rsidRPr="00040B54" w:rsidRDefault="008E4C04" w:rsidP="005F24B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8CFEBD" w14:textId="03FC4C7E" w:rsidR="00711E77" w:rsidRPr="00040B54" w:rsidRDefault="004F0956" w:rsidP="005F24B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Marcel</w:t>
            </w:r>
            <w:r w:rsidR="00CF46D3"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Ioan BOLOȘ</w:t>
            </w:r>
          </w:p>
          <w:p w14:paraId="2B157520" w14:textId="77777777" w:rsidR="00711E77" w:rsidRPr="00040B54" w:rsidRDefault="00711E77" w:rsidP="005F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B9C" w:rsidRPr="00040B54" w14:paraId="2667C938" w14:textId="77777777" w:rsidTr="00EE1A6C">
        <w:trPr>
          <w:jc w:val="center"/>
        </w:trPr>
        <w:tc>
          <w:tcPr>
            <w:tcW w:w="9016" w:type="dxa"/>
            <w:gridSpan w:val="2"/>
          </w:tcPr>
          <w:p w14:paraId="50DDD451" w14:textId="77777777" w:rsidR="00A957C4" w:rsidRDefault="00A957C4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DC1E54" w14:textId="77777777" w:rsidR="00F41E60" w:rsidRDefault="00F41E60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EEC875" w14:textId="72C71FF1" w:rsidR="006D5B9C" w:rsidRPr="00040B54" w:rsidRDefault="00D322C9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PRE</w:t>
            </w:r>
            <w:r w:rsidR="00450415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EDINTELE AGENȚIEI NAȚIONALE </w:t>
            </w:r>
            <w:r w:rsidR="009976D1">
              <w:rPr>
                <w:rFonts w:ascii="Times New Roman" w:hAnsi="Times New Roman" w:cs="Times New Roman"/>
                <w:b/>
                <w:sz w:val="24"/>
                <w:szCs w:val="24"/>
              </w:rPr>
              <w:t>PENTRU</w:t>
            </w: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ACHIZIȚII PUBLICE</w:t>
            </w:r>
          </w:p>
          <w:p w14:paraId="068527AF" w14:textId="77777777" w:rsidR="00606906" w:rsidRDefault="006D5B9C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Iuliana FECLISTOV</w:t>
            </w:r>
          </w:p>
          <w:p w14:paraId="74381418" w14:textId="74210DAD" w:rsidR="00A957C4" w:rsidRPr="00040B54" w:rsidRDefault="00A957C4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B9C" w:rsidRPr="00040B54" w14:paraId="1BC89A26" w14:textId="77777777" w:rsidTr="00EE1A6C">
        <w:trPr>
          <w:jc w:val="center"/>
        </w:trPr>
        <w:tc>
          <w:tcPr>
            <w:tcW w:w="9016" w:type="dxa"/>
            <w:gridSpan w:val="2"/>
          </w:tcPr>
          <w:p w14:paraId="753C5AAD" w14:textId="77777777" w:rsidR="00711E77" w:rsidRPr="00040B54" w:rsidRDefault="00711E77" w:rsidP="006D5B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7B014B" w14:textId="7BD1AB64" w:rsidR="00C65355" w:rsidRPr="00040B54" w:rsidRDefault="009976D1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PREȘEDINTELE INSTITUTULUI NAȚIONAL DE STATISTICĂ</w:t>
            </w:r>
          </w:p>
          <w:p w14:paraId="6BED8611" w14:textId="77777777" w:rsidR="00C65355" w:rsidRPr="00040B54" w:rsidRDefault="00C65355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Tudorel ANDREI</w:t>
            </w:r>
          </w:p>
          <w:p w14:paraId="20A0C561" w14:textId="77777777" w:rsidR="00A6190A" w:rsidRPr="00040B54" w:rsidRDefault="00A6190A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FBAAFF" w14:textId="33920227" w:rsidR="00C65355" w:rsidRPr="00040B54" w:rsidRDefault="009976D1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PREȘEDINTELE AUTORITĂȚII NAȚIONALE DE REGLEMENTARE ÎN DOMENIUL ENERGIEI</w:t>
            </w:r>
          </w:p>
          <w:p w14:paraId="0CDBEF54" w14:textId="77777777" w:rsidR="00C65355" w:rsidRPr="00040B54" w:rsidRDefault="00C65355" w:rsidP="006D5B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George-Sergiu NICULESCU</w:t>
            </w:r>
          </w:p>
          <w:p w14:paraId="50A51498" w14:textId="77777777" w:rsidR="006D5B9C" w:rsidRPr="00040B54" w:rsidRDefault="006D5B9C" w:rsidP="006D5B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2E3B87" w14:textId="77777777" w:rsidR="00F41E60" w:rsidRPr="00040B54" w:rsidRDefault="00F41E60" w:rsidP="00F41E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44975F" w14:textId="6813DCAB" w:rsidR="006D5B9C" w:rsidRPr="00040B54" w:rsidRDefault="006D5B9C" w:rsidP="006D5B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MINISTRUL JUSTIŢIEI</w:t>
            </w:r>
          </w:p>
          <w:p w14:paraId="2C6FEDD5" w14:textId="77777777" w:rsidR="006D5B9C" w:rsidRPr="00040B54" w:rsidRDefault="006D5B9C" w:rsidP="006D5B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794E95" w14:textId="340EA642" w:rsidR="005A0ECA" w:rsidRPr="00040B54" w:rsidRDefault="006D5B9C" w:rsidP="00AD2F3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B54">
              <w:rPr>
                <w:rFonts w:ascii="Times New Roman" w:hAnsi="Times New Roman" w:cs="Times New Roman"/>
                <w:b/>
                <w:sz w:val="24"/>
                <w:szCs w:val="24"/>
              </w:rPr>
              <w:t>Alina-Ștefania GORGHIU</w:t>
            </w:r>
          </w:p>
        </w:tc>
      </w:tr>
    </w:tbl>
    <w:p w14:paraId="1AC3CD72" w14:textId="0CF7EF4C" w:rsidR="00FD440D" w:rsidRPr="00040B54" w:rsidRDefault="00FD440D" w:rsidP="00AD2F35">
      <w:pPr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sectPr w:rsidR="00FD440D" w:rsidRPr="00040B54" w:rsidSect="006D5B9C">
      <w:footerReference w:type="default" r:id="rId8"/>
      <w:pgSz w:w="11906" w:h="16838"/>
      <w:pgMar w:top="1440" w:right="1440" w:bottom="13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17B7E" w14:textId="77777777" w:rsidR="005D6792" w:rsidRDefault="005D6792" w:rsidP="00AA7BA4">
      <w:pPr>
        <w:spacing w:after="0" w:line="240" w:lineRule="auto"/>
      </w:pPr>
      <w:r>
        <w:separator/>
      </w:r>
    </w:p>
  </w:endnote>
  <w:endnote w:type="continuationSeparator" w:id="0">
    <w:p w14:paraId="0CE4D34C" w14:textId="77777777" w:rsidR="005D6792" w:rsidRDefault="005D6792" w:rsidP="00AA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1579342"/>
      <w:docPartObj>
        <w:docPartGallery w:val="Page Numbers (Bottom of Page)"/>
        <w:docPartUnique/>
      </w:docPartObj>
    </w:sdtPr>
    <w:sdtContent>
      <w:p w14:paraId="49765E84" w14:textId="403C6A8F" w:rsidR="00AA7BA4" w:rsidRDefault="00AA7BA4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FE7118">
          <w:t>9</w:t>
        </w:r>
        <w:r>
          <w:fldChar w:fldCharType="end"/>
        </w:r>
      </w:p>
    </w:sdtContent>
  </w:sdt>
  <w:p w14:paraId="5D14D713" w14:textId="77777777" w:rsidR="00AA7BA4" w:rsidRDefault="00AA7B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59092" w14:textId="77777777" w:rsidR="005D6792" w:rsidRDefault="005D6792" w:rsidP="00AA7BA4">
      <w:pPr>
        <w:spacing w:after="0" w:line="240" w:lineRule="auto"/>
      </w:pPr>
      <w:r>
        <w:separator/>
      </w:r>
    </w:p>
  </w:footnote>
  <w:footnote w:type="continuationSeparator" w:id="0">
    <w:p w14:paraId="3F5791E5" w14:textId="77777777" w:rsidR="005D6792" w:rsidRDefault="005D6792" w:rsidP="00AA7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C39F2"/>
    <w:multiLevelType w:val="hybridMultilevel"/>
    <w:tmpl w:val="9216E48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1D69"/>
    <w:multiLevelType w:val="hybridMultilevel"/>
    <w:tmpl w:val="34F02E5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393704"/>
    <w:multiLevelType w:val="hybridMultilevel"/>
    <w:tmpl w:val="AF74A75A"/>
    <w:lvl w:ilvl="0" w:tplc="1B920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70D67"/>
    <w:multiLevelType w:val="multilevel"/>
    <w:tmpl w:val="C9F0B51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36D7988"/>
    <w:multiLevelType w:val="hybridMultilevel"/>
    <w:tmpl w:val="47B2E834"/>
    <w:lvl w:ilvl="0" w:tplc="1A7EDB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A68FB"/>
    <w:multiLevelType w:val="hybridMultilevel"/>
    <w:tmpl w:val="6DD87D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83A12"/>
    <w:multiLevelType w:val="hybridMultilevel"/>
    <w:tmpl w:val="D10AFB90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C5358F"/>
    <w:multiLevelType w:val="hybridMultilevel"/>
    <w:tmpl w:val="EA1857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57F9F"/>
    <w:multiLevelType w:val="hybridMultilevel"/>
    <w:tmpl w:val="DD40947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D2317"/>
    <w:multiLevelType w:val="hybridMultilevel"/>
    <w:tmpl w:val="000C47EE"/>
    <w:lvl w:ilvl="0" w:tplc="308CE244">
      <w:start w:val="1"/>
      <w:numFmt w:val="upperRoman"/>
      <w:lvlText w:val="%1."/>
      <w:lvlJc w:val="left"/>
      <w:pPr>
        <w:ind w:left="891" w:hanging="720"/>
      </w:pPr>
      <w:rPr>
        <w:rFonts w:cstheme="minorBidi" w:hint="default"/>
        <w:b/>
        <w:color w:val="0070C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51" w:hanging="360"/>
      </w:pPr>
    </w:lvl>
    <w:lvl w:ilvl="2" w:tplc="0409001B" w:tentative="1">
      <w:start w:val="1"/>
      <w:numFmt w:val="lowerRoman"/>
      <w:lvlText w:val="%3."/>
      <w:lvlJc w:val="right"/>
      <w:pPr>
        <w:ind w:left="1971" w:hanging="180"/>
      </w:pPr>
    </w:lvl>
    <w:lvl w:ilvl="3" w:tplc="0409000F" w:tentative="1">
      <w:start w:val="1"/>
      <w:numFmt w:val="decimal"/>
      <w:lvlText w:val="%4."/>
      <w:lvlJc w:val="left"/>
      <w:pPr>
        <w:ind w:left="2691" w:hanging="360"/>
      </w:pPr>
    </w:lvl>
    <w:lvl w:ilvl="4" w:tplc="04090019" w:tentative="1">
      <w:start w:val="1"/>
      <w:numFmt w:val="lowerLetter"/>
      <w:lvlText w:val="%5."/>
      <w:lvlJc w:val="left"/>
      <w:pPr>
        <w:ind w:left="3411" w:hanging="360"/>
      </w:pPr>
    </w:lvl>
    <w:lvl w:ilvl="5" w:tplc="0409001B" w:tentative="1">
      <w:start w:val="1"/>
      <w:numFmt w:val="lowerRoman"/>
      <w:lvlText w:val="%6."/>
      <w:lvlJc w:val="right"/>
      <w:pPr>
        <w:ind w:left="4131" w:hanging="180"/>
      </w:pPr>
    </w:lvl>
    <w:lvl w:ilvl="6" w:tplc="0409000F" w:tentative="1">
      <w:start w:val="1"/>
      <w:numFmt w:val="decimal"/>
      <w:lvlText w:val="%7."/>
      <w:lvlJc w:val="left"/>
      <w:pPr>
        <w:ind w:left="4851" w:hanging="360"/>
      </w:pPr>
    </w:lvl>
    <w:lvl w:ilvl="7" w:tplc="04090019" w:tentative="1">
      <w:start w:val="1"/>
      <w:numFmt w:val="lowerLetter"/>
      <w:lvlText w:val="%8."/>
      <w:lvlJc w:val="left"/>
      <w:pPr>
        <w:ind w:left="5571" w:hanging="360"/>
      </w:pPr>
    </w:lvl>
    <w:lvl w:ilvl="8" w:tplc="040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0" w15:restartNumberingAfterBreak="0">
    <w:nsid w:val="29764319"/>
    <w:multiLevelType w:val="multilevel"/>
    <w:tmpl w:val="037889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9B0028F"/>
    <w:multiLevelType w:val="hybridMultilevel"/>
    <w:tmpl w:val="C23623C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9A759B"/>
    <w:multiLevelType w:val="hybridMultilevel"/>
    <w:tmpl w:val="3DC4F86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613902"/>
    <w:multiLevelType w:val="hybridMultilevel"/>
    <w:tmpl w:val="6E0C253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EC0C45"/>
    <w:multiLevelType w:val="multilevel"/>
    <w:tmpl w:val="A5F63AF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D1D533D"/>
    <w:multiLevelType w:val="hybridMultilevel"/>
    <w:tmpl w:val="E4F4DFE8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09298C"/>
    <w:multiLevelType w:val="hybridMultilevel"/>
    <w:tmpl w:val="239A2D7E"/>
    <w:lvl w:ilvl="0" w:tplc="B324104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8A64C4"/>
    <w:multiLevelType w:val="multilevel"/>
    <w:tmpl w:val="22AEBDD0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03A2CA5"/>
    <w:multiLevelType w:val="hybridMultilevel"/>
    <w:tmpl w:val="9FF055E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756590"/>
    <w:multiLevelType w:val="hybridMultilevel"/>
    <w:tmpl w:val="2B84D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F52879"/>
    <w:multiLevelType w:val="hybridMultilevel"/>
    <w:tmpl w:val="D10AFB90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9692A"/>
    <w:multiLevelType w:val="hybridMultilevel"/>
    <w:tmpl w:val="D0AE4C16"/>
    <w:lvl w:ilvl="0" w:tplc="65862E5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ajorEastAsia" w:hAnsiTheme="minorHAnsi" w:cstheme="minorHAns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330A9"/>
    <w:multiLevelType w:val="hybridMultilevel"/>
    <w:tmpl w:val="EDD46F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E6ECD"/>
    <w:multiLevelType w:val="hybridMultilevel"/>
    <w:tmpl w:val="0A3014B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044941"/>
    <w:multiLevelType w:val="hybridMultilevel"/>
    <w:tmpl w:val="6ACED5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435C04"/>
    <w:multiLevelType w:val="hybridMultilevel"/>
    <w:tmpl w:val="0A3014B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FC0BE9"/>
    <w:multiLevelType w:val="multilevel"/>
    <w:tmpl w:val="440852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5522E41"/>
    <w:multiLevelType w:val="hybridMultilevel"/>
    <w:tmpl w:val="6F9877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FB4427"/>
    <w:multiLevelType w:val="hybridMultilevel"/>
    <w:tmpl w:val="92CE4EE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A76074"/>
    <w:multiLevelType w:val="hybridMultilevel"/>
    <w:tmpl w:val="1C426E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898325">
    <w:abstractNumId w:val="22"/>
  </w:num>
  <w:num w:numId="2" w16cid:durableId="298607925">
    <w:abstractNumId w:val="15"/>
  </w:num>
  <w:num w:numId="3" w16cid:durableId="1635409762">
    <w:abstractNumId w:val="18"/>
  </w:num>
  <w:num w:numId="4" w16cid:durableId="242300202">
    <w:abstractNumId w:val="11"/>
  </w:num>
  <w:num w:numId="5" w16cid:durableId="2121412554">
    <w:abstractNumId w:val="8"/>
  </w:num>
  <w:num w:numId="6" w16cid:durableId="1766801968">
    <w:abstractNumId w:val="23"/>
  </w:num>
  <w:num w:numId="7" w16cid:durableId="114638780">
    <w:abstractNumId w:val="20"/>
  </w:num>
  <w:num w:numId="8" w16cid:durableId="1633243990">
    <w:abstractNumId w:val="5"/>
  </w:num>
  <w:num w:numId="9" w16cid:durableId="872380677">
    <w:abstractNumId w:val="7"/>
  </w:num>
  <w:num w:numId="10" w16cid:durableId="1109273618">
    <w:abstractNumId w:val="10"/>
  </w:num>
  <w:num w:numId="11" w16cid:durableId="1187869473">
    <w:abstractNumId w:val="3"/>
  </w:num>
  <w:num w:numId="12" w16cid:durableId="1066800198">
    <w:abstractNumId w:val="17"/>
  </w:num>
  <w:num w:numId="13" w16cid:durableId="955256143">
    <w:abstractNumId w:val="21"/>
  </w:num>
  <w:num w:numId="14" w16cid:durableId="1092816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685585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71514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1052507">
    <w:abstractNumId w:val="26"/>
  </w:num>
  <w:num w:numId="18" w16cid:durableId="1987584810">
    <w:abstractNumId w:val="24"/>
  </w:num>
  <w:num w:numId="19" w16cid:durableId="1783914278">
    <w:abstractNumId w:val="14"/>
  </w:num>
  <w:num w:numId="20" w16cid:durableId="1174877212">
    <w:abstractNumId w:val="6"/>
  </w:num>
  <w:num w:numId="21" w16cid:durableId="1342854171">
    <w:abstractNumId w:val="25"/>
  </w:num>
  <w:num w:numId="22" w16cid:durableId="2025326874">
    <w:abstractNumId w:val="27"/>
  </w:num>
  <w:num w:numId="23" w16cid:durableId="71708604">
    <w:abstractNumId w:val="4"/>
  </w:num>
  <w:num w:numId="24" w16cid:durableId="472677233">
    <w:abstractNumId w:val="28"/>
  </w:num>
  <w:num w:numId="25" w16cid:durableId="379137244">
    <w:abstractNumId w:val="16"/>
  </w:num>
  <w:num w:numId="26" w16cid:durableId="1064334700">
    <w:abstractNumId w:val="2"/>
  </w:num>
  <w:num w:numId="27" w16cid:durableId="845708555">
    <w:abstractNumId w:val="19"/>
  </w:num>
  <w:num w:numId="28" w16cid:durableId="1452823028">
    <w:abstractNumId w:val="12"/>
  </w:num>
  <w:num w:numId="29" w16cid:durableId="912659459">
    <w:abstractNumId w:val="1"/>
  </w:num>
  <w:num w:numId="30" w16cid:durableId="683173874">
    <w:abstractNumId w:val="0"/>
  </w:num>
  <w:num w:numId="31" w16cid:durableId="2140764087">
    <w:abstractNumId w:val="29"/>
  </w:num>
  <w:num w:numId="32" w16cid:durableId="2044887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1C3"/>
    <w:rsid w:val="00004D9A"/>
    <w:rsid w:val="0000725C"/>
    <w:rsid w:val="00015275"/>
    <w:rsid w:val="00023774"/>
    <w:rsid w:val="00027821"/>
    <w:rsid w:val="00033505"/>
    <w:rsid w:val="00036DBB"/>
    <w:rsid w:val="00040B54"/>
    <w:rsid w:val="0005606A"/>
    <w:rsid w:val="00061843"/>
    <w:rsid w:val="0008230D"/>
    <w:rsid w:val="00085D1B"/>
    <w:rsid w:val="000965D1"/>
    <w:rsid w:val="000A21EA"/>
    <w:rsid w:val="000C1B5E"/>
    <w:rsid w:val="000C7097"/>
    <w:rsid w:val="000F6446"/>
    <w:rsid w:val="001013C1"/>
    <w:rsid w:val="001109AF"/>
    <w:rsid w:val="001114B3"/>
    <w:rsid w:val="001240D3"/>
    <w:rsid w:val="00127E0F"/>
    <w:rsid w:val="00151BA0"/>
    <w:rsid w:val="00157862"/>
    <w:rsid w:val="0016331D"/>
    <w:rsid w:val="001650EF"/>
    <w:rsid w:val="00165E76"/>
    <w:rsid w:val="0017049A"/>
    <w:rsid w:val="00170512"/>
    <w:rsid w:val="00171407"/>
    <w:rsid w:val="00182A0C"/>
    <w:rsid w:val="001900D0"/>
    <w:rsid w:val="00191382"/>
    <w:rsid w:val="00193463"/>
    <w:rsid w:val="001947E8"/>
    <w:rsid w:val="00196E83"/>
    <w:rsid w:val="001A0A7C"/>
    <w:rsid w:val="001A0C03"/>
    <w:rsid w:val="001A7ACA"/>
    <w:rsid w:val="001B0F82"/>
    <w:rsid w:val="001B2E96"/>
    <w:rsid w:val="001B356E"/>
    <w:rsid w:val="001B6180"/>
    <w:rsid w:val="001B7B8F"/>
    <w:rsid w:val="001C20DB"/>
    <w:rsid w:val="001C5C69"/>
    <w:rsid w:val="001D064F"/>
    <w:rsid w:val="001D316B"/>
    <w:rsid w:val="001D42CC"/>
    <w:rsid w:val="001E1892"/>
    <w:rsid w:val="001F05F4"/>
    <w:rsid w:val="001F18AC"/>
    <w:rsid w:val="002122E0"/>
    <w:rsid w:val="00212E60"/>
    <w:rsid w:val="00216110"/>
    <w:rsid w:val="00220FE3"/>
    <w:rsid w:val="002271B4"/>
    <w:rsid w:val="00241044"/>
    <w:rsid w:val="002506F2"/>
    <w:rsid w:val="00260F5A"/>
    <w:rsid w:val="00284B7A"/>
    <w:rsid w:val="00294BA5"/>
    <w:rsid w:val="0029766B"/>
    <w:rsid w:val="002C0E75"/>
    <w:rsid w:val="002D0EE5"/>
    <w:rsid w:val="002D5E85"/>
    <w:rsid w:val="002D7D1F"/>
    <w:rsid w:val="002E298A"/>
    <w:rsid w:val="002E6CDF"/>
    <w:rsid w:val="00306A12"/>
    <w:rsid w:val="00315BF4"/>
    <w:rsid w:val="00317F52"/>
    <w:rsid w:val="00320614"/>
    <w:rsid w:val="003332F6"/>
    <w:rsid w:val="0034437E"/>
    <w:rsid w:val="003474AE"/>
    <w:rsid w:val="00356433"/>
    <w:rsid w:val="00360941"/>
    <w:rsid w:val="00367F2A"/>
    <w:rsid w:val="00376BEC"/>
    <w:rsid w:val="00380B4D"/>
    <w:rsid w:val="00396840"/>
    <w:rsid w:val="003A3B8E"/>
    <w:rsid w:val="003B24EE"/>
    <w:rsid w:val="003B61E1"/>
    <w:rsid w:val="003E1218"/>
    <w:rsid w:val="003E193F"/>
    <w:rsid w:val="003E2D70"/>
    <w:rsid w:val="003E3376"/>
    <w:rsid w:val="003F63FB"/>
    <w:rsid w:val="00401D5C"/>
    <w:rsid w:val="004048A0"/>
    <w:rsid w:val="00406D09"/>
    <w:rsid w:val="00417281"/>
    <w:rsid w:val="00432267"/>
    <w:rsid w:val="00450415"/>
    <w:rsid w:val="00450466"/>
    <w:rsid w:val="004577BA"/>
    <w:rsid w:val="00471169"/>
    <w:rsid w:val="004B15DF"/>
    <w:rsid w:val="004B6979"/>
    <w:rsid w:val="004D2F26"/>
    <w:rsid w:val="004D7805"/>
    <w:rsid w:val="004E45CF"/>
    <w:rsid w:val="004E528C"/>
    <w:rsid w:val="004F0956"/>
    <w:rsid w:val="004F6D47"/>
    <w:rsid w:val="00502FC8"/>
    <w:rsid w:val="00504430"/>
    <w:rsid w:val="00510CAB"/>
    <w:rsid w:val="00521B08"/>
    <w:rsid w:val="005341B6"/>
    <w:rsid w:val="00535E06"/>
    <w:rsid w:val="00542EEC"/>
    <w:rsid w:val="00550AD1"/>
    <w:rsid w:val="00560F1D"/>
    <w:rsid w:val="0057194E"/>
    <w:rsid w:val="00574125"/>
    <w:rsid w:val="00575104"/>
    <w:rsid w:val="005765A5"/>
    <w:rsid w:val="005911C2"/>
    <w:rsid w:val="005A02AE"/>
    <w:rsid w:val="005A0B5F"/>
    <w:rsid w:val="005A0ECA"/>
    <w:rsid w:val="005B1187"/>
    <w:rsid w:val="005D1B50"/>
    <w:rsid w:val="005D6792"/>
    <w:rsid w:val="005E42BE"/>
    <w:rsid w:val="005E6FDB"/>
    <w:rsid w:val="005F1047"/>
    <w:rsid w:val="00606906"/>
    <w:rsid w:val="00610D8C"/>
    <w:rsid w:val="00611BBF"/>
    <w:rsid w:val="00620028"/>
    <w:rsid w:val="0062181D"/>
    <w:rsid w:val="00624EE5"/>
    <w:rsid w:val="006356DB"/>
    <w:rsid w:val="00643751"/>
    <w:rsid w:val="00653292"/>
    <w:rsid w:val="00654446"/>
    <w:rsid w:val="00684550"/>
    <w:rsid w:val="006A5B4A"/>
    <w:rsid w:val="006B2CE0"/>
    <w:rsid w:val="006C1DED"/>
    <w:rsid w:val="006D42B0"/>
    <w:rsid w:val="006D5B9C"/>
    <w:rsid w:val="006D6D3F"/>
    <w:rsid w:val="006E00E6"/>
    <w:rsid w:val="006E03D5"/>
    <w:rsid w:val="006F1D83"/>
    <w:rsid w:val="007076F1"/>
    <w:rsid w:val="00711E77"/>
    <w:rsid w:val="00715D6F"/>
    <w:rsid w:val="00716791"/>
    <w:rsid w:val="007202BE"/>
    <w:rsid w:val="00722533"/>
    <w:rsid w:val="0072323E"/>
    <w:rsid w:val="007412D0"/>
    <w:rsid w:val="00747D4C"/>
    <w:rsid w:val="00750C52"/>
    <w:rsid w:val="00771E5A"/>
    <w:rsid w:val="00776134"/>
    <w:rsid w:val="007834D5"/>
    <w:rsid w:val="007854CE"/>
    <w:rsid w:val="00790A45"/>
    <w:rsid w:val="007943A3"/>
    <w:rsid w:val="00797119"/>
    <w:rsid w:val="007A0A39"/>
    <w:rsid w:val="007B7643"/>
    <w:rsid w:val="007C51F0"/>
    <w:rsid w:val="007D103C"/>
    <w:rsid w:val="007E0943"/>
    <w:rsid w:val="0081077A"/>
    <w:rsid w:val="00836296"/>
    <w:rsid w:val="00845B3E"/>
    <w:rsid w:val="00853CC7"/>
    <w:rsid w:val="00854263"/>
    <w:rsid w:val="00854A04"/>
    <w:rsid w:val="00857FB8"/>
    <w:rsid w:val="00875233"/>
    <w:rsid w:val="00897118"/>
    <w:rsid w:val="00897C24"/>
    <w:rsid w:val="008B72AE"/>
    <w:rsid w:val="008C19CC"/>
    <w:rsid w:val="008C2C65"/>
    <w:rsid w:val="008C4B6F"/>
    <w:rsid w:val="008D10C0"/>
    <w:rsid w:val="008E4C04"/>
    <w:rsid w:val="008E56F7"/>
    <w:rsid w:val="008E7001"/>
    <w:rsid w:val="008F67B0"/>
    <w:rsid w:val="009021D0"/>
    <w:rsid w:val="00903F47"/>
    <w:rsid w:val="00916F2F"/>
    <w:rsid w:val="009208AB"/>
    <w:rsid w:val="00922033"/>
    <w:rsid w:val="00927F02"/>
    <w:rsid w:val="00931F18"/>
    <w:rsid w:val="00936BC3"/>
    <w:rsid w:val="00940862"/>
    <w:rsid w:val="00965A5A"/>
    <w:rsid w:val="00972262"/>
    <w:rsid w:val="00974332"/>
    <w:rsid w:val="0098004E"/>
    <w:rsid w:val="00987704"/>
    <w:rsid w:val="00987BA6"/>
    <w:rsid w:val="00992FDC"/>
    <w:rsid w:val="009976D1"/>
    <w:rsid w:val="009A4D6B"/>
    <w:rsid w:val="009C69E2"/>
    <w:rsid w:val="009D06B9"/>
    <w:rsid w:val="009D48ED"/>
    <w:rsid w:val="009E455A"/>
    <w:rsid w:val="009F12E6"/>
    <w:rsid w:val="00A02DA3"/>
    <w:rsid w:val="00A05177"/>
    <w:rsid w:val="00A105EC"/>
    <w:rsid w:val="00A222CB"/>
    <w:rsid w:val="00A23BFC"/>
    <w:rsid w:val="00A311A3"/>
    <w:rsid w:val="00A42312"/>
    <w:rsid w:val="00A44B27"/>
    <w:rsid w:val="00A45E32"/>
    <w:rsid w:val="00A471CC"/>
    <w:rsid w:val="00A6190A"/>
    <w:rsid w:val="00A630C9"/>
    <w:rsid w:val="00A77AC6"/>
    <w:rsid w:val="00A8091C"/>
    <w:rsid w:val="00A86E65"/>
    <w:rsid w:val="00A9430E"/>
    <w:rsid w:val="00A957C4"/>
    <w:rsid w:val="00A97F51"/>
    <w:rsid w:val="00AA7BA4"/>
    <w:rsid w:val="00AC207D"/>
    <w:rsid w:val="00AC341F"/>
    <w:rsid w:val="00AC45B6"/>
    <w:rsid w:val="00AC5EA2"/>
    <w:rsid w:val="00AD20D8"/>
    <w:rsid w:val="00AD2F35"/>
    <w:rsid w:val="00AD7596"/>
    <w:rsid w:val="00AD79B6"/>
    <w:rsid w:val="00AE4B53"/>
    <w:rsid w:val="00B02FDD"/>
    <w:rsid w:val="00B10985"/>
    <w:rsid w:val="00B15788"/>
    <w:rsid w:val="00B15A61"/>
    <w:rsid w:val="00B212BC"/>
    <w:rsid w:val="00B43451"/>
    <w:rsid w:val="00B611AD"/>
    <w:rsid w:val="00B65257"/>
    <w:rsid w:val="00B678A0"/>
    <w:rsid w:val="00B80ED4"/>
    <w:rsid w:val="00B8430F"/>
    <w:rsid w:val="00B845D5"/>
    <w:rsid w:val="00B94F70"/>
    <w:rsid w:val="00BA78EA"/>
    <w:rsid w:val="00BB0F4F"/>
    <w:rsid w:val="00BB0F52"/>
    <w:rsid w:val="00BB432F"/>
    <w:rsid w:val="00BB452E"/>
    <w:rsid w:val="00BB619F"/>
    <w:rsid w:val="00BC5961"/>
    <w:rsid w:val="00BD1665"/>
    <w:rsid w:val="00BF1BBE"/>
    <w:rsid w:val="00BF1F67"/>
    <w:rsid w:val="00BF4F91"/>
    <w:rsid w:val="00C10C75"/>
    <w:rsid w:val="00C10F02"/>
    <w:rsid w:val="00C16E1B"/>
    <w:rsid w:val="00C249B0"/>
    <w:rsid w:val="00C35757"/>
    <w:rsid w:val="00C40498"/>
    <w:rsid w:val="00C56B99"/>
    <w:rsid w:val="00C604C1"/>
    <w:rsid w:val="00C62E51"/>
    <w:rsid w:val="00C65355"/>
    <w:rsid w:val="00C73199"/>
    <w:rsid w:val="00C84EED"/>
    <w:rsid w:val="00C93AC1"/>
    <w:rsid w:val="00C93DE0"/>
    <w:rsid w:val="00CB5C14"/>
    <w:rsid w:val="00CD76D3"/>
    <w:rsid w:val="00CE3275"/>
    <w:rsid w:val="00CE5189"/>
    <w:rsid w:val="00CF46D3"/>
    <w:rsid w:val="00D322C9"/>
    <w:rsid w:val="00D37979"/>
    <w:rsid w:val="00D41C27"/>
    <w:rsid w:val="00D42B26"/>
    <w:rsid w:val="00D5182E"/>
    <w:rsid w:val="00D5317B"/>
    <w:rsid w:val="00D53C2D"/>
    <w:rsid w:val="00D81E1B"/>
    <w:rsid w:val="00D83CC4"/>
    <w:rsid w:val="00D84243"/>
    <w:rsid w:val="00D85CC3"/>
    <w:rsid w:val="00DA33F4"/>
    <w:rsid w:val="00DB7132"/>
    <w:rsid w:val="00DD7773"/>
    <w:rsid w:val="00DF2DD1"/>
    <w:rsid w:val="00DF2F81"/>
    <w:rsid w:val="00DF7EA9"/>
    <w:rsid w:val="00E25B6E"/>
    <w:rsid w:val="00E36C4B"/>
    <w:rsid w:val="00E446AE"/>
    <w:rsid w:val="00E5615F"/>
    <w:rsid w:val="00E56688"/>
    <w:rsid w:val="00E5742E"/>
    <w:rsid w:val="00E729C0"/>
    <w:rsid w:val="00E74363"/>
    <w:rsid w:val="00E80360"/>
    <w:rsid w:val="00E817AC"/>
    <w:rsid w:val="00E93373"/>
    <w:rsid w:val="00E9553B"/>
    <w:rsid w:val="00E95682"/>
    <w:rsid w:val="00EA29BC"/>
    <w:rsid w:val="00EC2ECF"/>
    <w:rsid w:val="00ED77A8"/>
    <w:rsid w:val="00EE1A6C"/>
    <w:rsid w:val="00EE51C3"/>
    <w:rsid w:val="00EE650E"/>
    <w:rsid w:val="00F013A4"/>
    <w:rsid w:val="00F020C8"/>
    <w:rsid w:val="00F0524C"/>
    <w:rsid w:val="00F105DE"/>
    <w:rsid w:val="00F1436B"/>
    <w:rsid w:val="00F14AC3"/>
    <w:rsid w:val="00F17DD3"/>
    <w:rsid w:val="00F36DA7"/>
    <w:rsid w:val="00F41E60"/>
    <w:rsid w:val="00F424B1"/>
    <w:rsid w:val="00F445D2"/>
    <w:rsid w:val="00F54E5E"/>
    <w:rsid w:val="00F55467"/>
    <w:rsid w:val="00F6345D"/>
    <w:rsid w:val="00F651C9"/>
    <w:rsid w:val="00F752EA"/>
    <w:rsid w:val="00F82504"/>
    <w:rsid w:val="00F90D22"/>
    <w:rsid w:val="00F9590F"/>
    <w:rsid w:val="00F9727B"/>
    <w:rsid w:val="00FA2FC9"/>
    <w:rsid w:val="00FC0565"/>
    <w:rsid w:val="00FD440D"/>
    <w:rsid w:val="00FE633C"/>
    <w:rsid w:val="00FE7118"/>
    <w:rsid w:val="00FF0351"/>
    <w:rsid w:val="00FF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9B7B5"/>
  <w15:chartTrackingRefBased/>
  <w15:docId w15:val="{79655709-9C85-4611-ACDF-8C7193EE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332"/>
    <w:rPr>
      <w:noProof/>
    </w:rPr>
  </w:style>
  <w:style w:type="paragraph" w:styleId="Heading4">
    <w:name w:val="heading 4"/>
    <w:basedOn w:val="Normal"/>
    <w:link w:val="Heading4Char"/>
    <w:uiPriority w:val="9"/>
    <w:unhideWhenUsed/>
    <w:qFormat/>
    <w:rsid w:val="00521B08"/>
    <w:pPr>
      <w:spacing w:before="100" w:beforeAutospacing="1" w:after="100" w:afterAutospacing="1" w:line="240" w:lineRule="auto"/>
      <w:outlineLvl w:val="3"/>
    </w:pPr>
    <w:rPr>
      <w:rFonts w:ascii="Calibri" w:eastAsiaTheme="minorHAnsi" w:hAnsi="Calibri" w:cs="Calibri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7B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BA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7B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BA4"/>
    <w:rPr>
      <w:lang w:val="en-US"/>
    </w:rPr>
  </w:style>
  <w:style w:type="character" w:styleId="Hyperlink">
    <w:name w:val="Hyperlink"/>
    <w:basedOn w:val="DefaultParagraphFont"/>
    <w:uiPriority w:val="99"/>
    <w:unhideWhenUsed/>
    <w:rsid w:val="00E817A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643"/>
    <w:rPr>
      <w:rFonts w:ascii="Segoe UI" w:hAnsi="Segoe UI" w:cs="Segoe UI"/>
      <w:sz w:val="18"/>
      <w:szCs w:val="18"/>
      <w:lang w:val="en-US"/>
    </w:rPr>
  </w:style>
  <w:style w:type="table" w:styleId="TableGrid">
    <w:name w:val="Table Grid"/>
    <w:basedOn w:val="TableNormal"/>
    <w:rsid w:val="00B43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750C5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50C52"/>
    <w:rPr>
      <w:rFonts w:ascii="Calibri" w:eastAsiaTheme="minorHAnsi" w:hAnsi="Calibri"/>
      <w:noProof/>
      <w:szCs w:val="21"/>
      <w:lang w:eastAsia="en-US"/>
    </w:rPr>
  </w:style>
  <w:style w:type="paragraph" w:styleId="NormalWeb">
    <w:name w:val="Normal (Web)"/>
    <w:basedOn w:val="Normal"/>
    <w:uiPriority w:val="99"/>
    <w:unhideWhenUsed/>
    <w:rsid w:val="00715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CommentText">
    <w:name w:val="annotation text"/>
    <w:basedOn w:val="Normal"/>
    <w:link w:val="CommentTextChar"/>
    <w:uiPriority w:val="99"/>
    <w:unhideWhenUsed/>
    <w:rsid w:val="00715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D6F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Emphasis">
    <w:name w:val="Emphasis"/>
    <w:basedOn w:val="DefaultParagraphFont"/>
    <w:qFormat/>
    <w:rsid w:val="00711E77"/>
    <w:rPr>
      <w:rFonts w:ascii="Times New Roman" w:hAnsi="Times New Roman" w:cs="Times New Roman" w:hint="default"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521B08"/>
    <w:rPr>
      <w:rFonts w:ascii="Calibri" w:eastAsiaTheme="minorHAnsi" w:hAnsi="Calibri" w:cs="Calibri"/>
      <w:b/>
      <w:bCs/>
      <w:sz w:val="24"/>
      <w:szCs w:val="24"/>
      <w:lang w:val="en-US" w:eastAsia="en-US"/>
    </w:rPr>
  </w:style>
  <w:style w:type="paragraph" w:customStyle="1" w:styleId="al">
    <w:name w:val="a_l"/>
    <w:basedOn w:val="Normal"/>
    <w:rsid w:val="00521B08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eastAsia="en-US"/>
    </w:rPr>
  </w:style>
  <w:style w:type="character" w:customStyle="1" w:styleId="cmg">
    <w:name w:val="cmg"/>
    <w:basedOn w:val="DefaultParagraphFont"/>
    <w:rsid w:val="00521B08"/>
  </w:style>
  <w:style w:type="paragraph" w:styleId="Revision">
    <w:name w:val="Revision"/>
    <w:hidden/>
    <w:uiPriority w:val="99"/>
    <w:semiHidden/>
    <w:rsid w:val="00033505"/>
    <w:pPr>
      <w:spacing w:after="0" w:line="240" w:lineRule="auto"/>
    </w:pPr>
    <w:rPr>
      <w:lang w:val="en-US"/>
    </w:rPr>
  </w:style>
  <w:style w:type="paragraph" w:customStyle="1" w:styleId="Default">
    <w:name w:val="Default"/>
    <w:rsid w:val="001714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D77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773"/>
    <w:pPr>
      <w:spacing w:after="160"/>
    </w:pPr>
    <w:rPr>
      <w:rFonts w:asciiTheme="minorHAnsi" w:eastAsiaTheme="minorEastAsia" w:hAnsiTheme="minorHAnsi" w:cstheme="minorBidi"/>
      <w:b/>
      <w:bCs/>
      <w:lang w:eastAsia="ko-K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773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D1908-96E4-404C-A679-F419D092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2936</Words>
  <Characters>16736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Lupu</dc:creator>
  <cp:keywords/>
  <dc:description/>
  <cp:lastModifiedBy>Cornel Bobalca</cp:lastModifiedBy>
  <cp:revision>3</cp:revision>
  <cp:lastPrinted>2023-11-10T12:04:00Z</cp:lastPrinted>
  <dcterms:created xsi:type="dcterms:W3CDTF">2023-11-10T12:06:00Z</dcterms:created>
  <dcterms:modified xsi:type="dcterms:W3CDTF">2023-11-10T12:59:00Z</dcterms:modified>
</cp:coreProperties>
</file>