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EA494B" w14:textId="77777777" w:rsidR="00961438" w:rsidRDefault="00093E54" w:rsidP="00466EB4">
      <w:pPr>
        <w:jc w:val="center"/>
        <w:rPr>
          <w:b/>
          <w:i/>
          <w:color w:val="0070C0"/>
        </w:rPr>
      </w:pPr>
      <w:r w:rsidRPr="00093E54">
        <w:rPr>
          <w:b/>
          <w:i/>
          <w:color w:val="0070C0"/>
        </w:rPr>
        <w:t>Lista domeniilor și a subdomeniilor de specializare inteligentă sprijinite</w:t>
      </w:r>
    </w:p>
    <w:p w14:paraId="3D0A90C5" w14:textId="77777777" w:rsidR="00093E54" w:rsidRDefault="00093E54" w:rsidP="00466EB4">
      <w:pPr>
        <w:jc w:val="center"/>
        <w:rPr>
          <w:b/>
          <w:i/>
          <w:color w:val="0070C0"/>
        </w:rPr>
      </w:pPr>
    </w:p>
    <w:p w14:paraId="5960BD31" w14:textId="77777777" w:rsidR="00093E54" w:rsidRDefault="00093E54" w:rsidP="00466EB4">
      <w:pPr>
        <w:rPr>
          <w:color w:val="0070C0"/>
        </w:rPr>
      </w:pPr>
      <w:r>
        <w:rPr>
          <w:color w:val="0070C0"/>
        </w:rPr>
        <w:t xml:space="preserve">În conformitate cu prevederile </w:t>
      </w:r>
      <w:r w:rsidRPr="00B2391B">
        <w:rPr>
          <w:i/>
          <w:color w:val="0070C0"/>
        </w:rPr>
        <w:t>HG nr. 933/2022 privind aprobarea S</w:t>
      </w:r>
      <w:r w:rsidRPr="00093E54">
        <w:rPr>
          <w:i/>
          <w:color w:val="0070C0"/>
        </w:rPr>
        <w:t>trategiei naționale de cercetare, inovare și specializare inteligentă 2022-2027</w:t>
      </w:r>
      <w:r w:rsidR="0026092D">
        <w:rPr>
          <w:color w:val="0070C0"/>
        </w:rPr>
        <w:t xml:space="preserve"> și luând</w:t>
      </w:r>
      <w:r w:rsidR="00B2391B">
        <w:rPr>
          <w:color w:val="0070C0"/>
        </w:rPr>
        <w:t xml:space="preserve"> în considerare </w:t>
      </w:r>
      <w:r w:rsidR="00B2391B" w:rsidRPr="00B2391B">
        <w:rPr>
          <w:i/>
          <w:color w:val="0070C0"/>
        </w:rPr>
        <w:t>Decizia Comisiei Europene nr.9445/09.12.2022</w:t>
      </w:r>
      <w:r w:rsidR="0026092D" w:rsidRPr="00B2391B">
        <w:rPr>
          <w:i/>
          <w:color w:val="0070C0"/>
        </w:rPr>
        <w:t xml:space="preserve"> de aprobare a Programului Creștere Inteligentă, Digitalizare și Instrumente Financiare 2021-2027 (POCIDIF)</w:t>
      </w:r>
      <w:r w:rsidR="00B2391B" w:rsidRPr="00B2391B">
        <w:rPr>
          <w:i/>
        </w:rPr>
        <w:t xml:space="preserve"> </w:t>
      </w:r>
      <w:r w:rsidR="00B2391B" w:rsidRPr="00B2391B">
        <w:rPr>
          <w:i/>
          <w:color w:val="0070C0"/>
        </w:rPr>
        <w:t>pentru sprijin din partea Fondului european de dezvoltare regională în cadrul obiectivului „Investiții pentru ocuparea forței de muncă și creștere economică” din România</w:t>
      </w:r>
      <w:r w:rsidR="00B2391B" w:rsidRPr="00B2391B">
        <w:rPr>
          <w:color w:val="0070C0"/>
        </w:rPr>
        <w:t>,</w:t>
      </w:r>
      <w:r w:rsidR="00B2391B">
        <w:rPr>
          <w:color w:val="0070C0"/>
        </w:rPr>
        <w:t xml:space="preserve"> următoarele domenii și subdomenii de specializare inteligentă sunt sprijinite în cadrul prezentului apel:</w:t>
      </w:r>
    </w:p>
    <w:p w14:paraId="6F46E2A8" w14:textId="77777777" w:rsidR="000B05C2" w:rsidRPr="000B05C2" w:rsidRDefault="000B05C2" w:rsidP="00466EB4">
      <w:pPr>
        <w:rPr>
          <w:b/>
          <w:color w:val="0070C0"/>
        </w:rPr>
      </w:pPr>
      <w:r w:rsidRPr="000B05C2">
        <w:rPr>
          <w:b/>
          <w:color w:val="0070C0"/>
        </w:rPr>
        <w:t>1. Bioeconomie</w:t>
      </w:r>
    </w:p>
    <w:p w14:paraId="0D72296A" w14:textId="77777777" w:rsidR="000B05C2" w:rsidRPr="000B05C2" w:rsidRDefault="000B05C2" w:rsidP="00466EB4">
      <w:pPr>
        <w:rPr>
          <w:b/>
          <w:color w:val="0070C0"/>
        </w:rPr>
      </w:pPr>
      <w:r w:rsidRPr="000B05C2">
        <w:rPr>
          <w:b/>
          <w:color w:val="0070C0"/>
        </w:rPr>
        <w:t>1.1 Tehnologii pentru economia albastră</w:t>
      </w:r>
    </w:p>
    <w:p w14:paraId="6FAB8E03" w14:textId="77777777"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t>Include tehnologiile inovative pentru creșterea sustenabilității și valorificarea superioară a resurselor</w:t>
      </w:r>
      <w:r>
        <w:rPr>
          <w:color w:val="0070C0"/>
        </w:rPr>
        <w:t xml:space="preserve"> </w:t>
      </w:r>
      <w:r w:rsidRPr="000B05C2">
        <w:rPr>
          <w:color w:val="0070C0"/>
        </w:rPr>
        <w:t>marine - minerale, energetice neconvenționale, biologice.</w:t>
      </w:r>
    </w:p>
    <w:p w14:paraId="2374065F" w14:textId="77777777" w:rsidR="000B05C2" w:rsidRPr="000B05C2" w:rsidRDefault="000B05C2" w:rsidP="00466EB4">
      <w:pPr>
        <w:rPr>
          <w:b/>
          <w:color w:val="0070C0"/>
        </w:rPr>
      </w:pPr>
      <w:r w:rsidRPr="000B05C2">
        <w:rPr>
          <w:b/>
          <w:color w:val="0070C0"/>
        </w:rPr>
        <w:t>1.2 Ameliorarea semințelor și raselor</w:t>
      </w:r>
    </w:p>
    <w:p w14:paraId="352538F6" w14:textId="77777777"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t>Crearea de soiuri/varietăți/hibrizi/ideotipuri de plante și rase de animale mai bine adaptate la noile</w:t>
      </w:r>
      <w:r>
        <w:rPr>
          <w:color w:val="0070C0"/>
        </w:rPr>
        <w:t xml:space="preserve"> </w:t>
      </w:r>
      <w:r w:rsidRPr="000B05C2">
        <w:rPr>
          <w:color w:val="0070C0"/>
        </w:rPr>
        <w:t>provocări din agricultură și silvicultură, precum schimbările climatice, factorii de stres biotici și abiotici</w:t>
      </w:r>
      <w:r>
        <w:rPr>
          <w:color w:val="0070C0"/>
        </w:rPr>
        <w:t xml:space="preserve"> </w:t>
      </w:r>
      <w:r w:rsidRPr="000B05C2">
        <w:rPr>
          <w:color w:val="0070C0"/>
        </w:rPr>
        <w:t>existenți, nevoia de hrană sănătoasă și în volume tot mai mari și de un mediu sănătos. Include și</w:t>
      </w:r>
      <w:r>
        <w:rPr>
          <w:color w:val="0070C0"/>
        </w:rPr>
        <w:t xml:space="preserve"> </w:t>
      </w:r>
      <w:r w:rsidRPr="000B05C2">
        <w:rPr>
          <w:color w:val="0070C0"/>
        </w:rPr>
        <w:t>producerea de puieți forestieri genetic ameliorați, rezistenți la secetă, la boli și dăunători, adaptați la</w:t>
      </w:r>
      <w:r>
        <w:rPr>
          <w:color w:val="0070C0"/>
        </w:rPr>
        <w:t xml:space="preserve"> </w:t>
      </w:r>
      <w:r w:rsidRPr="000B05C2">
        <w:rPr>
          <w:color w:val="0070C0"/>
        </w:rPr>
        <w:t>condiții extreme și utilizați în reconstrucția ecologică.</w:t>
      </w:r>
    </w:p>
    <w:p w14:paraId="70071606" w14:textId="77777777" w:rsidR="000B05C2" w:rsidRPr="000B05C2" w:rsidRDefault="000B05C2" w:rsidP="00466EB4">
      <w:pPr>
        <w:rPr>
          <w:b/>
          <w:color w:val="0070C0"/>
        </w:rPr>
      </w:pPr>
      <w:r w:rsidRPr="000B05C2">
        <w:rPr>
          <w:b/>
          <w:color w:val="0070C0"/>
        </w:rPr>
        <w:t>1.3 Tehnologii pentru agricultura ecologică, agroecologie și silvicultură</w:t>
      </w:r>
    </w:p>
    <w:p w14:paraId="5AE4CA28" w14:textId="77777777"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t>Agricultura ecologică este un sistem de producție agricol durabil, ce susține sănătatea solului, a</w:t>
      </w:r>
      <w:r>
        <w:rPr>
          <w:color w:val="0070C0"/>
        </w:rPr>
        <w:t xml:space="preserve"> </w:t>
      </w:r>
      <w:r w:rsidRPr="000B05C2">
        <w:rPr>
          <w:color w:val="0070C0"/>
        </w:rPr>
        <w:t>ecosistemelor și a oamenilor. Se bazează pe procese ecologice, biodiversitate și cicluri adaptate la</w:t>
      </w:r>
      <w:r>
        <w:rPr>
          <w:color w:val="0070C0"/>
        </w:rPr>
        <w:t xml:space="preserve"> </w:t>
      </w:r>
      <w:r w:rsidRPr="000B05C2">
        <w:rPr>
          <w:color w:val="0070C0"/>
        </w:rPr>
        <w:t>condițiile locale în detrimentul utilizării input-urilor cu efecte adverse. Tehnologiile avansate la nivel</w:t>
      </w:r>
      <w:r>
        <w:rPr>
          <w:color w:val="0070C0"/>
        </w:rPr>
        <w:t xml:space="preserve"> </w:t>
      </w:r>
      <w:r w:rsidRPr="000B05C2">
        <w:rPr>
          <w:color w:val="0070C0"/>
        </w:rPr>
        <w:t>de complex ecosistemic contribuie la dezvoltarea sectoarelor forestier, cinegetic, agrosilvic și agroecologic.</w:t>
      </w:r>
    </w:p>
    <w:p w14:paraId="162C429E" w14:textId="77777777" w:rsidR="000B05C2" w:rsidRPr="000B05C2" w:rsidRDefault="000B05C2" w:rsidP="00466EB4">
      <w:pPr>
        <w:rPr>
          <w:b/>
          <w:color w:val="0070C0"/>
        </w:rPr>
      </w:pPr>
      <w:r w:rsidRPr="000B05C2">
        <w:rPr>
          <w:b/>
          <w:color w:val="0070C0"/>
        </w:rPr>
        <w:t>1.4 Agricultura 4.0</w:t>
      </w:r>
    </w:p>
    <w:p w14:paraId="3B0451F5" w14:textId="77777777"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t>Agricultura 4.0 reprezintă noua revoluție agricolă, integrând agricultura de precizie, robotica, aplicații</w:t>
      </w:r>
      <w:r>
        <w:rPr>
          <w:color w:val="0070C0"/>
        </w:rPr>
        <w:t xml:space="preserve"> </w:t>
      </w:r>
      <w:r w:rsidRPr="000B05C2">
        <w:rPr>
          <w:color w:val="0070C0"/>
        </w:rPr>
        <w:t>ale IoT, big data, blockchain, inteligenței artificiale și ale tehnologiilor de imagistică a plantelor. Acest</w:t>
      </w:r>
      <w:r>
        <w:rPr>
          <w:color w:val="0070C0"/>
        </w:rPr>
        <w:t xml:space="preserve"> </w:t>
      </w:r>
      <w:r w:rsidRPr="000B05C2">
        <w:rPr>
          <w:color w:val="0070C0"/>
        </w:rPr>
        <w:t>progres tehnologic va conduce la implementarea unor procese specifice mai eficiente, sigure și</w:t>
      </w:r>
      <w:r>
        <w:rPr>
          <w:color w:val="0070C0"/>
        </w:rPr>
        <w:t xml:space="preserve"> </w:t>
      </w:r>
      <w:r w:rsidRPr="000B05C2">
        <w:rPr>
          <w:color w:val="0070C0"/>
        </w:rPr>
        <w:t>prietenoase cu mediul și la o valorificare mai bună a resurselor disponibile.</w:t>
      </w:r>
    </w:p>
    <w:p w14:paraId="2FC90470" w14:textId="77777777" w:rsidR="000B05C2" w:rsidRPr="000B05C2" w:rsidRDefault="000B05C2" w:rsidP="00466EB4">
      <w:pPr>
        <w:rPr>
          <w:b/>
          <w:color w:val="0070C0"/>
        </w:rPr>
      </w:pPr>
      <w:r w:rsidRPr="000B05C2">
        <w:rPr>
          <w:b/>
          <w:color w:val="0070C0"/>
        </w:rPr>
        <w:t>1.5 Alimente sigure și durabile pentru o dietă sănătoasă</w:t>
      </w:r>
    </w:p>
    <w:p w14:paraId="4DBC0DC2" w14:textId="77777777" w:rsidR="000B05C2" w:rsidRDefault="000B05C2" w:rsidP="00466EB4">
      <w:pPr>
        <w:rPr>
          <w:color w:val="0070C0"/>
        </w:rPr>
      </w:pPr>
      <w:r w:rsidRPr="000B05C2">
        <w:rPr>
          <w:color w:val="0070C0"/>
        </w:rPr>
        <w:t>Include dezvoltarea de alimente durabile bazate pe concepte dietetice sănătoase, conforme cu</w:t>
      </w:r>
      <w:r>
        <w:rPr>
          <w:color w:val="0070C0"/>
        </w:rPr>
        <w:t xml:space="preserve"> </w:t>
      </w:r>
      <w:r w:rsidRPr="000B05C2">
        <w:rPr>
          <w:color w:val="0070C0"/>
        </w:rPr>
        <w:t>nevoile nutriționale/ senzoriale ale consumatorilor, cu normele de calitate și legate de stilul de viață</w:t>
      </w:r>
      <w:r>
        <w:rPr>
          <w:color w:val="0070C0"/>
        </w:rPr>
        <w:t xml:space="preserve"> </w:t>
      </w:r>
      <w:r w:rsidRPr="000B05C2">
        <w:rPr>
          <w:color w:val="0070C0"/>
        </w:rPr>
        <w:t>local. Urmărește echilibrul între cerere și resurse, prin (1) dezvoltarea de alimente reformulate din</w:t>
      </w:r>
      <w:r>
        <w:rPr>
          <w:color w:val="0070C0"/>
        </w:rPr>
        <w:t xml:space="preserve"> </w:t>
      </w:r>
      <w:r w:rsidRPr="000B05C2">
        <w:rPr>
          <w:color w:val="0070C0"/>
        </w:rPr>
        <w:t>punct de vedere compozițional în scopul combaterii bolilor de nutriție/obezității, (2) valorificarea de</w:t>
      </w:r>
      <w:r>
        <w:rPr>
          <w:color w:val="0070C0"/>
        </w:rPr>
        <w:t xml:space="preserve"> </w:t>
      </w:r>
      <w:r w:rsidRPr="000B05C2">
        <w:rPr>
          <w:color w:val="0070C0"/>
        </w:rPr>
        <w:t>materii prime autohtone/provenite din culturi ecologice, și (3) dezvoltarea de sisteme de autenticitate</w:t>
      </w:r>
      <w:r>
        <w:rPr>
          <w:color w:val="0070C0"/>
        </w:rPr>
        <w:t xml:space="preserve"> </w:t>
      </w:r>
      <w:r w:rsidRPr="000B05C2">
        <w:rPr>
          <w:color w:val="0070C0"/>
        </w:rPr>
        <w:t>și siguranță alimentară. Parte a acestui demers, foodomics permite conectivitatea dintre alimente,</w:t>
      </w:r>
      <w:r>
        <w:rPr>
          <w:color w:val="0070C0"/>
        </w:rPr>
        <w:t xml:space="preserve"> </w:t>
      </w:r>
      <w:r w:rsidRPr="000B05C2">
        <w:rPr>
          <w:color w:val="0070C0"/>
        </w:rPr>
        <w:t>dietă, sănătatea individului, prin aplicarea unor abordări „omice” precum genomica, transcriptomica,</w:t>
      </w:r>
      <w:r>
        <w:rPr>
          <w:color w:val="0070C0"/>
        </w:rPr>
        <w:t xml:space="preserve"> </w:t>
      </w:r>
      <w:r w:rsidRPr="000B05C2">
        <w:rPr>
          <w:color w:val="0070C0"/>
        </w:rPr>
        <w:lastRenderedPageBreak/>
        <w:t>proteomica și metabolomica, epigenomica, lipidomica, interactivomica, metalomica și/sau</w:t>
      </w:r>
      <w:r>
        <w:rPr>
          <w:color w:val="0070C0"/>
        </w:rPr>
        <w:t xml:space="preserve"> </w:t>
      </w:r>
      <w:r w:rsidRPr="000B05C2">
        <w:rPr>
          <w:color w:val="0070C0"/>
        </w:rPr>
        <w:t>diseasomica.</w:t>
      </w:r>
    </w:p>
    <w:p w14:paraId="4268B9D9" w14:textId="77777777" w:rsidR="000B05C2" w:rsidRPr="000B05C2" w:rsidRDefault="000B05C2" w:rsidP="00466EB4">
      <w:pPr>
        <w:rPr>
          <w:color w:val="0070C0"/>
        </w:rPr>
      </w:pPr>
    </w:p>
    <w:p w14:paraId="46AE82AA" w14:textId="77777777" w:rsidR="000B05C2" w:rsidRPr="000B05C2" w:rsidRDefault="000B05C2" w:rsidP="00466EB4">
      <w:pPr>
        <w:rPr>
          <w:color w:val="0070C0"/>
        </w:rPr>
      </w:pPr>
      <w:r w:rsidRPr="00466EB4">
        <w:rPr>
          <w:b/>
          <w:color w:val="0070C0"/>
        </w:rPr>
        <w:t>2. Economie digitală și tehnologii spațiale</w:t>
      </w:r>
    </w:p>
    <w:p w14:paraId="59AA876C" w14:textId="77777777" w:rsidR="000B05C2" w:rsidRPr="00DA6B9E" w:rsidRDefault="000B05C2" w:rsidP="00466EB4">
      <w:pPr>
        <w:rPr>
          <w:b/>
          <w:color w:val="0070C0"/>
        </w:rPr>
      </w:pPr>
      <w:r w:rsidRPr="00DA6B9E">
        <w:rPr>
          <w:b/>
          <w:color w:val="0070C0"/>
        </w:rPr>
        <w:t>2.3 Tehnologii pentru economia spațială</w:t>
      </w:r>
    </w:p>
    <w:p w14:paraId="7E1A1ABD" w14:textId="77777777"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t>Economia spațială implică tehnologii inovative din mecanică, mecatronică, robotică, electronică,</w:t>
      </w:r>
      <w:r w:rsidR="00DA6B9E">
        <w:rPr>
          <w:color w:val="0070C0"/>
        </w:rPr>
        <w:t xml:space="preserve"> </w:t>
      </w:r>
      <w:r w:rsidRPr="000B05C2">
        <w:rPr>
          <w:color w:val="0070C0"/>
        </w:rPr>
        <w:t>comunicații, IT, biologie și medicină, materiale, aplicații radio, THz, IR, UV la X și gamma, etc. și are</w:t>
      </w:r>
      <w:r w:rsidR="00DA6B9E">
        <w:rPr>
          <w:color w:val="0070C0"/>
        </w:rPr>
        <w:t xml:space="preserve"> </w:t>
      </w:r>
      <w:r w:rsidRPr="000B05C2">
        <w:rPr>
          <w:color w:val="0070C0"/>
        </w:rPr>
        <w:t>un rol cheie în securitatea națională, managementul dezastrelor, protecția mediului, reziliența</w:t>
      </w:r>
      <w:r w:rsidR="00DA6B9E">
        <w:rPr>
          <w:color w:val="0070C0"/>
        </w:rPr>
        <w:t xml:space="preserve"> </w:t>
      </w:r>
      <w:r w:rsidRPr="000B05C2">
        <w:rPr>
          <w:color w:val="0070C0"/>
        </w:rPr>
        <w:t>comunicațiilor, traficul aerian, maritim și terestru etc. Aceasta include și tehnologiile de operare</w:t>
      </w:r>
      <w:r w:rsidR="00DA6B9E">
        <w:rPr>
          <w:color w:val="0070C0"/>
        </w:rPr>
        <w:t xml:space="preserve"> </w:t>
      </w:r>
      <w:r w:rsidRPr="000B05C2">
        <w:rPr>
          <w:color w:val="0070C0"/>
        </w:rPr>
        <w:t>robotică pentru noua generație de vehicule de explorare a spațiului.</w:t>
      </w:r>
    </w:p>
    <w:p w14:paraId="69021178" w14:textId="77777777" w:rsidR="000B05C2" w:rsidRPr="00DA6B9E" w:rsidRDefault="000B05C2" w:rsidP="00466EB4">
      <w:pPr>
        <w:rPr>
          <w:b/>
          <w:color w:val="0070C0"/>
        </w:rPr>
      </w:pPr>
      <w:r w:rsidRPr="00DA6B9E">
        <w:rPr>
          <w:b/>
          <w:color w:val="0070C0"/>
        </w:rPr>
        <w:t>2.6 Securitate cibernetică</w:t>
      </w:r>
    </w:p>
    <w:p w14:paraId="0F651338" w14:textId="77777777"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t>Securitatea cibernetică vizează protejarea sistemelor și a rețelelor informatice și gestiunea riscurilor,</w:t>
      </w:r>
      <w:r w:rsidR="003D79D1">
        <w:rPr>
          <w:color w:val="0070C0"/>
        </w:rPr>
        <w:t xml:space="preserve"> </w:t>
      </w:r>
      <w:r w:rsidRPr="000B05C2">
        <w:rPr>
          <w:color w:val="0070C0"/>
        </w:rPr>
        <w:t>în contextul extinderii frontului vulnerabilităților ca urmare a digitalizării rapide și a importanței datelor</w:t>
      </w:r>
      <w:r w:rsidR="003D79D1">
        <w:rPr>
          <w:color w:val="0070C0"/>
        </w:rPr>
        <w:t xml:space="preserve"> </w:t>
      </w:r>
      <w:r w:rsidRPr="000B05C2">
        <w:rPr>
          <w:color w:val="0070C0"/>
        </w:rPr>
        <w:t>ca resursa fundamentală în economie și cercetare. Inovarea în securitatea cibernetică include soluții</w:t>
      </w:r>
      <w:r w:rsidR="003D79D1">
        <w:rPr>
          <w:color w:val="0070C0"/>
        </w:rPr>
        <w:t xml:space="preserve"> </w:t>
      </w:r>
      <w:r w:rsidRPr="000B05C2">
        <w:rPr>
          <w:color w:val="0070C0"/>
        </w:rPr>
        <w:t>pentru automatizarea profilării vulnerabilităților și a adresării atacurilor, protejarea fluxurilor de date,</w:t>
      </w:r>
      <w:r w:rsidR="003D79D1">
        <w:rPr>
          <w:color w:val="0070C0"/>
        </w:rPr>
        <w:t xml:space="preserve"> </w:t>
      </w:r>
      <w:r w:rsidRPr="000B05C2">
        <w:rPr>
          <w:color w:val="0070C0"/>
        </w:rPr>
        <w:t>managementul identităților, recuperarea în situații de atac și educarea utilizatorilor.</w:t>
      </w:r>
    </w:p>
    <w:p w14:paraId="287D97B0" w14:textId="177AC566" w:rsidR="000B05C2" w:rsidRPr="003D79D1" w:rsidRDefault="000B05C2" w:rsidP="00466EB4">
      <w:pPr>
        <w:rPr>
          <w:b/>
          <w:color w:val="0070C0"/>
        </w:rPr>
      </w:pPr>
      <w:bookmarkStart w:id="0" w:name="_GoBack"/>
      <w:bookmarkEnd w:id="0"/>
      <w:r w:rsidRPr="003D79D1">
        <w:rPr>
          <w:b/>
          <w:color w:val="0070C0"/>
        </w:rPr>
        <w:t>3. Energie și mobilitate</w:t>
      </w:r>
    </w:p>
    <w:p w14:paraId="7530F05C" w14:textId="77777777" w:rsidR="000B05C2" w:rsidRPr="00ED300F" w:rsidRDefault="000B05C2" w:rsidP="00466EB4">
      <w:pPr>
        <w:rPr>
          <w:b/>
          <w:color w:val="0070C0"/>
        </w:rPr>
      </w:pPr>
      <w:r w:rsidRPr="00ED300F">
        <w:rPr>
          <w:b/>
          <w:color w:val="0070C0"/>
        </w:rPr>
        <w:t>3.1 Mobilitate verde</w:t>
      </w:r>
    </w:p>
    <w:p w14:paraId="7181E6D1" w14:textId="77777777"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t>Include vehicule electrice și hibride, inclusiv bazate pe hidrogen, pentru toate tipurile de transport,</w:t>
      </w:r>
      <w:r w:rsidR="00ED300F">
        <w:rPr>
          <w:color w:val="0070C0"/>
        </w:rPr>
        <w:t xml:space="preserve"> </w:t>
      </w:r>
      <w:r w:rsidRPr="000B05C2">
        <w:rPr>
          <w:color w:val="0070C0"/>
        </w:rPr>
        <w:t>precum și: componente ale sistemelor de propulsie și cele auxiliare acestora; sisteme de stocare a</w:t>
      </w:r>
      <w:r w:rsidR="00ED300F">
        <w:rPr>
          <w:color w:val="0070C0"/>
        </w:rPr>
        <w:t xml:space="preserve"> </w:t>
      </w:r>
      <w:r w:rsidRPr="000B05C2">
        <w:rPr>
          <w:color w:val="0070C0"/>
        </w:rPr>
        <w:t>energiei și de management energetic pentru acestea; utilizarea în comun și integrarea acestor</w:t>
      </w:r>
      <w:r w:rsidR="00ED300F">
        <w:rPr>
          <w:color w:val="0070C0"/>
        </w:rPr>
        <w:t xml:space="preserve"> </w:t>
      </w:r>
      <w:r w:rsidRPr="000B05C2">
        <w:rPr>
          <w:color w:val="0070C0"/>
        </w:rPr>
        <w:t>vehicule în orașe inteligente; soluțiile de interoperabilitate și intermodalitate în transport.</w:t>
      </w:r>
    </w:p>
    <w:p w14:paraId="1F80C143" w14:textId="77777777" w:rsidR="000B05C2" w:rsidRPr="00ED300F" w:rsidRDefault="000B05C2" w:rsidP="00466EB4">
      <w:pPr>
        <w:rPr>
          <w:b/>
          <w:color w:val="0070C0"/>
        </w:rPr>
      </w:pPr>
      <w:r w:rsidRPr="00ED300F">
        <w:rPr>
          <w:b/>
          <w:color w:val="0070C0"/>
        </w:rPr>
        <w:t>3.2 Tehnologii moderne de generare a energiei cu emisii scăzute sau zero</w:t>
      </w:r>
    </w:p>
    <w:p w14:paraId="2982D905" w14:textId="77777777"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t>Tehnologii și sisteme de conversie a energiei din surse regenerabile de energie (hidraulică, eoliană,</w:t>
      </w:r>
      <w:r w:rsidR="00233E33">
        <w:rPr>
          <w:color w:val="0070C0"/>
        </w:rPr>
        <w:t xml:space="preserve"> </w:t>
      </w:r>
      <w:r w:rsidRPr="000B05C2">
        <w:rPr>
          <w:color w:val="0070C0"/>
        </w:rPr>
        <w:t>solară, biomasă, geotermală), valorificarea energetică a hidrogenului, utilizarea energiei nucleare,</w:t>
      </w:r>
      <w:r w:rsidR="00233E33">
        <w:rPr>
          <w:color w:val="0070C0"/>
        </w:rPr>
        <w:t xml:space="preserve"> </w:t>
      </w:r>
      <w:r w:rsidRPr="000B05C2">
        <w:rPr>
          <w:color w:val="0070C0"/>
        </w:rPr>
        <w:t>valorificarea energetică cu emisii scăzute a cărbunelui și a gazelor naturale.</w:t>
      </w:r>
    </w:p>
    <w:p w14:paraId="1BCC58B4" w14:textId="77777777" w:rsidR="000B05C2" w:rsidRPr="00233E33" w:rsidRDefault="000B05C2" w:rsidP="00466EB4">
      <w:pPr>
        <w:rPr>
          <w:b/>
          <w:color w:val="0070C0"/>
        </w:rPr>
      </w:pPr>
      <w:r w:rsidRPr="00233E33">
        <w:rPr>
          <w:b/>
          <w:color w:val="0070C0"/>
        </w:rPr>
        <w:t>3.3 Digitalizare în energie</w:t>
      </w:r>
    </w:p>
    <w:p w14:paraId="0973BA99" w14:textId="77777777"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t>Soluțiile digitale pentru monitorizarea și controlul sistemelor energetice, integrate între palierele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sectorului (producere, transport, distribuție, utilizare) vor facilita implementarea măsurilor pentru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creșterea eficienței energetice, sporirea flexibilității sistemului, prioritizarea consumului de energie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curată și optimizarea consumurilor la utilizatori. Digitalizarea permite implementarea unor funcții de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tip Smart Grids la nivelul transportului și distribuției de energie electrică, dar și la cel al utilizatorilor.</w:t>
      </w:r>
    </w:p>
    <w:p w14:paraId="37CA44D1" w14:textId="77777777" w:rsidR="000B05C2" w:rsidRPr="000D1A7F" w:rsidRDefault="000B05C2" w:rsidP="00466EB4">
      <w:pPr>
        <w:rPr>
          <w:b/>
          <w:color w:val="0070C0"/>
        </w:rPr>
      </w:pPr>
      <w:r w:rsidRPr="000D1A7F">
        <w:rPr>
          <w:b/>
          <w:color w:val="0070C0"/>
        </w:rPr>
        <w:t>3.4 Stocarea energiei</w:t>
      </w:r>
    </w:p>
    <w:p w14:paraId="65BED978" w14:textId="77777777"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t>Stocarea energiei este principalul mijloc prin care se asigură creșterea ponderii surselor regenerabile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de energie. Sunt câteva elemente majore care impulsionează dezvoltarea tehnologiilor în zona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stocării energiei: eforturile de decarbonizare a sectoarelor economice, digitalizarea și descentralizarea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- în care consumatorii finali devin „actori” activi („pro-sumers”). Sistemele de stocare pot fi chimice,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cu potențial gravitațional, cu potențial electric, la temperatura ridicată, cu căldura latentă și de tip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cinetic.</w:t>
      </w:r>
    </w:p>
    <w:p w14:paraId="65A9BEBD" w14:textId="77777777" w:rsidR="000B05C2" w:rsidRPr="000D1A7F" w:rsidRDefault="000B05C2" w:rsidP="00466EB4">
      <w:pPr>
        <w:rPr>
          <w:b/>
          <w:color w:val="0070C0"/>
        </w:rPr>
      </w:pPr>
      <w:r w:rsidRPr="000D1A7F">
        <w:rPr>
          <w:b/>
          <w:color w:val="0070C0"/>
        </w:rPr>
        <w:t>4. Fabricație avansată</w:t>
      </w:r>
    </w:p>
    <w:p w14:paraId="3C0732F3" w14:textId="77777777" w:rsidR="000B05C2" w:rsidRPr="000D1A7F" w:rsidRDefault="000B05C2" w:rsidP="00466EB4">
      <w:pPr>
        <w:rPr>
          <w:b/>
          <w:color w:val="0070C0"/>
        </w:rPr>
      </w:pPr>
      <w:r w:rsidRPr="000D1A7F">
        <w:rPr>
          <w:b/>
          <w:color w:val="0070C0"/>
        </w:rPr>
        <w:lastRenderedPageBreak/>
        <w:t>4.1 Tehnologii de fabricație pentru industria aeronautică</w:t>
      </w:r>
    </w:p>
    <w:p w14:paraId="7B3A6965" w14:textId="77777777"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t>Noi tehnologii de fabricație care răspund cerințelor pentru industria aerospațială în contextul „Green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Deal” și „Circular Aviation”. Tehnologiile vizează atât introducerea materialelor de nouă generație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(poli/multi-funcționale), cât și performanța pe întreg ciclul de producție-utilizare-reciclare.</w:t>
      </w:r>
    </w:p>
    <w:p w14:paraId="0AEA2EB9" w14:textId="77777777" w:rsidR="000B05C2" w:rsidRPr="000D1A7F" w:rsidRDefault="000B05C2" w:rsidP="00466EB4">
      <w:pPr>
        <w:rPr>
          <w:b/>
          <w:color w:val="0070C0"/>
        </w:rPr>
      </w:pPr>
      <w:r w:rsidRPr="000D1A7F">
        <w:rPr>
          <w:b/>
          <w:color w:val="0070C0"/>
        </w:rPr>
        <w:t>4.2 Digitalizarea și robotizarea fabricației</w:t>
      </w:r>
    </w:p>
    <w:p w14:paraId="550F1964" w14:textId="77777777"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t>Include aplicațiile industriale ale internetului lucrurilor, roboți industriali înzestrați cu inteligență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artificială, inclusiv roboți inteligenți autonomi pentru logistică.</w:t>
      </w:r>
    </w:p>
    <w:p w14:paraId="3F4DF548" w14:textId="77777777" w:rsidR="000B05C2" w:rsidRPr="000D1A7F" w:rsidRDefault="000B05C2" w:rsidP="00466EB4">
      <w:pPr>
        <w:rPr>
          <w:b/>
          <w:color w:val="0070C0"/>
        </w:rPr>
      </w:pPr>
      <w:r w:rsidRPr="000D1A7F">
        <w:rPr>
          <w:b/>
          <w:color w:val="0070C0"/>
        </w:rPr>
        <w:t>4.3 Tehnologii avansate de fabricație</w:t>
      </w:r>
    </w:p>
    <w:p w14:paraId="2CC7B0D6" w14:textId="77777777"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t>Include tehnologiile de fabricație aditivă, cu materiale organice sau anorganice, și alte tehnologii de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fabricație de precizie, precum – de exemplu: prelucrări tehnologice cu laser (sudură, sinterizare,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acoperire), mașini unelte cu toleranță micronică, etc.</w:t>
      </w:r>
    </w:p>
    <w:p w14:paraId="03D7C7E1" w14:textId="77777777" w:rsidR="000B05C2" w:rsidRPr="000D1A7F" w:rsidRDefault="000B05C2" w:rsidP="00466EB4">
      <w:pPr>
        <w:rPr>
          <w:b/>
          <w:color w:val="0070C0"/>
        </w:rPr>
      </w:pPr>
      <w:r w:rsidRPr="000D1A7F">
        <w:rPr>
          <w:b/>
          <w:color w:val="0070C0"/>
        </w:rPr>
        <w:t>5. Materiale funcționale avansate</w:t>
      </w:r>
    </w:p>
    <w:p w14:paraId="081BB6D1" w14:textId="77777777" w:rsidR="000B05C2" w:rsidRPr="000D1A7F" w:rsidRDefault="000B05C2" w:rsidP="00466EB4">
      <w:pPr>
        <w:rPr>
          <w:b/>
          <w:color w:val="0070C0"/>
        </w:rPr>
      </w:pPr>
      <w:r w:rsidRPr="000D1A7F">
        <w:rPr>
          <w:b/>
          <w:color w:val="0070C0"/>
        </w:rPr>
        <w:t>5.1 Optoelectronica</w:t>
      </w:r>
    </w:p>
    <w:p w14:paraId="2A412C9F" w14:textId="77777777"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t>Vizează dispozitivele electronice care detectează, generează și controlează radiația electromagnetică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din spectrul ultraviolet, vizibil și infraroșu, incluzând cristalele fotonice și circuitele fotonice integrate.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Optoelectronica realizează legături între optică, electronică, senzori, comunicații, lab-on-chip și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tehnologii cuantice și are aplicații în biologie, medicină, industria farmaceutică, chimia și știința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materialelor, industria semiconductorilor.</w:t>
      </w:r>
    </w:p>
    <w:p w14:paraId="2159882F" w14:textId="77777777" w:rsidR="000B05C2" w:rsidRPr="000D1A7F" w:rsidRDefault="000B05C2" w:rsidP="00466EB4">
      <w:pPr>
        <w:rPr>
          <w:b/>
          <w:color w:val="0070C0"/>
        </w:rPr>
      </w:pPr>
      <w:r w:rsidRPr="000D1A7F">
        <w:rPr>
          <w:b/>
          <w:color w:val="0070C0"/>
        </w:rPr>
        <w:t>5.2 Materiale compozite inteligente</w:t>
      </w:r>
    </w:p>
    <w:p w14:paraId="02CA444D" w14:textId="77777777"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t>Materialele compozite inteligente sunt responsive la stimuli externi precum stres mecanic, câmpuri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magnetice/electrice, lumină, temperatură, pH, umiditate, componente chimice. Au aplicații în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construcții (materiale și finisaje durabile cu proprietăți de autoreparare, autocurățare, materiale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fotoactive, cromoactive, cu senzori încorporați), în industria textilă (textile cu proprietăți antibacteriene,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de autoadaptare), pentru electronice/comunicații, actuatori/senzori, dispozitive medicale (mușchi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artificiali, pansamente inteligente).</w:t>
      </w:r>
    </w:p>
    <w:p w14:paraId="24AAED8E" w14:textId="77777777" w:rsidR="000B05C2" w:rsidRPr="000D1A7F" w:rsidRDefault="000B05C2" w:rsidP="00466EB4">
      <w:pPr>
        <w:rPr>
          <w:b/>
          <w:color w:val="0070C0"/>
        </w:rPr>
      </w:pPr>
      <w:r w:rsidRPr="000D1A7F">
        <w:rPr>
          <w:b/>
          <w:color w:val="0070C0"/>
        </w:rPr>
        <w:t>5.3 Materiale reciclabile și tehnologii pentru reciclarea materialelor</w:t>
      </w:r>
    </w:p>
    <w:p w14:paraId="4C68212D" w14:textId="77777777"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t>Domeniul vizează proiectarea și dezvoltarea de materiale care să conducă – în contextul utilizării lor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în economie - la implementarea unor procese și tehnologii de reciclare eficiente, cu consum mic de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energie și poluare limitată. Se urmărește astfel inclusiv reducerea dependenței de materiile prime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critice, prin dezvoltarea de soluții alternative green și sustenabile pe termen mediu și lung.</w:t>
      </w:r>
    </w:p>
    <w:p w14:paraId="51CD9BDB" w14:textId="77777777" w:rsidR="000B05C2" w:rsidRPr="000D1A7F" w:rsidRDefault="000B05C2" w:rsidP="00466EB4">
      <w:pPr>
        <w:rPr>
          <w:b/>
          <w:color w:val="0070C0"/>
        </w:rPr>
      </w:pPr>
      <w:r w:rsidRPr="000D1A7F">
        <w:rPr>
          <w:b/>
          <w:color w:val="0070C0"/>
        </w:rPr>
        <w:t>5.4 Materiale pentru aplicații electronice, electrice, fotonice, magnetice și în senzoristică</w:t>
      </w:r>
    </w:p>
    <w:p w14:paraId="57E0F899" w14:textId="77777777"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t>Include materiale, inclusiv bioinspirate, pentru componente electrice și electronice, senzori inteligenți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(inclusiv biochimici, chimici și electrochimici), dispozitive micro- și nanoelectronice, componente și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sisteme fotonice, dispozitive cuantice, dispozitive pentru recuperarea energiei, precum și tehnologii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de integrare a acestora în aplicații din inginerie, telecomunicații, tehnologia informației, spațiu și</w:t>
      </w:r>
      <w:r w:rsidR="000D1A7F">
        <w:rPr>
          <w:color w:val="0070C0"/>
        </w:rPr>
        <w:t xml:space="preserve"> </w:t>
      </w:r>
      <w:r w:rsidRPr="000B05C2">
        <w:rPr>
          <w:color w:val="0070C0"/>
        </w:rPr>
        <w:t>securitate, tehnologii cuantice, biochimie, medicină.</w:t>
      </w:r>
    </w:p>
    <w:p w14:paraId="6CADEFD4" w14:textId="77777777" w:rsidR="000B05C2" w:rsidRPr="000D1A7F" w:rsidRDefault="000B05C2" w:rsidP="00466EB4">
      <w:pPr>
        <w:rPr>
          <w:b/>
          <w:color w:val="0070C0"/>
        </w:rPr>
      </w:pPr>
      <w:r w:rsidRPr="000D1A7F">
        <w:rPr>
          <w:b/>
          <w:color w:val="0070C0"/>
        </w:rPr>
        <w:t>5.5 Materiale biocompatibile</w:t>
      </w:r>
    </w:p>
    <w:p w14:paraId="67D68795" w14:textId="77777777"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t>Vizează proiectarea, modelarea, fabricarea și caracterizarea materialelor avansate, inteligente, înaltfuncționale și dezvoltările în ingineria suprafeței, pentru aplicații bioinspirate și biomimetice în sectorul</w:t>
      </w:r>
      <w:r w:rsidR="00437D9C">
        <w:rPr>
          <w:color w:val="0070C0"/>
        </w:rPr>
        <w:t xml:space="preserve"> </w:t>
      </w:r>
      <w:r w:rsidRPr="000B05C2">
        <w:rPr>
          <w:color w:val="0070C0"/>
        </w:rPr>
        <w:t xml:space="preserve">medical precum: dispozitive implantabile, medicina regenerativă/personalizată/de precizie, </w:t>
      </w:r>
      <w:r w:rsidRPr="000B05C2">
        <w:rPr>
          <w:color w:val="0070C0"/>
        </w:rPr>
        <w:lastRenderedPageBreak/>
        <w:t>sisteme</w:t>
      </w:r>
      <w:r w:rsidR="00437D9C">
        <w:rPr>
          <w:color w:val="0070C0"/>
        </w:rPr>
        <w:t xml:space="preserve"> </w:t>
      </w:r>
      <w:r w:rsidRPr="000B05C2">
        <w:rPr>
          <w:color w:val="0070C0"/>
        </w:rPr>
        <w:t>de eliberare controlată, diagnostic (inclusiv bio-imagistică), platforme teranostice, biosenzori,</w:t>
      </w:r>
      <w:r w:rsidR="00437D9C">
        <w:rPr>
          <w:color w:val="0070C0"/>
        </w:rPr>
        <w:t xml:space="preserve"> </w:t>
      </w:r>
      <w:r w:rsidRPr="000B05C2">
        <w:rPr>
          <w:color w:val="0070C0"/>
        </w:rPr>
        <w:t>bio(nano)tehnologii, soluții în imunologie și cosmetică.</w:t>
      </w:r>
    </w:p>
    <w:p w14:paraId="2C1C4ACD" w14:textId="77777777" w:rsidR="000B05C2" w:rsidRPr="00437D9C" w:rsidRDefault="000B05C2" w:rsidP="00466EB4">
      <w:pPr>
        <w:rPr>
          <w:b/>
          <w:color w:val="0070C0"/>
        </w:rPr>
      </w:pPr>
      <w:r w:rsidRPr="00437D9C">
        <w:rPr>
          <w:b/>
          <w:color w:val="0070C0"/>
        </w:rPr>
        <w:t>5.6 Materiale pentru energie</w:t>
      </w:r>
    </w:p>
    <w:p w14:paraId="546E74FC" w14:textId="77777777"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t>Include materialele pentru panouri fotovoltaice, baterii, celule de combustie, materialele</w:t>
      </w:r>
      <w:r w:rsidR="00437D9C">
        <w:rPr>
          <w:color w:val="0070C0"/>
        </w:rPr>
        <w:t xml:space="preserve"> </w:t>
      </w:r>
      <w:r w:rsidRPr="000B05C2">
        <w:rPr>
          <w:color w:val="0070C0"/>
        </w:rPr>
        <w:t>superconductoare, acoperiririle superhidrofobe, materialele termoizolante și alte materiale inovatoare,</w:t>
      </w:r>
      <w:r w:rsidR="00437D9C">
        <w:rPr>
          <w:color w:val="0070C0"/>
        </w:rPr>
        <w:t xml:space="preserve"> </w:t>
      </w:r>
      <w:r w:rsidRPr="000B05C2">
        <w:rPr>
          <w:color w:val="0070C0"/>
        </w:rPr>
        <w:t>cu funcționalitate sporită în domeniul producerii, stocării și transportului energiei.</w:t>
      </w:r>
    </w:p>
    <w:p w14:paraId="2C8AD192" w14:textId="77777777" w:rsidR="000B05C2" w:rsidRPr="00437D9C" w:rsidRDefault="000B05C2" w:rsidP="00466EB4">
      <w:pPr>
        <w:rPr>
          <w:b/>
          <w:color w:val="0070C0"/>
        </w:rPr>
      </w:pPr>
      <w:r w:rsidRPr="00437D9C">
        <w:rPr>
          <w:b/>
          <w:color w:val="0070C0"/>
        </w:rPr>
        <w:t>6. Mediu și eco-tehnologii</w:t>
      </w:r>
    </w:p>
    <w:p w14:paraId="6496A8B3" w14:textId="77777777" w:rsidR="000B05C2" w:rsidRPr="00437D9C" w:rsidRDefault="000B05C2" w:rsidP="00466EB4">
      <w:pPr>
        <w:rPr>
          <w:b/>
          <w:color w:val="0070C0"/>
        </w:rPr>
      </w:pPr>
      <w:r w:rsidRPr="00437D9C">
        <w:rPr>
          <w:b/>
          <w:color w:val="0070C0"/>
        </w:rPr>
        <w:t>6.1 Tehnologii pentru gestionarea, monitorizarea și depoluarea mediului</w:t>
      </w:r>
    </w:p>
    <w:p w14:paraId="02D2D2FE" w14:textId="77777777" w:rsidR="000B05C2" w:rsidRPr="000B05C2" w:rsidRDefault="000B05C2" w:rsidP="00466EB4">
      <w:pPr>
        <w:rPr>
          <w:color w:val="0070C0"/>
        </w:rPr>
      </w:pPr>
      <w:r w:rsidRPr="000B05C2">
        <w:rPr>
          <w:color w:val="0070C0"/>
        </w:rPr>
        <w:t>Include tehnologiile de monitorizare a mediului (inclusiv prin rețele de senzori și date satelitare),</w:t>
      </w:r>
      <w:r w:rsidR="00F54867">
        <w:rPr>
          <w:color w:val="0070C0"/>
        </w:rPr>
        <w:t xml:space="preserve"> </w:t>
      </w:r>
      <w:r w:rsidRPr="000B05C2">
        <w:rPr>
          <w:color w:val="0070C0"/>
        </w:rPr>
        <w:t>precum și cele menite să îmbunătățească calitatea aerului, apelor, solului și a sistemelor biologice</w:t>
      </w:r>
      <w:r w:rsidR="00F54867">
        <w:rPr>
          <w:color w:val="0070C0"/>
        </w:rPr>
        <w:t xml:space="preserve"> </w:t>
      </w:r>
      <w:r w:rsidRPr="000B05C2">
        <w:rPr>
          <w:color w:val="0070C0"/>
        </w:rPr>
        <w:t>complexe și să permită gestionarea rapidă și eficientă a situațiilor de contaminare.</w:t>
      </w:r>
    </w:p>
    <w:p w14:paraId="6CF50654" w14:textId="77777777" w:rsidR="000B05C2" w:rsidRPr="00F54867" w:rsidRDefault="000B05C2" w:rsidP="00466EB4">
      <w:pPr>
        <w:rPr>
          <w:b/>
          <w:color w:val="0070C0"/>
        </w:rPr>
      </w:pPr>
      <w:r w:rsidRPr="00F54867">
        <w:rPr>
          <w:b/>
          <w:color w:val="0070C0"/>
        </w:rPr>
        <w:t>6.2 Tehnologii pentru economia circulară</w:t>
      </w:r>
    </w:p>
    <w:p w14:paraId="0F00BD3B" w14:textId="77777777" w:rsidR="00B2391B" w:rsidRPr="00093E54" w:rsidRDefault="000B05C2" w:rsidP="00466EB4">
      <w:pPr>
        <w:rPr>
          <w:color w:val="0070C0"/>
        </w:rPr>
      </w:pPr>
      <w:r w:rsidRPr="000B05C2">
        <w:rPr>
          <w:color w:val="0070C0"/>
        </w:rPr>
        <w:t>Include tehnologiile pentru gestionarea deșeurilor (precum cele pentru colectarea și selectarea</w:t>
      </w:r>
      <w:r w:rsidR="00097CF5">
        <w:rPr>
          <w:color w:val="0070C0"/>
        </w:rPr>
        <w:t xml:space="preserve"> </w:t>
      </w:r>
      <w:r w:rsidRPr="000B05C2">
        <w:rPr>
          <w:color w:val="0070C0"/>
        </w:rPr>
        <w:t>optimizată, filtrarea apei, reprocesarea biologică, valorificarea deșeurilor în energie, piroliză etc) și</w:t>
      </w:r>
      <w:r w:rsidR="00097CF5">
        <w:rPr>
          <w:color w:val="0070C0"/>
        </w:rPr>
        <w:t xml:space="preserve"> </w:t>
      </w:r>
      <w:r w:rsidRPr="000B05C2">
        <w:rPr>
          <w:color w:val="0070C0"/>
        </w:rPr>
        <w:t>ansamblul soluțiilor care contribuie la reducerea deșeurilor și creșterea gradului de reciclare în</w:t>
      </w:r>
      <w:r w:rsidR="00097CF5">
        <w:rPr>
          <w:color w:val="0070C0"/>
        </w:rPr>
        <w:t xml:space="preserve"> </w:t>
      </w:r>
      <w:r w:rsidRPr="000B05C2">
        <w:rPr>
          <w:color w:val="0070C0"/>
        </w:rPr>
        <w:t>lanțurile valorice asociate produselor electronice, bateriilor, ambalajelor, materialelor plastice,</w:t>
      </w:r>
      <w:r w:rsidR="00097CF5">
        <w:rPr>
          <w:color w:val="0070C0"/>
        </w:rPr>
        <w:t xml:space="preserve"> </w:t>
      </w:r>
      <w:r w:rsidRPr="000B05C2">
        <w:rPr>
          <w:color w:val="0070C0"/>
        </w:rPr>
        <w:t>produselor textile, construcțiilor, alimentelor ș.a.</w:t>
      </w:r>
      <w:r w:rsidRPr="000B05C2">
        <w:rPr>
          <w:color w:val="0070C0"/>
        </w:rPr>
        <w:cr/>
      </w:r>
    </w:p>
    <w:sectPr w:rsidR="00B2391B" w:rsidRPr="00093E54" w:rsidSect="00A05C45">
      <w:headerReference w:type="first" r:id="rId7"/>
      <w:pgSz w:w="11906" w:h="16838" w:code="9"/>
      <w:pgMar w:top="1134" w:right="851" w:bottom="1134" w:left="993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811875" w14:textId="77777777" w:rsidR="002D62B6" w:rsidRDefault="002D62B6" w:rsidP="002C069A">
      <w:pPr>
        <w:spacing w:line="240" w:lineRule="auto"/>
      </w:pPr>
      <w:r>
        <w:separator/>
      </w:r>
    </w:p>
  </w:endnote>
  <w:endnote w:type="continuationSeparator" w:id="0">
    <w:p w14:paraId="4344F955" w14:textId="77777777" w:rsidR="002D62B6" w:rsidRDefault="002D62B6" w:rsidP="002C069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F5E855" w14:textId="77777777" w:rsidR="002D62B6" w:rsidRDefault="002D62B6" w:rsidP="002C069A">
      <w:pPr>
        <w:spacing w:line="240" w:lineRule="auto"/>
      </w:pPr>
      <w:r>
        <w:separator/>
      </w:r>
    </w:p>
  </w:footnote>
  <w:footnote w:type="continuationSeparator" w:id="0">
    <w:p w14:paraId="67241E3A" w14:textId="77777777" w:rsidR="002D62B6" w:rsidRDefault="002D62B6" w:rsidP="002C069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9E78D3" w14:textId="6D7F9A4C" w:rsidR="00A05C45" w:rsidRPr="0091374D" w:rsidRDefault="00A05C45" w:rsidP="00A05C45">
    <w:pPr>
      <w:tabs>
        <w:tab w:val="left" w:pos="0"/>
        <w:tab w:val="right" w:pos="9781"/>
      </w:tabs>
      <w:jc w:val="center"/>
      <w:rPr>
        <w:rFonts w:cs="Arial"/>
        <w:b/>
        <w:i/>
        <w:color w:val="1F497D"/>
        <w:sz w:val="18"/>
        <w:szCs w:val="18"/>
      </w:rPr>
    </w:pPr>
    <w:r w:rsidRPr="0091374D">
      <w:rPr>
        <w:rFonts w:cs="Arial"/>
        <w:b/>
        <w:i/>
        <w:color w:val="1F497D"/>
        <w:sz w:val="18"/>
        <w:szCs w:val="18"/>
      </w:rPr>
      <w:t>POCIDIF 2021-2027</w:t>
    </w:r>
  </w:p>
  <w:p w14:paraId="78A2B919" w14:textId="6481EB85" w:rsidR="00A05C45" w:rsidRPr="0091374D" w:rsidRDefault="00A05C45" w:rsidP="00A05C45">
    <w:pPr>
      <w:pStyle w:val="Header"/>
      <w:tabs>
        <w:tab w:val="left" w:pos="6473"/>
      </w:tabs>
      <w:rPr>
        <w:rFonts w:eastAsia="Calibri" w:cs="Arial"/>
        <w:b/>
        <w:i/>
        <w:color w:val="1F497D"/>
        <w:sz w:val="18"/>
        <w:szCs w:val="18"/>
      </w:rPr>
    </w:pPr>
    <w:r w:rsidRPr="0091374D">
      <w:rPr>
        <w:rFonts w:eastAsia="Calibri" w:cs="Arial"/>
        <w:b/>
        <w:i/>
        <w:color w:val="1F497D"/>
        <w:sz w:val="18"/>
        <w:szCs w:val="18"/>
      </w:rPr>
      <w:t xml:space="preserve">Anexa </w:t>
    </w:r>
    <w:r>
      <w:rPr>
        <w:rFonts w:eastAsia="Calibri" w:cs="Arial"/>
        <w:b/>
        <w:i/>
        <w:color w:val="1F497D"/>
        <w:sz w:val="18"/>
        <w:szCs w:val="18"/>
      </w:rPr>
      <w:t>11</w:t>
    </w:r>
    <w:r>
      <w:rPr>
        <w:rFonts w:eastAsia="Calibri" w:cs="Arial"/>
        <w:b/>
        <w:i/>
        <w:color w:val="1F497D"/>
        <w:sz w:val="18"/>
        <w:szCs w:val="18"/>
      </w:rPr>
      <w:t xml:space="preserve"> la </w:t>
    </w:r>
    <w:r w:rsidRPr="0091374D">
      <w:rPr>
        <w:rFonts w:cs="Arial"/>
        <w:b/>
        <w:i/>
        <w:color w:val="1F497D"/>
        <w:sz w:val="18"/>
        <w:szCs w:val="18"/>
      </w:rPr>
      <w:t>Ghidul solicitantului aferent apelului de proiecte PCIDIF/15</w:t>
    </w:r>
    <w:r>
      <w:rPr>
        <w:rFonts w:cs="Arial"/>
        <w:b/>
        <w:i/>
        <w:color w:val="1F497D"/>
        <w:sz w:val="18"/>
        <w:szCs w:val="18"/>
      </w:rPr>
      <w:t>9</w:t>
    </w:r>
    <w:r w:rsidRPr="0091374D">
      <w:rPr>
        <w:rFonts w:cs="Arial"/>
        <w:b/>
        <w:i/>
        <w:color w:val="1F497D"/>
        <w:sz w:val="18"/>
        <w:szCs w:val="18"/>
      </w:rPr>
      <w:t>/PCIDIF_P1/OP1/RSO1.1/PCIDIF_A1.1</w:t>
    </w:r>
    <w:r>
      <w:rPr>
        <w:rFonts w:cs="Arial"/>
        <w:b/>
        <w:i/>
        <w:color w:val="1F497D"/>
        <w:sz w:val="18"/>
        <w:szCs w:val="18"/>
      </w:rPr>
      <w:t>, Măsura 1.1.2</w:t>
    </w:r>
  </w:p>
  <w:p w14:paraId="07F116B5" w14:textId="77777777" w:rsidR="00492521" w:rsidRDefault="0049252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mirrorMargin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45C"/>
    <w:rsid w:val="00000960"/>
    <w:rsid w:val="00001BFA"/>
    <w:rsid w:val="00002D92"/>
    <w:rsid w:val="000479A1"/>
    <w:rsid w:val="00047D10"/>
    <w:rsid w:val="00055062"/>
    <w:rsid w:val="000604C8"/>
    <w:rsid w:val="00063D07"/>
    <w:rsid w:val="00065954"/>
    <w:rsid w:val="00071F60"/>
    <w:rsid w:val="0007669D"/>
    <w:rsid w:val="00076DA7"/>
    <w:rsid w:val="000775DF"/>
    <w:rsid w:val="0008164E"/>
    <w:rsid w:val="00093E54"/>
    <w:rsid w:val="00096950"/>
    <w:rsid w:val="00097CF5"/>
    <w:rsid w:val="000A7376"/>
    <w:rsid w:val="000B05C2"/>
    <w:rsid w:val="000B2C42"/>
    <w:rsid w:val="000D1A7F"/>
    <w:rsid w:val="000D7B8A"/>
    <w:rsid w:val="000E1079"/>
    <w:rsid w:val="000E4B7E"/>
    <w:rsid w:val="000F14DE"/>
    <w:rsid w:val="000F4E3C"/>
    <w:rsid w:val="001117B6"/>
    <w:rsid w:val="00112385"/>
    <w:rsid w:val="001140EF"/>
    <w:rsid w:val="00124262"/>
    <w:rsid w:val="00132F82"/>
    <w:rsid w:val="0013432B"/>
    <w:rsid w:val="00134C54"/>
    <w:rsid w:val="001432B7"/>
    <w:rsid w:val="0014699F"/>
    <w:rsid w:val="00150B91"/>
    <w:rsid w:val="001530EC"/>
    <w:rsid w:val="00153C07"/>
    <w:rsid w:val="0015412E"/>
    <w:rsid w:val="001932D1"/>
    <w:rsid w:val="001C2E68"/>
    <w:rsid w:val="001C71E6"/>
    <w:rsid w:val="001D423F"/>
    <w:rsid w:val="00205AA2"/>
    <w:rsid w:val="00207620"/>
    <w:rsid w:val="00221019"/>
    <w:rsid w:val="00221870"/>
    <w:rsid w:val="00233E33"/>
    <w:rsid w:val="00243ECE"/>
    <w:rsid w:val="00252ED3"/>
    <w:rsid w:val="002541E4"/>
    <w:rsid w:val="0026092D"/>
    <w:rsid w:val="00260EF3"/>
    <w:rsid w:val="00282086"/>
    <w:rsid w:val="00282FD3"/>
    <w:rsid w:val="002B051B"/>
    <w:rsid w:val="002B45B9"/>
    <w:rsid w:val="002C069A"/>
    <w:rsid w:val="002D1A34"/>
    <w:rsid w:val="002D2873"/>
    <w:rsid w:val="002D62B6"/>
    <w:rsid w:val="002F258D"/>
    <w:rsid w:val="002F359A"/>
    <w:rsid w:val="0030186D"/>
    <w:rsid w:val="003041F7"/>
    <w:rsid w:val="00312A74"/>
    <w:rsid w:val="0032580E"/>
    <w:rsid w:val="00325E2F"/>
    <w:rsid w:val="00365BD9"/>
    <w:rsid w:val="00370C73"/>
    <w:rsid w:val="0037575B"/>
    <w:rsid w:val="00383741"/>
    <w:rsid w:val="00396D34"/>
    <w:rsid w:val="003B2704"/>
    <w:rsid w:val="003C05C1"/>
    <w:rsid w:val="003C60A9"/>
    <w:rsid w:val="003D3882"/>
    <w:rsid w:val="003D517E"/>
    <w:rsid w:val="003D79D1"/>
    <w:rsid w:val="003E4CA0"/>
    <w:rsid w:val="003E4CA1"/>
    <w:rsid w:val="003E734F"/>
    <w:rsid w:val="004009C3"/>
    <w:rsid w:val="00402CA0"/>
    <w:rsid w:val="00415D38"/>
    <w:rsid w:val="00437D9C"/>
    <w:rsid w:val="004436D7"/>
    <w:rsid w:val="004446B0"/>
    <w:rsid w:val="00466EB4"/>
    <w:rsid w:val="004820A9"/>
    <w:rsid w:val="0048251A"/>
    <w:rsid w:val="00492521"/>
    <w:rsid w:val="004A2E02"/>
    <w:rsid w:val="004A3BE9"/>
    <w:rsid w:val="004B06B5"/>
    <w:rsid w:val="004B5114"/>
    <w:rsid w:val="004C7CAC"/>
    <w:rsid w:val="004D6579"/>
    <w:rsid w:val="00505815"/>
    <w:rsid w:val="00505936"/>
    <w:rsid w:val="005075BE"/>
    <w:rsid w:val="0051225F"/>
    <w:rsid w:val="00523560"/>
    <w:rsid w:val="00544EFF"/>
    <w:rsid w:val="00546C1B"/>
    <w:rsid w:val="005555F1"/>
    <w:rsid w:val="00557568"/>
    <w:rsid w:val="00566E57"/>
    <w:rsid w:val="005A1197"/>
    <w:rsid w:val="005A7B8C"/>
    <w:rsid w:val="005B0A65"/>
    <w:rsid w:val="005B7579"/>
    <w:rsid w:val="005D3D77"/>
    <w:rsid w:val="006022A1"/>
    <w:rsid w:val="00602F8D"/>
    <w:rsid w:val="006033D6"/>
    <w:rsid w:val="00610153"/>
    <w:rsid w:val="00611929"/>
    <w:rsid w:val="006161C6"/>
    <w:rsid w:val="00625048"/>
    <w:rsid w:val="006432D1"/>
    <w:rsid w:val="00657545"/>
    <w:rsid w:val="00673A50"/>
    <w:rsid w:val="00673AC5"/>
    <w:rsid w:val="00675F41"/>
    <w:rsid w:val="00683DFB"/>
    <w:rsid w:val="006A1CA2"/>
    <w:rsid w:val="006A74DA"/>
    <w:rsid w:val="006B5383"/>
    <w:rsid w:val="006B7861"/>
    <w:rsid w:val="006C3100"/>
    <w:rsid w:val="006D4E7F"/>
    <w:rsid w:val="006D55A7"/>
    <w:rsid w:val="006E2122"/>
    <w:rsid w:val="006F7A02"/>
    <w:rsid w:val="007114FF"/>
    <w:rsid w:val="00716FCF"/>
    <w:rsid w:val="00717640"/>
    <w:rsid w:val="0072184C"/>
    <w:rsid w:val="0072591F"/>
    <w:rsid w:val="00732B4A"/>
    <w:rsid w:val="007339ED"/>
    <w:rsid w:val="00734D64"/>
    <w:rsid w:val="00755044"/>
    <w:rsid w:val="00756C52"/>
    <w:rsid w:val="00757FF5"/>
    <w:rsid w:val="00766E07"/>
    <w:rsid w:val="00767A38"/>
    <w:rsid w:val="0078117A"/>
    <w:rsid w:val="00795EFB"/>
    <w:rsid w:val="00797B53"/>
    <w:rsid w:val="007A23EA"/>
    <w:rsid w:val="007A53B4"/>
    <w:rsid w:val="007B2C4C"/>
    <w:rsid w:val="007B2EE3"/>
    <w:rsid w:val="007F729F"/>
    <w:rsid w:val="00800313"/>
    <w:rsid w:val="00836CC9"/>
    <w:rsid w:val="00837AE1"/>
    <w:rsid w:val="0086157E"/>
    <w:rsid w:val="00872494"/>
    <w:rsid w:val="008844EA"/>
    <w:rsid w:val="00891CBC"/>
    <w:rsid w:val="00891EC1"/>
    <w:rsid w:val="008B0FED"/>
    <w:rsid w:val="008B45C0"/>
    <w:rsid w:val="008C1746"/>
    <w:rsid w:val="008C3C7C"/>
    <w:rsid w:val="008C5F6B"/>
    <w:rsid w:val="008C6007"/>
    <w:rsid w:val="008D5860"/>
    <w:rsid w:val="008D5BAB"/>
    <w:rsid w:val="008D5C17"/>
    <w:rsid w:val="008E17D0"/>
    <w:rsid w:val="008E4C87"/>
    <w:rsid w:val="008E7AC5"/>
    <w:rsid w:val="00903AFC"/>
    <w:rsid w:val="00903C4E"/>
    <w:rsid w:val="00916EA1"/>
    <w:rsid w:val="0093245C"/>
    <w:rsid w:val="00933139"/>
    <w:rsid w:val="0093386C"/>
    <w:rsid w:val="00950540"/>
    <w:rsid w:val="009519B9"/>
    <w:rsid w:val="00961438"/>
    <w:rsid w:val="0096652A"/>
    <w:rsid w:val="00974B15"/>
    <w:rsid w:val="00976A4B"/>
    <w:rsid w:val="0098376A"/>
    <w:rsid w:val="00994483"/>
    <w:rsid w:val="009A2059"/>
    <w:rsid w:val="009D4380"/>
    <w:rsid w:val="009E53B2"/>
    <w:rsid w:val="009E73E0"/>
    <w:rsid w:val="009E7685"/>
    <w:rsid w:val="00A05C45"/>
    <w:rsid w:val="00A17674"/>
    <w:rsid w:val="00A27C45"/>
    <w:rsid w:val="00A31B32"/>
    <w:rsid w:val="00A54B94"/>
    <w:rsid w:val="00A679DD"/>
    <w:rsid w:val="00A74116"/>
    <w:rsid w:val="00A907EB"/>
    <w:rsid w:val="00A92DB2"/>
    <w:rsid w:val="00A95094"/>
    <w:rsid w:val="00AA6A45"/>
    <w:rsid w:val="00AA7594"/>
    <w:rsid w:val="00AB76A3"/>
    <w:rsid w:val="00AC3651"/>
    <w:rsid w:val="00AD09F9"/>
    <w:rsid w:val="00AD17B3"/>
    <w:rsid w:val="00AD704D"/>
    <w:rsid w:val="00AF4FBC"/>
    <w:rsid w:val="00AF745F"/>
    <w:rsid w:val="00B01EA8"/>
    <w:rsid w:val="00B2391B"/>
    <w:rsid w:val="00B3198F"/>
    <w:rsid w:val="00B328DE"/>
    <w:rsid w:val="00B40758"/>
    <w:rsid w:val="00B51C76"/>
    <w:rsid w:val="00B64592"/>
    <w:rsid w:val="00B6782F"/>
    <w:rsid w:val="00B84799"/>
    <w:rsid w:val="00B91AF7"/>
    <w:rsid w:val="00BA16BE"/>
    <w:rsid w:val="00BA6BDF"/>
    <w:rsid w:val="00BA6E6B"/>
    <w:rsid w:val="00BF0D04"/>
    <w:rsid w:val="00BF4360"/>
    <w:rsid w:val="00BF6FDC"/>
    <w:rsid w:val="00C00424"/>
    <w:rsid w:val="00C0502B"/>
    <w:rsid w:val="00C14708"/>
    <w:rsid w:val="00C26DEA"/>
    <w:rsid w:val="00C27E0C"/>
    <w:rsid w:val="00C35ACA"/>
    <w:rsid w:val="00C43EA1"/>
    <w:rsid w:val="00C45354"/>
    <w:rsid w:val="00C47FF5"/>
    <w:rsid w:val="00C521A8"/>
    <w:rsid w:val="00C5272F"/>
    <w:rsid w:val="00C542E3"/>
    <w:rsid w:val="00C705B0"/>
    <w:rsid w:val="00C71FCE"/>
    <w:rsid w:val="00C733DB"/>
    <w:rsid w:val="00C73810"/>
    <w:rsid w:val="00C811B5"/>
    <w:rsid w:val="00C84F07"/>
    <w:rsid w:val="00CA1C49"/>
    <w:rsid w:val="00CA3055"/>
    <w:rsid w:val="00CC0BED"/>
    <w:rsid w:val="00CC64C9"/>
    <w:rsid w:val="00CE4E96"/>
    <w:rsid w:val="00CF65FD"/>
    <w:rsid w:val="00D02FC4"/>
    <w:rsid w:val="00D0461E"/>
    <w:rsid w:val="00D06D7E"/>
    <w:rsid w:val="00D27351"/>
    <w:rsid w:val="00D3125D"/>
    <w:rsid w:val="00D51A55"/>
    <w:rsid w:val="00D60147"/>
    <w:rsid w:val="00D61238"/>
    <w:rsid w:val="00D66425"/>
    <w:rsid w:val="00D669B8"/>
    <w:rsid w:val="00D67E53"/>
    <w:rsid w:val="00D745AC"/>
    <w:rsid w:val="00D80AA0"/>
    <w:rsid w:val="00DA6B9E"/>
    <w:rsid w:val="00DB36CE"/>
    <w:rsid w:val="00DC71CA"/>
    <w:rsid w:val="00DE23EB"/>
    <w:rsid w:val="00DF073C"/>
    <w:rsid w:val="00E07983"/>
    <w:rsid w:val="00E143D4"/>
    <w:rsid w:val="00E2520F"/>
    <w:rsid w:val="00E3408D"/>
    <w:rsid w:val="00E3497F"/>
    <w:rsid w:val="00E40E07"/>
    <w:rsid w:val="00E57029"/>
    <w:rsid w:val="00E73451"/>
    <w:rsid w:val="00E820E6"/>
    <w:rsid w:val="00E83D2E"/>
    <w:rsid w:val="00E90E32"/>
    <w:rsid w:val="00EB466B"/>
    <w:rsid w:val="00EC5741"/>
    <w:rsid w:val="00EC60C8"/>
    <w:rsid w:val="00ED0228"/>
    <w:rsid w:val="00ED2527"/>
    <w:rsid w:val="00ED300F"/>
    <w:rsid w:val="00ED7BD8"/>
    <w:rsid w:val="00EF3773"/>
    <w:rsid w:val="00F03AB4"/>
    <w:rsid w:val="00F14DA7"/>
    <w:rsid w:val="00F36143"/>
    <w:rsid w:val="00F41FF2"/>
    <w:rsid w:val="00F54867"/>
    <w:rsid w:val="00F55693"/>
    <w:rsid w:val="00F622D4"/>
    <w:rsid w:val="00F65A1C"/>
    <w:rsid w:val="00F67785"/>
    <w:rsid w:val="00F73592"/>
    <w:rsid w:val="00F830AF"/>
    <w:rsid w:val="00F9362C"/>
    <w:rsid w:val="00F94755"/>
    <w:rsid w:val="00FA3A42"/>
    <w:rsid w:val="00FA4119"/>
    <w:rsid w:val="00FA4E7C"/>
    <w:rsid w:val="00FA5848"/>
    <w:rsid w:val="00FA706D"/>
    <w:rsid w:val="00FA7079"/>
    <w:rsid w:val="00FA7242"/>
    <w:rsid w:val="00FB2EA0"/>
    <w:rsid w:val="00FB5079"/>
    <w:rsid w:val="00FE0BDD"/>
    <w:rsid w:val="00FE2F4B"/>
    <w:rsid w:val="00FE31AD"/>
    <w:rsid w:val="00FF3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9CDB35"/>
  <w15:chartTrackingRefBased/>
  <w15:docId w15:val="{E373E252-BBBC-4B1A-B2CB-F7061EA81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961438"/>
    <w:pPr>
      <w:spacing w:before="160" w:after="0"/>
      <w:jc w:val="both"/>
    </w:pPr>
    <w:rPr>
      <w:rFonts w:ascii="Trebuchet MS" w:hAnsi="Trebuchet M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fDocExtern">
    <w:name w:val="ParagrafDocExtern"/>
    <w:link w:val="ParagrafDocExternChar"/>
    <w:qFormat/>
    <w:rsid w:val="0013432B"/>
    <w:pPr>
      <w:spacing w:before="60" w:after="0" w:line="264" w:lineRule="auto"/>
      <w:jc w:val="both"/>
    </w:pPr>
    <w:rPr>
      <w:rFonts w:ascii="Arial" w:hAnsi="Arial"/>
      <w:sz w:val="24"/>
      <w:szCs w:val="28"/>
    </w:rPr>
  </w:style>
  <w:style w:type="paragraph" w:customStyle="1" w:styleId="EnuntDocExtern">
    <w:name w:val="EnuntDocExtern"/>
    <w:link w:val="EnuntDocExternChar"/>
    <w:qFormat/>
    <w:rsid w:val="006022A1"/>
    <w:pPr>
      <w:spacing w:before="60" w:after="0" w:line="264" w:lineRule="auto"/>
      <w:ind w:left="709"/>
      <w:jc w:val="both"/>
    </w:pPr>
    <w:rPr>
      <w:rFonts w:ascii="Arial" w:hAnsi="Arial"/>
      <w:sz w:val="20"/>
    </w:rPr>
  </w:style>
  <w:style w:type="character" w:customStyle="1" w:styleId="ParagrafDocExternChar">
    <w:name w:val="ParagrafDocExtern Char"/>
    <w:basedOn w:val="DefaultParagraphFont"/>
    <w:link w:val="ParagrafDocExtern"/>
    <w:rsid w:val="0013432B"/>
    <w:rPr>
      <w:rFonts w:ascii="Arial" w:hAnsi="Arial"/>
      <w:sz w:val="24"/>
      <w:szCs w:val="28"/>
    </w:rPr>
  </w:style>
  <w:style w:type="paragraph" w:styleId="FootnoteText">
    <w:name w:val="footnote text"/>
    <w:basedOn w:val="Normal"/>
    <w:link w:val="FootnoteTextChar"/>
    <w:uiPriority w:val="99"/>
    <w:unhideWhenUsed/>
    <w:rsid w:val="002C069A"/>
    <w:pPr>
      <w:spacing w:line="240" w:lineRule="auto"/>
    </w:pPr>
    <w:rPr>
      <w:i/>
      <w:sz w:val="20"/>
      <w:szCs w:val="20"/>
    </w:rPr>
  </w:style>
  <w:style w:type="character" w:customStyle="1" w:styleId="EnuntDocExternChar">
    <w:name w:val="EnuntDocExtern Char"/>
    <w:basedOn w:val="DefaultParagraphFont"/>
    <w:link w:val="EnuntDocExtern"/>
    <w:rsid w:val="006022A1"/>
    <w:rPr>
      <w:rFonts w:ascii="Arial" w:hAnsi="Arial"/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C069A"/>
    <w:rPr>
      <w:rFonts w:ascii="Arial" w:hAnsi="Arial"/>
      <w:i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C069A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2C069A"/>
    <w:pPr>
      <w:spacing w:line="240" w:lineRule="auto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2C069A"/>
    <w:rPr>
      <w:rFonts w:ascii="Arial" w:hAnsi="Arial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2C069A"/>
    <w:pPr>
      <w:tabs>
        <w:tab w:val="right" w:pos="-4962"/>
      </w:tabs>
      <w:spacing w:line="240" w:lineRule="auto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2C069A"/>
    <w:rPr>
      <w:rFonts w:ascii="Arial" w:hAnsi="Arial"/>
      <w:sz w:val="20"/>
      <w:szCs w:val="20"/>
    </w:rPr>
  </w:style>
  <w:style w:type="paragraph" w:styleId="Revision">
    <w:name w:val="Revision"/>
    <w:hidden/>
    <w:uiPriority w:val="99"/>
    <w:semiHidden/>
    <w:rsid w:val="00E07983"/>
    <w:pPr>
      <w:spacing w:after="0" w:line="240" w:lineRule="auto"/>
    </w:pPr>
    <w:rPr>
      <w:rFonts w:ascii="Trebuchet MS" w:hAnsi="Trebuchet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884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2E3F17-CC68-443D-979D-124AC3002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1621</Words>
  <Characters>9245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Raluca PETRICA</dc:creator>
  <cp:keywords/>
  <dc:description/>
  <cp:lastModifiedBy>Steluta BULACEANU</cp:lastModifiedBy>
  <cp:revision>4</cp:revision>
  <dcterms:created xsi:type="dcterms:W3CDTF">2023-10-23T11:35:00Z</dcterms:created>
  <dcterms:modified xsi:type="dcterms:W3CDTF">2023-10-23T11:38:00Z</dcterms:modified>
</cp:coreProperties>
</file>