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485B" w14:textId="012E8C07" w:rsidR="0001312F" w:rsidRDefault="0098504F" w:rsidP="0098504F">
      <w:pPr>
        <w:tabs>
          <w:tab w:val="left" w:pos="184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noProof/>
          <w:sz w:val="24"/>
          <w:szCs w:val="24"/>
        </w:rPr>
        <w:drawing>
          <wp:inline distT="0" distB="0" distL="0" distR="0" wp14:anchorId="68C0F71C" wp14:editId="5D4A29B2">
            <wp:extent cx="5566410" cy="572770"/>
            <wp:effectExtent l="0" t="0" r="0" b="0"/>
            <wp:docPr id="1604552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5041A203" w14:textId="77777777" w:rsidR="0001312F" w:rsidRDefault="0001312F">
      <w:pPr>
        <w:spacing w:line="276" w:lineRule="auto"/>
        <w:jc w:val="center"/>
        <w:rPr>
          <w:rFonts w:ascii="Times New Roman" w:eastAsia="Times New Roman" w:hAnsi="Times New Roman" w:cs="Times New Roman"/>
          <w:b/>
          <w:sz w:val="24"/>
          <w:szCs w:val="24"/>
        </w:rPr>
      </w:pPr>
    </w:p>
    <w:p w14:paraId="00F1323F" w14:textId="4394EBC8" w:rsidR="0001312F" w:rsidRDefault="0067039D">
      <w:pPr>
        <w:spacing w:line="276" w:lineRule="auto"/>
        <w:jc w:val="center"/>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p w14:paraId="22BB0AA1" w14:textId="77777777" w:rsidR="0074365A" w:rsidRDefault="0074365A"/>
                          <w:p w14:paraId="32F899F1" w14:textId="516F29AF" w:rsidR="0074365A" w:rsidRPr="00005D88" w:rsidRDefault="0074365A" w:rsidP="00005D88">
                            <w:pPr>
                              <w:jc w:val="center"/>
                              <w:rPr>
                                <w:color w:val="0070C0"/>
                              </w:rPr>
                            </w:pPr>
                            <w:r w:rsidRPr="00005D88">
                              <w:rPr>
                                <w:color w:val="0070C0"/>
                              </w:rPr>
                              <w:t>(Extras aplicabil Priorit</w:t>
                            </w:r>
                            <w:r w:rsidR="002B262A" w:rsidRPr="00005D88">
                              <w:rPr>
                                <w:color w:val="0070C0"/>
                              </w:rPr>
                              <w:t>ă</w:t>
                            </w:r>
                            <w:r w:rsidR="00A91457" w:rsidRPr="00005D88">
                              <w:rPr>
                                <w:color w:val="0070C0"/>
                              </w:rPr>
                              <w:t>ț</w:t>
                            </w:r>
                            <w:r w:rsidRPr="00005D88">
                              <w:rPr>
                                <w:color w:val="0070C0"/>
                              </w:rPr>
                              <w:t>ii 7</w:t>
                            </w:r>
                            <w:r w:rsidR="00A91457" w:rsidRPr="00005D88">
                              <w:rPr>
                                <w:color w:val="0070C0"/>
                              </w:rPr>
                              <w:t xml:space="preserve">: Dezvoltarea transportului naval și </w:t>
                            </w:r>
                            <w:r w:rsidR="00005D88" w:rsidRPr="00005D88">
                              <w:rPr>
                                <w:color w:val="0070C0"/>
                              </w:rPr>
                              <w:t>multimodal)</w:t>
                            </w:r>
                          </w:p>
                        </w:txbxContent>
                      </wps:txbx>
                      <wps:bodyPr spcFirstLastPara="1" wrap="square" lIns="91425" tIns="45700" rIns="91425" bIns="45700" anchor="t" anchorCtr="0">
                        <a:noAutofit/>
                      </wps:bodyPr>
                    </wps:wsp>
                  </a:graphicData>
                </a:graphic>
              </wp:anchor>
            </w:drawing>
          </mc:Choice>
          <mc:Fallback>
            <w:pict>
              <v:rect w14:anchorId="0AFA5DDA" id="Dreptunghi 1149" o:spid="_x0000_s1026" style="position:absolute;left:0;text-align:left;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p w14:paraId="22BB0AA1" w14:textId="77777777" w:rsidR="0074365A" w:rsidRDefault="0074365A"/>
                    <w:p w14:paraId="32F899F1" w14:textId="516F29AF" w:rsidR="0074365A" w:rsidRPr="00005D88" w:rsidRDefault="0074365A" w:rsidP="00005D88">
                      <w:pPr>
                        <w:jc w:val="center"/>
                        <w:rPr>
                          <w:color w:val="0070C0"/>
                        </w:rPr>
                      </w:pPr>
                      <w:r w:rsidRPr="00005D88">
                        <w:rPr>
                          <w:color w:val="0070C0"/>
                        </w:rPr>
                        <w:t>(Extras aplicabil Priorit</w:t>
                      </w:r>
                      <w:r w:rsidR="002B262A" w:rsidRPr="00005D88">
                        <w:rPr>
                          <w:color w:val="0070C0"/>
                        </w:rPr>
                        <w:t>ă</w:t>
                      </w:r>
                      <w:r w:rsidR="00A91457" w:rsidRPr="00005D88">
                        <w:rPr>
                          <w:color w:val="0070C0"/>
                        </w:rPr>
                        <w:t>ț</w:t>
                      </w:r>
                      <w:r w:rsidRPr="00005D88">
                        <w:rPr>
                          <w:color w:val="0070C0"/>
                        </w:rPr>
                        <w:t>ii 7</w:t>
                      </w:r>
                      <w:r w:rsidR="00A91457" w:rsidRPr="00005D88">
                        <w:rPr>
                          <w:color w:val="0070C0"/>
                        </w:rPr>
                        <w:t xml:space="preserve">: Dezvoltarea transportului naval și </w:t>
                      </w:r>
                      <w:r w:rsidR="00005D88" w:rsidRPr="00005D88">
                        <w:rPr>
                          <w:color w:val="0070C0"/>
                        </w:rPr>
                        <w:t>multimodal)</w:t>
                      </w:r>
                    </w:p>
                  </w:txbxContent>
                </v:textbox>
              </v:rect>
            </w:pict>
          </mc:Fallback>
        </mc:AlternateContent>
      </w:r>
    </w:p>
    <w:p w14:paraId="4021569B" w14:textId="77777777" w:rsidR="0001312F" w:rsidRDefault="0001312F">
      <w:pPr>
        <w:spacing w:line="276" w:lineRule="auto"/>
        <w:jc w:val="center"/>
        <w:rPr>
          <w:rFonts w:ascii="Times New Roman" w:eastAsia="Times New Roman" w:hAnsi="Times New Roman" w:cs="Times New Roman"/>
          <w:b/>
          <w:sz w:val="24"/>
          <w:szCs w:val="24"/>
        </w:rPr>
      </w:pPr>
    </w:p>
    <w:p w14:paraId="5A04493B" w14:textId="3FA1155E" w:rsidR="0001312F" w:rsidRPr="0098504F" w:rsidRDefault="0098504F" w:rsidP="0098504F">
      <w:pPr>
        <w:tabs>
          <w:tab w:val="left" w:pos="1470"/>
        </w:tabs>
        <w:spacing w:line="276" w:lineRule="auto"/>
        <w:jc w:val="both"/>
        <w:rPr>
          <w:rFonts w:ascii="Times New Roman" w:eastAsia="Times New Roman" w:hAnsi="Times New Roman" w:cs="Times New Roman"/>
          <w:b/>
        </w:rPr>
      </w:pPr>
      <w:r w:rsidRPr="0098504F">
        <w:rPr>
          <w:rFonts w:ascii="Times New Roman" w:eastAsia="Times New Roman" w:hAnsi="Times New Roman" w:cs="Times New Roman"/>
          <w:b/>
        </w:rPr>
        <w:t xml:space="preserve">Anexa nr. 3 la </w:t>
      </w:r>
      <w:r w:rsidR="00325C7E" w:rsidRPr="00325C7E">
        <w:rPr>
          <w:rFonts w:ascii="Times New Roman" w:eastAsia="Times New Roman" w:hAnsi="Times New Roman" w:cs="Times New Roman"/>
          <w:b/>
        </w:rPr>
        <w:t>Ghidul solicitantului privind realizarea de investiții în suprastructura portuară de încărcare/ descărcare și depozitare a mărfurilor</w:t>
      </w:r>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r>
        <w:br w:type="page"/>
      </w:r>
    </w:p>
    <w:p w14:paraId="16F131F7" w14:textId="00539D02" w:rsidR="0074365A" w:rsidRDefault="0074365A">
      <w:pPr>
        <w:rPr>
          <w:rFonts w:ascii="Times New Roman" w:eastAsia="Times New Roman" w:hAnsi="Times New Roman" w:cs="Times New Roman"/>
          <w:sz w:val="24"/>
          <w:szCs w:val="24"/>
        </w:rPr>
      </w:pP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Content>
        <w:p w14:paraId="112E1822" w14:textId="24F70008" w:rsidR="007E494E" w:rsidRDefault="0067039D">
          <w:pPr>
            <w:pStyle w:val="TOC1"/>
            <w:tabs>
              <w:tab w:val="right" w:pos="9616"/>
            </w:tabs>
            <w:rPr>
              <w:rFonts w:asciiTheme="minorHAnsi" w:eastAsiaTheme="minorEastAsia" w:hAnsiTheme="minorHAnsi" w:cstheme="minorBidi"/>
              <w:noProof/>
              <w:kern w:val="2"/>
              <w14:ligatures w14:val="standardContextual"/>
            </w:rPr>
          </w:pPr>
          <w:r>
            <w:fldChar w:fldCharType="begin"/>
          </w:r>
          <w:r>
            <w:instrText xml:space="preserve"> TOC \h \u \z </w:instrText>
          </w:r>
          <w:r>
            <w:fldChar w:fldCharType="separate"/>
          </w:r>
          <w:hyperlink w:anchor="_Toc159928694" w:history="1">
            <w:r w:rsidR="007E494E" w:rsidRPr="00766B9F">
              <w:rPr>
                <w:rStyle w:val="Hyperlink"/>
                <w:rFonts w:ascii="Times New Roman" w:eastAsia="Times New Roman" w:hAnsi="Times New Roman" w:cs="Times New Roman"/>
                <w:b/>
                <w:noProof/>
              </w:rPr>
              <w:t>CAPITOLUL I: SCOP ȘI METODOLOGIE DE LUCRU</w:t>
            </w:r>
            <w:r w:rsidR="007E494E">
              <w:rPr>
                <w:noProof/>
                <w:webHidden/>
              </w:rPr>
              <w:tab/>
            </w:r>
            <w:r w:rsidR="007E494E">
              <w:rPr>
                <w:noProof/>
                <w:webHidden/>
              </w:rPr>
              <w:fldChar w:fldCharType="begin"/>
            </w:r>
            <w:r w:rsidR="007E494E">
              <w:rPr>
                <w:noProof/>
                <w:webHidden/>
              </w:rPr>
              <w:instrText xml:space="preserve"> PAGEREF _Toc159928694 \h </w:instrText>
            </w:r>
            <w:r w:rsidR="007E494E">
              <w:rPr>
                <w:noProof/>
                <w:webHidden/>
              </w:rPr>
            </w:r>
            <w:r w:rsidR="007E494E">
              <w:rPr>
                <w:noProof/>
                <w:webHidden/>
              </w:rPr>
              <w:fldChar w:fldCharType="separate"/>
            </w:r>
            <w:r w:rsidR="007E494E">
              <w:rPr>
                <w:noProof/>
                <w:webHidden/>
              </w:rPr>
              <w:t>2</w:t>
            </w:r>
            <w:r w:rsidR="007E494E">
              <w:rPr>
                <w:noProof/>
                <w:webHidden/>
              </w:rPr>
              <w:fldChar w:fldCharType="end"/>
            </w:r>
          </w:hyperlink>
        </w:p>
        <w:p w14:paraId="30607AC3" w14:textId="36C90F94" w:rsidR="007E494E" w:rsidRDefault="007E494E">
          <w:pPr>
            <w:pStyle w:val="TOC2"/>
            <w:tabs>
              <w:tab w:val="right" w:pos="9616"/>
            </w:tabs>
            <w:rPr>
              <w:rFonts w:asciiTheme="minorHAnsi" w:eastAsiaTheme="minorEastAsia" w:hAnsiTheme="minorHAnsi" w:cstheme="minorBidi"/>
              <w:noProof/>
              <w:kern w:val="2"/>
              <w14:ligatures w14:val="standardContextual"/>
            </w:rPr>
          </w:pPr>
          <w:hyperlink w:anchor="_Toc159928695" w:history="1">
            <w:r w:rsidRPr="00766B9F">
              <w:rPr>
                <w:rStyle w:val="Hyperlink"/>
                <w:rFonts w:ascii="Times New Roman" w:eastAsia="Times New Roman" w:hAnsi="Times New Roman" w:cs="Times New Roman"/>
                <w:noProof/>
              </w:rPr>
              <w:t>1.2.  Metodologia de lucru - Abordare generală</w:t>
            </w:r>
            <w:r>
              <w:rPr>
                <w:noProof/>
                <w:webHidden/>
              </w:rPr>
              <w:tab/>
            </w:r>
            <w:r>
              <w:rPr>
                <w:noProof/>
                <w:webHidden/>
              </w:rPr>
              <w:fldChar w:fldCharType="begin"/>
            </w:r>
            <w:r>
              <w:rPr>
                <w:noProof/>
                <w:webHidden/>
              </w:rPr>
              <w:instrText xml:space="preserve"> PAGEREF _Toc159928695 \h </w:instrText>
            </w:r>
            <w:r>
              <w:rPr>
                <w:noProof/>
                <w:webHidden/>
              </w:rPr>
            </w:r>
            <w:r>
              <w:rPr>
                <w:noProof/>
                <w:webHidden/>
              </w:rPr>
              <w:fldChar w:fldCharType="separate"/>
            </w:r>
            <w:r>
              <w:rPr>
                <w:noProof/>
                <w:webHidden/>
              </w:rPr>
              <w:t>4</w:t>
            </w:r>
            <w:r>
              <w:rPr>
                <w:noProof/>
                <w:webHidden/>
              </w:rPr>
              <w:fldChar w:fldCharType="end"/>
            </w:r>
          </w:hyperlink>
        </w:p>
        <w:p w14:paraId="00525D57" w14:textId="4303EF47" w:rsidR="007E494E" w:rsidRDefault="007E494E">
          <w:pPr>
            <w:pStyle w:val="TOC1"/>
            <w:tabs>
              <w:tab w:val="right" w:pos="9616"/>
            </w:tabs>
            <w:rPr>
              <w:rFonts w:asciiTheme="minorHAnsi" w:eastAsiaTheme="minorEastAsia" w:hAnsiTheme="minorHAnsi" w:cstheme="minorBidi"/>
              <w:noProof/>
              <w:kern w:val="2"/>
              <w14:ligatures w14:val="standardContextual"/>
            </w:rPr>
          </w:pPr>
          <w:hyperlink w:anchor="_Toc159928696" w:history="1">
            <w:r w:rsidRPr="00766B9F">
              <w:rPr>
                <w:rStyle w:val="Hyperlink"/>
                <w:rFonts w:ascii="Times New Roman" w:eastAsia="Times New Roman" w:hAnsi="Times New Roman" w:cs="Times New Roman"/>
                <w:b/>
                <w:noProof/>
              </w:rPr>
              <w:t>CAPITOLUL II: ANALIZA ”DO NOT SIGNIFICANT HARM” (DNSH)</w:t>
            </w:r>
            <w:r>
              <w:rPr>
                <w:noProof/>
                <w:webHidden/>
              </w:rPr>
              <w:tab/>
            </w:r>
            <w:r>
              <w:rPr>
                <w:noProof/>
                <w:webHidden/>
              </w:rPr>
              <w:fldChar w:fldCharType="begin"/>
            </w:r>
            <w:r>
              <w:rPr>
                <w:noProof/>
                <w:webHidden/>
              </w:rPr>
              <w:instrText xml:space="preserve"> PAGEREF _Toc159928696 \h </w:instrText>
            </w:r>
            <w:r>
              <w:rPr>
                <w:noProof/>
                <w:webHidden/>
              </w:rPr>
            </w:r>
            <w:r>
              <w:rPr>
                <w:noProof/>
                <w:webHidden/>
              </w:rPr>
              <w:fldChar w:fldCharType="separate"/>
            </w:r>
            <w:r>
              <w:rPr>
                <w:noProof/>
                <w:webHidden/>
              </w:rPr>
              <w:t>4</w:t>
            </w:r>
            <w:r>
              <w:rPr>
                <w:noProof/>
                <w:webHidden/>
              </w:rPr>
              <w:fldChar w:fldCharType="end"/>
            </w:r>
          </w:hyperlink>
        </w:p>
        <w:p w14:paraId="72D3858E" w14:textId="2DEFC78A" w:rsidR="007E494E" w:rsidRDefault="007E494E">
          <w:pPr>
            <w:pStyle w:val="TOC2"/>
            <w:tabs>
              <w:tab w:val="right" w:pos="9616"/>
            </w:tabs>
            <w:rPr>
              <w:rFonts w:asciiTheme="minorHAnsi" w:eastAsiaTheme="minorEastAsia" w:hAnsiTheme="minorHAnsi" w:cstheme="minorBidi"/>
              <w:noProof/>
              <w:kern w:val="2"/>
              <w14:ligatures w14:val="standardContextual"/>
            </w:rPr>
          </w:pPr>
          <w:hyperlink w:anchor="_Toc159928697" w:history="1">
            <w:r w:rsidRPr="00766B9F">
              <w:rPr>
                <w:rStyle w:val="Hyperlink"/>
                <w:rFonts w:ascii="Times New Roman" w:eastAsia="Times New Roman" w:hAnsi="Times New Roman" w:cs="Times New Roman"/>
                <w:b/>
                <w:noProof/>
              </w:rPr>
              <w:t>Prioritatea 7</w:t>
            </w:r>
            <w:r w:rsidRPr="00766B9F">
              <w:rPr>
                <w:rStyle w:val="Hyperlink"/>
                <w:rFonts w:ascii="Times New Roman" w:eastAsia="Times New Roman" w:hAnsi="Times New Roman" w:cs="Times New Roman"/>
                <w:noProof/>
              </w:rPr>
              <w:t xml:space="preserve"> - Dezvoltarea transportului naval și multimodal</w:t>
            </w:r>
            <w:r>
              <w:rPr>
                <w:noProof/>
                <w:webHidden/>
              </w:rPr>
              <w:tab/>
            </w:r>
            <w:r>
              <w:rPr>
                <w:noProof/>
                <w:webHidden/>
              </w:rPr>
              <w:fldChar w:fldCharType="begin"/>
            </w:r>
            <w:r>
              <w:rPr>
                <w:noProof/>
                <w:webHidden/>
              </w:rPr>
              <w:instrText xml:space="preserve"> PAGEREF _Toc159928697 \h </w:instrText>
            </w:r>
            <w:r>
              <w:rPr>
                <w:noProof/>
                <w:webHidden/>
              </w:rPr>
            </w:r>
            <w:r>
              <w:rPr>
                <w:noProof/>
                <w:webHidden/>
              </w:rPr>
              <w:fldChar w:fldCharType="separate"/>
            </w:r>
            <w:r>
              <w:rPr>
                <w:noProof/>
                <w:webHidden/>
              </w:rPr>
              <w:t>4</w:t>
            </w:r>
            <w:r>
              <w:rPr>
                <w:noProof/>
                <w:webHidden/>
              </w:rPr>
              <w:fldChar w:fldCharType="end"/>
            </w:r>
          </w:hyperlink>
        </w:p>
        <w:p w14:paraId="37B78635" w14:textId="7D1381A8" w:rsidR="007E494E" w:rsidRDefault="007E494E">
          <w:pPr>
            <w:pStyle w:val="TOC3"/>
            <w:tabs>
              <w:tab w:val="right" w:pos="9616"/>
            </w:tabs>
            <w:rPr>
              <w:rFonts w:asciiTheme="minorHAnsi" w:eastAsiaTheme="minorEastAsia" w:hAnsiTheme="minorHAnsi" w:cstheme="minorBidi"/>
              <w:noProof/>
              <w:kern w:val="2"/>
              <w14:ligatures w14:val="standardContextual"/>
            </w:rPr>
          </w:pPr>
          <w:hyperlink w:anchor="_Toc159928698" w:history="1">
            <w:r w:rsidRPr="00766B9F">
              <w:rPr>
                <w:rStyle w:val="Hyperlink"/>
                <w:rFonts w:ascii="Times New Roman" w:eastAsia="Times New Roman" w:hAnsi="Times New Roman" w:cs="Times New Roman"/>
                <w:noProof/>
              </w:rPr>
              <w:t>2.1. Descrierea investițiilor</w:t>
            </w:r>
            <w:r>
              <w:rPr>
                <w:noProof/>
                <w:webHidden/>
              </w:rPr>
              <w:tab/>
            </w:r>
            <w:r>
              <w:rPr>
                <w:noProof/>
                <w:webHidden/>
              </w:rPr>
              <w:fldChar w:fldCharType="begin"/>
            </w:r>
            <w:r>
              <w:rPr>
                <w:noProof/>
                <w:webHidden/>
              </w:rPr>
              <w:instrText xml:space="preserve"> PAGEREF _Toc159928698 \h </w:instrText>
            </w:r>
            <w:r>
              <w:rPr>
                <w:noProof/>
                <w:webHidden/>
              </w:rPr>
            </w:r>
            <w:r>
              <w:rPr>
                <w:noProof/>
                <w:webHidden/>
              </w:rPr>
              <w:fldChar w:fldCharType="separate"/>
            </w:r>
            <w:r>
              <w:rPr>
                <w:noProof/>
                <w:webHidden/>
              </w:rPr>
              <w:t>4</w:t>
            </w:r>
            <w:r>
              <w:rPr>
                <w:noProof/>
                <w:webHidden/>
              </w:rPr>
              <w:fldChar w:fldCharType="end"/>
            </w:r>
          </w:hyperlink>
        </w:p>
        <w:p w14:paraId="16A47D97" w14:textId="66D5285C" w:rsidR="007E494E" w:rsidRDefault="007E494E">
          <w:pPr>
            <w:pStyle w:val="TOC3"/>
            <w:tabs>
              <w:tab w:val="right" w:pos="9616"/>
            </w:tabs>
            <w:rPr>
              <w:rFonts w:asciiTheme="minorHAnsi" w:eastAsiaTheme="minorEastAsia" w:hAnsiTheme="minorHAnsi" w:cstheme="minorBidi"/>
              <w:noProof/>
              <w:kern w:val="2"/>
              <w14:ligatures w14:val="standardContextual"/>
            </w:rPr>
          </w:pPr>
          <w:hyperlink w:anchor="_Toc159928699" w:history="1">
            <w:r w:rsidRPr="00766B9F">
              <w:rPr>
                <w:rStyle w:val="Hyperlink"/>
                <w:rFonts w:ascii="Times New Roman" w:eastAsia="Times New Roman" w:hAnsi="Times New Roman" w:cs="Times New Roman"/>
                <w:noProof/>
              </w:rPr>
              <w:t>2. 2. Acțiuni finanțate</w:t>
            </w:r>
            <w:r>
              <w:rPr>
                <w:noProof/>
                <w:webHidden/>
              </w:rPr>
              <w:tab/>
            </w:r>
            <w:r>
              <w:rPr>
                <w:noProof/>
                <w:webHidden/>
              </w:rPr>
              <w:fldChar w:fldCharType="begin"/>
            </w:r>
            <w:r>
              <w:rPr>
                <w:noProof/>
                <w:webHidden/>
              </w:rPr>
              <w:instrText xml:space="preserve"> PAGEREF _Toc159928699 \h </w:instrText>
            </w:r>
            <w:r>
              <w:rPr>
                <w:noProof/>
                <w:webHidden/>
              </w:rPr>
            </w:r>
            <w:r>
              <w:rPr>
                <w:noProof/>
                <w:webHidden/>
              </w:rPr>
              <w:fldChar w:fldCharType="separate"/>
            </w:r>
            <w:r>
              <w:rPr>
                <w:noProof/>
                <w:webHidden/>
              </w:rPr>
              <w:t>5</w:t>
            </w:r>
            <w:r>
              <w:rPr>
                <w:noProof/>
                <w:webHidden/>
              </w:rPr>
              <w:fldChar w:fldCharType="end"/>
            </w:r>
          </w:hyperlink>
        </w:p>
        <w:p w14:paraId="14926C38" w14:textId="3F72D7A2"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1A7A3DD9" w:rsidR="007E494E" w:rsidRDefault="007E494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EA35AF0"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0" w:name="_Toc159928694"/>
      <w:r>
        <w:rPr>
          <w:rFonts w:ascii="Times New Roman" w:eastAsia="Times New Roman" w:hAnsi="Times New Roman" w:cs="Times New Roman"/>
          <w:b/>
          <w:sz w:val="24"/>
          <w:szCs w:val="24"/>
        </w:rPr>
        <w:t>CAPITOLUL I: SCOP ȘI METODOLOGIE DE LUCRU</w:t>
      </w:r>
      <w:bookmarkEnd w:id="0"/>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Not Significant Harm”,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50E86AD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w:t>
      </w:r>
      <w:r w:rsidR="00A958D0">
        <w:rPr>
          <w:rFonts w:ascii="Times New Roman" w:eastAsia="Times New Roman" w:hAnsi="Times New Roman" w:cs="Times New Roman"/>
          <w:sz w:val="24"/>
          <w:szCs w:val="24"/>
        </w:rPr>
        <w:t xml:space="preserve">. Prezentul extras se aplică pentru: </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7 - Dezvoltarea transportului naval și multimodal</w:t>
      </w:r>
    </w:p>
    <w:p w14:paraId="2B88E1BB" w14:textId="2C2171E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r w:rsidR="00A958D0">
        <w:rPr>
          <w:rFonts w:ascii="Times New Roman" w:eastAsia="Times New Roman" w:hAnsi="Times New Roman" w:cs="Times New Roman"/>
          <w:sz w:val="24"/>
          <w:szCs w:val="24"/>
        </w:rPr>
        <w:t>.</w:t>
      </w:r>
    </w:p>
    <w:p w14:paraId="3DBB149C" w14:textId="77777777" w:rsidR="00A958D0" w:rsidRDefault="00A958D0">
      <w:pPr>
        <w:jc w:val="both"/>
        <w:rPr>
          <w:rFonts w:ascii="Times New Roman" w:eastAsia="Times New Roman" w:hAnsi="Times New Roman" w:cs="Times New Roman"/>
          <w:sz w:val="24"/>
          <w:szCs w:val="24"/>
        </w:rPr>
      </w:pPr>
    </w:p>
    <w:p w14:paraId="2631A3EA" w14:textId="77777777" w:rsidR="0001312F" w:rsidRDefault="0067039D">
      <w:pPr>
        <w:pStyle w:val="Heading2"/>
        <w:tabs>
          <w:tab w:val="left" w:pos="720"/>
        </w:tabs>
        <w:spacing w:line="276" w:lineRule="auto"/>
        <w:ind w:right="360" w:hanging="2"/>
        <w:jc w:val="both"/>
        <w:rPr>
          <w:rFonts w:ascii="Times New Roman" w:eastAsia="Times New Roman" w:hAnsi="Times New Roman" w:cs="Times New Roman"/>
          <w:sz w:val="24"/>
          <w:szCs w:val="24"/>
        </w:rPr>
      </w:pPr>
      <w:bookmarkStart w:id="1" w:name="_Toc159928695"/>
      <w:r>
        <w:rPr>
          <w:rFonts w:ascii="Times New Roman" w:eastAsia="Times New Roman" w:hAnsi="Times New Roman" w:cs="Times New Roman"/>
          <w:sz w:val="24"/>
          <w:szCs w:val="24"/>
        </w:rPr>
        <w:t>1.2.  Metodologia de lucru - Abordare generală</w:t>
      </w:r>
      <w:bookmarkEnd w:id="1"/>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menţinerea şi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Not Significant Harm)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ţinând cont de toate presiunile existente şi potenţialele ameninţări asupra mediului, incluzând măsuri pentru reducerea / evitarea impacturilor semnificative. O atenţie importantă va fi acordată implementării infrastructurii combustibililor alternativi și refacerii conectivităţii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2" w:name="_Toc159928696"/>
      <w:r>
        <w:rPr>
          <w:rFonts w:ascii="Times New Roman" w:eastAsia="Times New Roman" w:hAnsi="Times New Roman" w:cs="Times New Roman"/>
          <w:b/>
          <w:sz w:val="24"/>
          <w:szCs w:val="24"/>
        </w:rPr>
        <w:lastRenderedPageBreak/>
        <w:t>CAPITOLUL II: ANALIZA ”DO NOT SIGNIFICANT HARM” (DNSH)</w:t>
      </w:r>
      <w:bookmarkEnd w:id="2"/>
    </w:p>
    <w:p w14:paraId="534B87D5" w14:textId="276C2F8E"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3" w:name="_Toc159928697"/>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multimodal</w:t>
      </w:r>
      <w:bookmarkEnd w:id="3"/>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5D0907D3" w:rsidR="0001312F" w:rsidRDefault="00C465B7">
      <w:pPr>
        <w:pStyle w:val="Heading3"/>
        <w:tabs>
          <w:tab w:val="left" w:pos="8460"/>
        </w:tabs>
        <w:spacing w:line="276" w:lineRule="auto"/>
        <w:ind w:left="2" w:right="360" w:hanging="2"/>
        <w:jc w:val="both"/>
        <w:rPr>
          <w:rFonts w:ascii="Times New Roman" w:eastAsia="Times New Roman" w:hAnsi="Times New Roman" w:cs="Times New Roman"/>
        </w:rPr>
      </w:pPr>
      <w:bookmarkStart w:id="4" w:name="_Toc159928698"/>
      <w:r>
        <w:rPr>
          <w:rFonts w:ascii="Times New Roman" w:eastAsia="Times New Roman" w:hAnsi="Times New Roman" w:cs="Times New Roman"/>
        </w:rPr>
        <w:t>2</w:t>
      </w:r>
      <w:r w:rsidR="0067039D">
        <w:rPr>
          <w:rFonts w:ascii="Times New Roman" w:eastAsia="Times New Roman" w:hAnsi="Times New Roman" w:cs="Times New Roman"/>
        </w:rPr>
        <w:t>.1. Descrierea investițiilor</w:t>
      </w:r>
      <w:bookmarkEnd w:id="4"/>
      <w:r w:rsidR="0067039D">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coordonare cu investițiile finanțate prin CEF, această prioritate va urmări finanțarea operațiunilor care să contribuie la îmbunătăţirea navigației pe Dunăre, precum și la cresterea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această prioritate vor fi susținute și investițiile în infrastructura terminalelor intermodale,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in cadrul acestei priorități vor fi finanțate minim două centre intermodale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07F6354C" w14:textId="77777777" w:rsidR="00C465B7" w:rsidRDefault="00C465B7">
      <w:pPr>
        <w:spacing w:after="0"/>
        <w:jc w:val="both"/>
        <w:rPr>
          <w:rFonts w:ascii="Times New Roman" w:eastAsia="Times New Roman" w:hAnsi="Times New Roman" w:cs="Times New Roman"/>
          <w:sz w:val="24"/>
          <w:szCs w:val="24"/>
        </w:rPr>
      </w:pPr>
    </w:p>
    <w:p w14:paraId="1976F025" w14:textId="15BC8067" w:rsidR="0001312F" w:rsidRDefault="0067039D">
      <w:pPr>
        <w:pStyle w:val="Heading3"/>
        <w:tabs>
          <w:tab w:val="left" w:pos="8460"/>
        </w:tabs>
        <w:spacing w:line="276" w:lineRule="auto"/>
        <w:ind w:left="2" w:right="360"/>
        <w:jc w:val="both"/>
        <w:rPr>
          <w:rFonts w:ascii="Times New Roman" w:eastAsia="Times New Roman" w:hAnsi="Times New Roman" w:cs="Times New Roman"/>
        </w:rPr>
      </w:pPr>
      <w:bookmarkStart w:id="5" w:name="_Toc159928699"/>
      <w:r>
        <w:rPr>
          <w:rFonts w:ascii="Times New Roman" w:eastAsia="Times New Roman" w:hAnsi="Times New Roman" w:cs="Times New Roman"/>
        </w:rPr>
        <w:lastRenderedPageBreak/>
        <w:t>2.</w:t>
      </w:r>
      <w:r w:rsidR="00C465B7">
        <w:rPr>
          <w:rFonts w:ascii="Times New Roman" w:eastAsia="Times New Roman" w:hAnsi="Times New Roman" w:cs="Times New Roman"/>
        </w:rPr>
        <w:t xml:space="preserve"> </w:t>
      </w:r>
      <w:r>
        <w:rPr>
          <w:rFonts w:ascii="Times New Roman" w:eastAsia="Times New Roman" w:hAnsi="Times New Roman" w:cs="Times New Roman"/>
        </w:rPr>
        <w:t>2. Acțiuni finanțate</w:t>
      </w:r>
      <w:bookmarkEnd w:id="5"/>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condiţiilor optime de navigaţie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(Short sea shipping)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terminalelor intermodale feroviar/rutier / Dezvoltarea de centre logistice multimodale;</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Investiții în infrastructura de acces la centrele logistice multimodale.</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rsidSect="006564F6">
          <w:footerReference w:type="default" r:id="rId10"/>
          <w:pgSz w:w="11906" w:h="16838"/>
          <w:pgMar w:top="1140" w:right="1140" w:bottom="1140" w:left="1140" w:header="709" w:footer="709"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Activitățile prevăzute în cadrul priorității 7 nu au un impact previzibil semnificativ asupra obiectivului de mediu privind adaptarea la schimbările climatice, luȃnd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NOx,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on shore power suply</w:t>
            </w:r>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barjă poate transporta până la 1500 de tone, comparativ cu 20 de tone cât transportă un camion. Un convoi de transport fluvial este compus din 10 barje ce reprezintă </w:t>
            </w:r>
            <w:r>
              <w:rPr>
                <w:rFonts w:ascii="Times New Roman" w:eastAsia="Times New Roman" w:hAnsi="Times New Roman" w:cs="Times New Roman"/>
                <w:sz w:val="24"/>
                <w:szCs w:val="24"/>
              </w:rPr>
              <w:lastRenderedPageBreak/>
              <w:t>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 de mediu tipurile de acţiuni aferente acestei activităţi au fost evaluate ca având un potenţial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r w:rsidR="00D64103">
              <w:rPr>
                <w:rFonts w:ascii="Times New Roman" w:eastAsia="Times New Roman" w:hAnsi="Times New Roman" w:cs="Times New Roman"/>
                <w:sz w:val="24"/>
                <w:szCs w:val="24"/>
              </w:rPr>
              <w:t xml:space="preserve">informaţii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şi de-a lungul Dunării. </w:t>
            </w:r>
            <w:r w:rsidR="00492742" w:rsidRPr="00492742">
              <w:rPr>
                <w:rFonts w:ascii="Times New Roman" w:eastAsia="Times New Roman" w:hAnsi="Times New Roman" w:cs="Times New Roman"/>
                <w:sz w:val="24"/>
                <w:szCs w:val="24"/>
              </w:rPr>
              <w:t>Aceste tipuri de acţiuni pot afecta în principal starea ecologică, prin afectarea elementelor hidromorfologice sau a celor fizico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w:t>
            </w:r>
          </w:p>
          <w:p w14:paraId="71449C9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lastRenderedPageBreak/>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p>
          <w:p w14:paraId="703808F3" w14:textId="46C644BB"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cerinţele de bune practici ce se regăsesc în cele mai recente ghiduri elaborate la nivel european. </w:t>
            </w:r>
          </w:p>
          <w:p w14:paraId="30BC36C2"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p>
          <w:p w14:paraId="3F8D7A48"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3198F2C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informaţiile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lastRenderedPageBreak/>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și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şi demolare, în conformitate cu Protocolul UE de gestionare a deșeurilor din construcții și demolări, vor lua în considerare cele mai bune tehnici disponibile și vor demola /sorta deşeurile în mod selectiv, pentru a permite îndepărtarea şi </w:t>
            </w:r>
            <w:r>
              <w:rPr>
                <w:rFonts w:ascii="Times New Roman" w:eastAsia="Times New Roman" w:hAnsi="Times New Roman" w:cs="Times New Roman"/>
                <w:sz w:val="24"/>
                <w:szCs w:val="24"/>
              </w:rPr>
              <w:lastRenderedPageBreak/>
              <w:t>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w:t>
            </w:r>
            <w:r>
              <w:rPr>
                <w:rFonts w:ascii="Times New Roman" w:eastAsia="Times New Roman" w:hAnsi="Times New Roman" w:cs="Times New Roman"/>
                <w:sz w:val="24"/>
                <w:szCs w:val="24"/>
              </w:rPr>
              <w:lastRenderedPageBreak/>
              <w:t xml:space="preserve">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şi reducerea efectelor negative asupra biodiversităţii. </w:t>
            </w:r>
            <w:r w:rsidR="0057497F">
              <w:rPr>
                <w:rFonts w:ascii="Times New Roman" w:eastAsia="Times New Roman" w:hAnsi="Times New Roman" w:cs="Times New Roman"/>
                <w:sz w:val="24"/>
                <w:szCs w:val="24"/>
              </w:rPr>
              <w:t xml:space="preserve">Măsurile sunt prezentate în secţiunile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informaţiile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4401F929" w14:textId="77777777" w:rsidR="0001312F" w:rsidRDefault="0001312F">
      <w:pPr>
        <w:jc w:val="both"/>
        <w:rPr>
          <w:rFonts w:ascii="Times New Roman" w:eastAsia="Times New Roman" w:hAnsi="Times New Roman" w:cs="Times New Roman"/>
          <w:sz w:val="24"/>
          <w:szCs w:val="24"/>
        </w:rPr>
      </w:pPr>
    </w:p>
    <w:sectPr w:rsidR="0001312F" w:rsidSect="006564F6">
      <w:pgSz w:w="16838" w:h="11906" w:orient="landscape"/>
      <w:pgMar w:top="1140" w:right="1140" w:bottom="1140" w:left="11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E5F8" w14:textId="77777777" w:rsidR="006564F6" w:rsidRDefault="006564F6">
      <w:pPr>
        <w:spacing w:after="0" w:line="240" w:lineRule="auto"/>
      </w:pPr>
      <w:r>
        <w:separator/>
      </w:r>
    </w:p>
  </w:endnote>
  <w:endnote w:type="continuationSeparator" w:id="0">
    <w:p w14:paraId="28BE4D6D" w14:textId="77777777" w:rsidR="006564F6" w:rsidRDefault="00656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8F11C9">
      <w:rPr>
        <w:rFonts w:ascii="Arial" w:eastAsia="Arial" w:hAnsi="Arial" w:cs="Arial"/>
        <w:b/>
        <w:noProof/>
        <w:color w:val="FFFFFF"/>
        <w:sz w:val="20"/>
        <w:szCs w:val="20"/>
      </w:rPr>
      <w:t>21</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2C70A" w14:textId="77777777" w:rsidR="006564F6" w:rsidRDefault="006564F6">
      <w:pPr>
        <w:spacing w:after="0" w:line="240" w:lineRule="auto"/>
      </w:pPr>
      <w:r>
        <w:separator/>
      </w:r>
    </w:p>
  </w:footnote>
  <w:footnote w:type="continuationSeparator" w:id="0">
    <w:p w14:paraId="6C6AAD0B" w14:textId="77777777" w:rsidR="006564F6" w:rsidRDefault="006564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19996515">
    <w:abstractNumId w:val="23"/>
  </w:num>
  <w:num w:numId="2" w16cid:durableId="426924174">
    <w:abstractNumId w:val="50"/>
  </w:num>
  <w:num w:numId="3" w16cid:durableId="376247704">
    <w:abstractNumId w:val="58"/>
  </w:num>
  <w:num w:numId="4" w16cid:durableId="402602106">
    <w:abstractNumId w:val="27"/>
  </w:num>
  <w:num w:numId="5" w16cid:durableId="2018843629">
    <w:abstractNumId w:val="52"/>
  </w:num>
  <w:num w:numId="6" w16cid:durableId="2077430612">
    <w:abstractNumId w:val="21"/>
  </w:num>
  <w:num w:numId="7" w16cid:durableId="650208666">
    <w:abstractNumId w:val="63"/>
  </w:num>
  <w:num w:numId="8" w16cid:durableId="1746875490">
    <w:abstractNumId w:val="6"/>
  </w:num>
  <w:num w:numId="9" w16cid:durableId="1538934452">
    <w:abstractNumId w:val="56"/>
  </w:num>
  <w:num w:numId="10" w16cid:durableId="389614537">
    <w:abstractNumId w:val="24"/>
  </w:num>
  <w:num w:numId="11" w16cid:durableId="1752266353">
    <w:abstractNumId w:val="37"/>
  </w:num>
  <w:num w:numId="12" w16cid:durableId="184561027">
    <w:abstractNumId w:val="18"/>
  </w:num>
  <w:num w:numId="13" w16cid:durableId="1290628389">
    <w:abstractNumId w:val="32"/>
  </w:num>
  <w:num w:numId="14" w16cid:durableId="1396851142">
    <w:abstractNumId w:val="45"/>
  </w:num>
  <w:num w:numId="15" w16cid:durableId="715129926">
    <w:abstractNumId w:val="16"/>
  </w:num>
  <w:num w:numId="16" w16cid:durableId="1431971095">
    <w:abstractNumId w:val="36"/>
  </w:num>
  <w:num w:numId="17" w16cid:durableId="430318098">
    <w:abstractNumId w:val="20"/>
  </w:num>
  <w:num w:numId="18" w16cid:durableId="2027056000">
    <w:abstractNumId w:val="44"/>
  </w:num>
  <w:num w:numId="19" w16cid:durableId="1814327053">
    <w:abstractNumId w:val="57"/>
  </w:num>
  <w:num w:numId="20" w16cid:durableId="1598709236">
    <w:abstractNumId w:val="60"/>
  </w:num>
  <w:num w:numId="21" w16cid:durableId="1366753500">
    <w:abstractNumId w:val="11"/>
  </w:num>
  <w:num w:numId="22" w16cid:durableId="2108765973">
    <w:abstractNumId w:val="41"/>
  </w:num>
  <w:num w:numId="23" w16cid:durableId="1971519663">
    <w:abstractNumId w:val="31"/>
  </w:num>
  <w:num w:numId="24" w16cid:durableId="1839420185">
    <w:abstractNumId w:val="33"/>
  </w:num>
  <w:num w:numId="25" w16cid:durableId="1934045875">
    <w:abstractNumId w:val="34"/>
  </w:num>
  <w:num w:numId="26" w16cid:durableId="58597406">
    <w:abstractNumId w:val="46"/>
  </w:num>
  <w:num w:numId="27" w16cid:durableId="1070807123">
    <w:abstractNumId w:val="22"/>
  </w:num>
  <w:num w:numId="28" w16cid:durableId="1018311038">
    <w:abstractNumId w:val="9"/>
  </w:num>
  <w:num w:numId="29" w16cid:durableId="1411076834">
    <w:abstractNumId w:val="8"/>
  </w:num>
  <w:num w:numId="30" w16cid:durableId="856653688">
    <w:abstractNumId w:val="25"/>
  </w:num>
  <w:num w:numId="31" w16cid:durableId="1652975551">
    <w:abstractNumId w:val="43"/>
  </w:num>
  <w:num w:numId="32" w16cid:durableId="906526097">
    <w:abstractNumId w:val="64"/>
  </w:num>
  <w:num w:numId="33" w16cid:durableId="519782349">
    <w:abstractNumId w:val="61"/>
  </w:num>
  <w:num w:numId="34" w16cid:durableId="2031294060">
    <w:abstractNumId w:val="30"/>
  </w:num>
  <w:num w:numId="35" w16cid:durableId="897400167">
    <w:abstractNumId w:val="13"/>
  </w:num>
  <w:num w:numId="36" w16cid:durableId="1008409798">
    <w:abstractNumId w:val="26"/>
  </w:num>
  <w:num w:numId="37" w16cid:durableId="1878735699">
    <w:abstractNumId w:val="53"/>
  </w:num>
  <w:num w:numId="38" w16cid:durableId="239607138">
    <w:abstractNumId w:val="15"/>
  </w:num>
  <w:num w:numId="39" w16cid:durableId="201794914">
    <w:abstractNumId w:val="55"/>
  </w:num>
  <w:num w:numId="40" w16cid:durableId="2022199730">
    <w:abstractNumId w:val="29"/>
  </w:num>
  <w:num w:numId="41" w16cid:durableId="1192572101">
    <w:abstractNumId w:val="62"/>
  </w:num>
  <w:num w:numId="42" w16cid:durableId="1630626119">
    <w:abstractNumId w:val="35"/>
  </w:num>
  <w:num w:numId="43" w16cid:durableId="838271646">
    <w:abstractNumId w:val="47"/>
  </w:num>
  <w:num w:numId="44" w16cid:durableId="1410735648">
    <w:abstractNumId w:val="5"/>
  </w:num>
  <w:num w:numId="45" w16cid:durableId="1109742359">
    <w:abstractNumId w:val="28"/>
  </w:num>
  <w:num w:numId="46" w16cid:durableId="910385233">
    <w:abstractNumId w:val="0"/>
  </w:num>
  <w:num w:numId="47" w16cid:durableId="1707946458">
    <w:abstractNumId w:val="49"/>
  </w:num>
  <w:num w:numId="48" w16cid:durableId="1146050588">
    <w:abstractNumId w:val="10"/>
  </w:num>
  <w:num w:numId="49" w16cid:durableId="1888057975">
    <w:abstractNumId w:val="3"/>
  </w:num>
  <w:num w:numId="50" w16cid:durableId="524056745">
    <w:abstractNumId w:val="19"/>
  </w:num>
  <w:num w:numId="51" w16cid:durableId="957687064">
    <w:abstractNumId w:val="54"/>
  </w:num>
  <w:num w:numId="52" w16cid:durableId="359625193">
    <w:abstractNumId w:val="2"/>
  </w:num>
  <w:num w:numId="53" w16cid:durableId="255360987">
    <w:abstractNumId w:val="42"/>
  </w:num>
  <w:num w:numId="54" w16cid:durableId="1388603296">
    <w:abstractNumId w:val="1"/>
  </w:num>
  <w:num w:numId="55" w16cid:durableId="1721978444">
    <w:abstractNumId w:val="14"/>
  </w:num>
  <w:num w:numId="56" w16cid:durableId="186599437">
    <w:abstractNumId w:val="7"/>
  </w:num>
  <w:num w:numId="57" w16cid:durableId="1707489860">
    <w:abstractNumId w:val="39"/>
  </w:num>
  <w:num w:numId="58" w16cid:durableId="44185596">
    <w:abstractNumId w:val="38"/>
  </w:num>
  <w:num w:numId="59" w16cid:durableId="1483960301">
    <w:abstractNumId w:val="4"/>
  </w:num>
  <w:num w:numId="60" w16cid:durableId="1022583775">
    <w:abstractNumId w:val="48"/>
  </w:num>
  <w:num w:numId="61" w16cid:durableId="1421484612">
    <w:abstractNumId w:val="40"/>
  </w:num>
  <w:num w:numId="62" w16cid:durableId="802767465">
    <w:abstractNumId w:val="51"/>
  </w:num>
  <w:num w:numId="63" w16cid:durableId="417138513">
    <w:abstractNumId w:val="59"/>
  </w:num>
  <w:num w:numId="64" w16cid:durableId="106583861">
    <w:abstractNumId w:val="17"/>
  </w:num>
  <w:num w:numId="65" w16cid:durableId="1855529633">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12F"/>
    <w:rsid w:val="00005D88"/>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57390"/>
    <w:rsid w:val="0026260C"/>
    <w:rsid w:val="002777E0"/>
    <w:rsid w:val="00284373"/>
    <w:rsid w:val="002878AA"/>
    <w:rsid w:val="002B262A"/>
    <w:rsid w:val="002C3763"/>
    <w:rsid w:val="002C5B6E"/>
    <w:rsid w:val="002C61BC"/>
    <w:rsid w:val="002D6ED2"/>
    <w:rsid w:val="002F1689"/>
    <w:rsid w:val="00306168"/>
    <w:rsid w:val="00324D28"/>
    <w:rsid w:val="00325C7E"/>
    <w:rsid w:val="00327920"/>
    <w:rsid w:val="00333444"/>
    <w:rsid w:val="00351F1B"/>
    <w:rsid w:val="00361AB9"/>
    <w:rsid w:val="00366F64"/>
    <w:rsid w:val="00377A19"/>
    <w:rsid w:val="0038470C"/>
    <w:rsid w:val="00395919"/>
    <w:rsid w:val="003A14C8"/>
    <w:rsid w:val="003B2B8B"/>
    <w:rsid w:val="003E3AD0"/>
    <w:rsid w:val="003F13E5"/>
    <w:rsid w:val="003F4620"/>
    <w:rsid w:val="003F5B2B"/>
    <w:rsid w:val="00405668"/>
    <w:rsid w:val="004318C4"/>
    <w:rsid w:val="0045599A"/>
    <w:rsid w:val="004567F2"/>
    <w:rsid w:val="00462533"/>
    <w:rsid w:val="00471E9C"/>
    <w:rsid w:val="00476A28"/>
    <w:rsid w:val="0048058A"/>
    <w:rsid w:val="00492742"/>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4F6"/>
    <w:rsid w:val="00656FCC"/>
    <w:rsid w:val="0066009A"/>
    <w:rsid w:val="0066146B"/>
    <w:rsid w:val="006671A7"/>
    <w:rsid w:val="0067039D"/>
    <w:rsid w:val="006B4C6E"/>
    <w:rsid w:val="006D333F"/>
    <w:rsid w:val="006E4991"/>
    <w:rsid w:val="006F6C45"/>
    <w:rsid w:val="007029B9"/>
    <w:rsid w:val="007059D9"/>
    <w:rsid w:val="007069BB"/>
    <w:rsid w:val="00721960"/>
    <w:rsid w:val="00730960"/>
    <w:rsid w:val="0074365A"/>
    <w:rsid w:val="00750D1C"/>
    <w:rsid w:val="007558C5"/>
    <w:rsid w:val="00787108"/>
    <w:rsid w:val="007913B4"/>
    <w:rsid w:val="007A126A"/>
    <w:rsid w:val="007A39FD"/>
    <w:rsid w:val="007A4DD3"/>
    <w:rsid w:val="007B49A2"/>
    <w:rsid w:val="007B4D43"/>
    <w:rsid w:val="007D4DEF"/>
    <w:rsid w:val="007E17CC"/>
    <w:rsid w:val="007E494E"/>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8504F"/>
    <w:rsid w:val="00991A14"/>
    <w:rsid w:val="00994A7C"/>
    <w:rsid w:val="009A0C55"/>
    <w:rsid w:val="009B3252"/>
    <w:rsid w:val="009B5B3B"/>
    <w:rsid w:val="009C4062"/>
    <w:rsid w:val="009C4331"/>
    <w:rsid w:val="009E1F42"/>
    <w:rsid w:val="009E588A"/>
    <w:rsid w:val="009E64A7"/>
    <w:rsid w:val="009F1183"/>
    <w:rsid w:val="00A052D6"/>
    <w:rsid w:val="00A06522"/>
    <w:rsid w:val="00A06C9A"/>
    <w:rsid w:val="00A12B4C"/>
    <w:rsid w:val="00A14830"/>
    <w:rsid w:val="00A475F2"/>
    <w:rsid w:val="00A63119"/>
    <w:rsid w:val="00A71358"/>
    <w:rsid w:val="00A72773"/>
    <w:rsid w:val="00A75869"/>
    <w:rsid w:val="00A80FCB"/>
    <w:rsid w:val="00A91457"/>
    <w:rsid w:val="00A958D0"/>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465B7"/>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F04B2B"/>
    <w:rsid w:val="00F06357"/>
    <w:rsid w:val="00F13365"/>
    <w:rsid w:val="00F258BE"/>
    <w:rsid w:val="00F303FF"/>
    <w:rsid w:val="00F41F53"/>
    <w:rsid w:val="00F45255"/>
    <w:rsid w:val="00F523D0"/>
    <w:rsid w:val="00F53DC2"/>
    <w:rsid w:val="00F56D4A"/>
    <w:rsid w:val="00F80B9D"/>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44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6441D"/>
    <w:pPr>
      <w:outlineLvl w:val="9"/>
    </w:pPr>
    <w:rPr>
      <w:lang w:val="en-US"/>
    </w:rPr>
  </w:style>
  <w:style w:type="paragraph" w:styleId="TOC1">
    <w:name w:val="toc 1"/>
    <w:basedOn w:val="Normal"/>
    <w:next w:val="Normal"/>
    <w:autoRedefine/>
    <w:uiPriority w:val="39"/>
    <w:unhideWhenUsed/>
    <w:rsid w:val="00E6441D"/>
    <w:pPr>
      <w:spacing w:after="100"/>
    </w:pPr>
  </w:style>
  <w:style w:type="character" w:styleId="Hyperlink">
    <w:name w:val="Hyperlink"/>
    <w:basedOn w:val="DefaultParagraphFont"/>
    <w:uiPriority w:val="99"/>
    <w:unhideWhenUsed/>
    <w:rsid w:val="00E6441D"/>
    <w:rPr>
      <w:color w:val="0563C1" w:themeColor="hyperlink"/>
      <w:u w:val="single"/>
    </w:rPr>
  </w:style>
  <w:style w:type="paragraph" w:styleId="ListParagraph">
    <w:name w:val="List Paragraph"/>
    <w:basedOn w:val="Normal"/>
    <w:uiPriority w:val="34"/>
    <w:qFormat/>
    <w:rsid w:val="00E6441D"/>
    <w:pPr>
      <w:ind w:left="720"/>
      <w:contextualSpacing/>
    </w:pPr>
  </w:style>
  <w:style w:type="paragraph" w:styleId="Header">
    <w:name w:val="header"/>
    <w:basedOn w:val="Normal"/>
    <w:link w:val="HeaderChar"/>
    <w:uiPriority w:val="99"/>
    <w:unhideWhenUsed/>
    <w:rsid w:val="00E644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41D"/>
  </w:style>
  <w:style w:type="paragraph" w:styleId="Footer">
    <w:name w:val="footer"/>
    <w:basedOn w:val="Normal"/>
    <w:link w:val="FooterChar"/>
    <w:uiPriority w:val="99"/>
    <w:unhideWhenUsed/>
    <w:rsid w:val="00E64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41D"/>
  </w:style>
  <w:style w:type="character" w:customStyle="1" w:styleId="Heading2Char">
    <w:name w:val="Heading 2 Char"/>
    <w:basedOn w:val="DefaultParagraphFont"/>
    <w:link w:val="Heading2"/>
    <w:uiPriority w:val="9"/>
    <w:semiHidden/>
    <w:rsid w:val="00E6441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6441D"/>
    <w:pPr>
      <w:spacing w:after="100"/>
      <w:ind w:left="220"/>
    </w:pPr>
  </w:style>
  <w:style w:type="character" w:customStyle="1" w:styleId="Heading3Char">
    <w:name w:val="Heading 3 Char"/>
    <w:basedOn w:val="DefaultParagraphFont"/>
    <w:link w:val="Heading3"/>
    <w:uiPriority w:val="9"/>
    <w:semiHidden/>
    <w:rsid w:val="00E6441D"/>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6441D"/>
    <w:pPr>
      <w:spacing w:after="100"/>
      <w:ind w:left="440"/>
    </w:pPr>
  </w:style>
  <w:style w:type="character" w:styleId="FootnoteReference">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Strong">
    <w:name w:val="Strong"/>
    <w:basedOn w:val="DefaultParagraphFont"/>
    <w:uiPriority w:val="22"/>
    <w:qFormat/>
    <w:rsid w:val="00C43F42"/>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Revision">
    <w:name w:val="Revision"/>
    <w:hidden/>
    <w:uiPriority w:val="99"/>
    <w:semiHidden/>
    <w:rsid w:val="00546B4B"/>
    <w:pPr>
      <w:spacing w:after="0" w:line="240" w:lineRule="auto"/>
    </w:pPr>
  </w:style>
  <w:style w:type="character" w:styleId="CommentReference">
    <w:name w:val="annotation reference"/>
    <w:basedOn w:val="DefaultParagraphFont"/>
    <w:uiPriority w:val="99"/>
    <w:semiHidden/>
    <w:unhideWhenUsed/>
    <w:rsid w:val="009B3252"/>
    <w:rPr>
      <w:sz w:val="16"/>
      <w:szCs w:val="16"/>
    </w:rPr>
  </w:style>
  <w:style w:type="paragraph" w:styleId="CommentText">
    <w:name w:val="annotation text"/>
    <w:basedOn w:val="Normal"/>
    <w:link w:val="CommentTextChar"/>
    <w:uiPriority w:val="99"/>
    <w:semiHidden/>
    <w:unhideWhenUsed/>
    <w:rsid w:val="009B3252"/>
    <w:pPr>
      <w:spacing w:line="240" w:lineRule="auto"/>
    </w:pPr>
    <w:rPr>
      <w:sz w:val="20"/>
      <w:szCs w:val="20"/>
    </w:rPr>
  </w:style>
  <w:style w:type="character" w:customStyle="1" w:styleId="CommentTextChar">
    <w:name w:val="Comment Text Char"/>
    <w:basedOn w:val="DefaultParagraphFont"/>
    <w:link w:val="CommentText"/>
    <w:uiPriority w:val="99"/>
    <w:semiHidden/>
    <w:rsid w:val="009B3252"/>
    <w:rPr>
      <w:sz w:val="20"/>
      <w:szCs w:val="20"/>
    </w:rPr>
  </w:style>
  <w:style w:type="paragraph" w:styleId="CommentSubject">
    <w:name w:val="annotation subject"/>
    <w:basedOn w:val="CommentText"/>
    <w:next w:val="CommentText"/>
    <w:link w:val="CommentSubjectChar"/>
    <w:uiPriority w:val="99"/>
    <w:semiHidden/>
    <w:unhideWhenUsed/>
    <w:rsid w:val="009B3252"/>
    <w:rPr>
      <w:b/>
      <w:bCs/>
    </w:rPr>
  </w:style>
  <w:style w:type="character" w:customStyle="1" w:styleId="CommentSubjectChar">
    <w:name w:val="Comment Subject Char"/>
    <w:basedOn w:val="CommentTextChar"/>
    <w:link w:val="CommentSubject"/>
    <w:uiPriority w:val="99"/>
    <w:semiHidden/>
    <w:rsid w:val="009B3252"/>
    <w:rPr>
      <w:b/>
      <w:bCs/>
      <w:sz w:val="20"/>
      <w:szCs w:val="20"/>
    </w:rPr>
  </w:style>
  <w:style w:type="paragraph" w:styleId="BalloonText">
    <w:name w:val="Balloon Text"/>
    <w:basedOn w:val="Normal"/>
    <w:link w:val="BalloonTextChar"/>
    <w:uiPriority w:val="99"/>
    <w:semiHidden/>
    <w:unhideWhenUsed/>
    <w:rsid w:val="0067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84C119-A26C-45F8-9B13-AD2C4386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13</Pages>
  <Words>4067</Words>
  <Characters>24203</Characters>
  <Application>Microsoft Office Word</Application>
  <DocSecurity>0</DocSecurity>
  <Lines>465</Lines>
  <Paragraphs>239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Simona Georgescu</cp:lastModifiedBy>
  <cp:revision>168</cp:revision>
  <cp:lastPrinted>2023-10-26T12:08:00Z</cp:lastPrinted>
  <dcterms:created xsi:type="dcterms:W3CDTF">2022-04-07T12:40:00Z</dcterms:created>
  <dcterms:modified xsi:type="dcterms:W3CDTF">2024-02-27T10:18:00Z</dcterms:modified>
</cp:coreProperties>
</file>