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1485B" w14:textId="012E8C07" w:rsidR="0001312F" w:rsidRDefault="0098504F" w:rsidP="0098504F">
      <w:pPr>
        <w:tabs>
          <w:tab w:val="left" w:pos="1845"/>
        </w:tabs>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ab/>
      </w:r>
      <w:r>
        <w:rPr>
          <w:rFonts w:ascii="Times New Roman" w:eastAsia="Times New Roman" w:hAnsi="Times New Roman" w:cs="Times New Roman"/>
          <w:noProof/>
          <w:sz w:val="24"/>
          <w:szCs w:val="24"/>
        </w:rPr>
        <w:drawing>
          <wp:inline distT="0" distB="0" distL="0" distR="0" wp14:anchorId="68C0F71C" wp14:editId="5D4A29B2">
            <wp:extent cx="5566410" cy="572770"/>
            <wp:effectExtent l="0" t="0" r="0" b="0"/>
            <wp:docPr id="16045528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6410" cy="572770"/>
                    </a:xfrm>
                    <a:prstGeom prst="rect">
                      <a:avLst/>
                    </a:prstGeom>
                    <a:noFill/>
                  </pic:spPr>
                </pic:pic>
              </a:graphicData>
            </a:graphic>
          </wp:inline>
        </w:drawing>
      </w:r>
    </w:p>
    <w:p w14:paraId="5041A203" w14:textId="77777777" w:rsidR="0001312F" w:rsidRDefault="0001312F">
      <w:pPr>
        <w:spacing w:line="276" w:lineRule="auto"/>
        <w:jc w:val="center"/>
        <w:rPr>
          <w:rFonts w:ascii="Times New Roman" w:eastAsia="Times New Roman" w:hAnsi="Times New Roman" w:cs="Times New Roman"/>
          <w:b/>
          <w:sz w:val="24"/>
          <w:szCs w:val="24"/>
        </w:rPr>
      </w:pPr>
    </w:p>
    <w:p w14:paraId="00F1323F" w14:textId="4394EBC8" w:rsidR="0001312F" w:rsidRDefault="0067039D">
      <w:pPr>
        <w:spacing w:line="276" w:lineRule="auto"/>
        <w:jc w:val="center"/>
        <w:rPr>
          <w:rFonts w:ascii="Times New Roman" w:eastAsia="Times New Roman" w:hAnsi="Times New Roman" w:cs="Times New Roman"/>
          <w:b/>
          <w:sz w:val="24"/>
          <w:szCs w:val="24"/>
        </w:rPr>
      </w:pPr>
      <w:r>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FA5DDA" id="Dreptunghi 1149" o:spid="_x0000_s1026" style="position:absolute;left:0;text-align:left;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txbxContent>
                </v:textbox>
              </v:rect>
            </w:pict>
          </mc:Fallback>
        </mc:AlternateContent>
      </w:r>
    </w:p>
    <w:p w14:paraId="4021569B" w14:textId="77777777" w:rsidR="0001312F" w:rsidRDefault="0001312F">
      <w:pPr>
        <w:spacing w:line="276" w:lineRule="auto"/>
        <w:jc w:val="center"/>
        <w:rPr>
          <w:rFonts w:ascii="Times New Roman" w:eastAsia="Times New Roman" w:hAnsi="Times New Roman" w:cs="Times New Roman"/>
          <w:b/>
          <w:sz w:val="24"/>
          <w:szCs w:val="24"/>
        </w:rPr>
      </w:pPr>
    </w:p>
    <w:p w14:paraId="5A04493B" w14:textId="563D26F5" w:rsidR="0001312F" w:rsidRPr="0098504F" w:rsidRDefault="0098504F" w:rsidP="0098504F">
      <w:pPr>
        <w:tabs>
          <w:tab w:val="left" w:pos="1470"/>
        </w:tabs>
        <w:spacing w:line="276" w:lineRule="auto"/>
        <w:jc w:val="both"/>
        <w:rPr>
          <w:rFonts w:ascii="Times New Roman" w:eastAsia="Times New Roman" w:hAnsi="Times New Roman" w:cs="Times New Roman"/>
          <w:b/>
        </w:rPr>
      </w:pPr>
      <w:r w:rsidRPr="0098504F">
        <w:rPr>
          <w:rFonts w:ascii="Times New Roman" w:eastAsia="Times New Roman" w:hAnsi="Times New Roman" w:cs="Times New Roman"/>
          <w:b/>
        </w:rPr>
        <w:t>Anexa nr. 3 la Ghidul solicitantului privind dezvoltarea transportului naval și multimodal</w:t>
      </w:r>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pPr>
        <w:rPr>
          <w:rFonts w:ascii="Times New Roman" w:eastAsia="Times New Roman" w:hAnsi="Times New Roman" w:cs="Times New Roman"/>
          <w:sz w:val="24"/>
          <w:szCs w:val="24"/>
        </w:rPr>
      </w:pPr>
      <w:r>
        <w:br w:type="page"/>
      </w: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EndPr/>
      <w:sdtContent>
        <w:p w14:paraId="373E2832" w14:textId="3DE73E10" w:rsidR="00EC7959" w:rsidRDefault="0067039D">
          <w:pPr>
            <w:pStyle w:val="TOC1"/>
            <w:tabs>
              <w:tab w:val="right" w:pos="9016"/>
            </w:tabs>
            <w:rPr>
              <w:rFonts w:asciiTheme="minorHAnsi" w:eastAsiaTheme="minorEastAsia" w:hAnsiTheme="minorHAnsi" w:cstheme="minorBidi"/>
              <w:noProof/>
            </w:rPr>
          </w:pPr>
          <w:r>
            <w:fldChar w:fldCharType="begin"/>
          </w:r>
          <w:r>
            <w:instrText xml:space="preserve"> TOC \h \u \z </w:instrText>
          </w:r>
          <w:r>
            <w:fldChar w:fldCharType="separate"/>
          </w:r>
          <w:hyperlink w:anchor="_Toc117679927" w:history="1">
            <w:r w:rsidR="00EC7959" w:rsidRPr="002F77C4">
              <w:rPr>
                <w:rStyle w:val="Hyperlink"/>
                <w:rFonts w:ascii="Times New Roman" w:eastAsia="Times New Roman" w:hAnsi="Times New Roman" w:cs="Times New Roman"/>
                <w:b/>
                <w:noProof/>
              </w:rPr>
              <w:t>CAPITOLUL I: SCOP ȘI METODOLOGIE DE LUCRU</w:t>
            </w:r>
            <w:r w:rsidR="00EC7959">
              <w:rPr>
                <w:noProof/>
                <w:webHidden/>
              </w:rPr>
              <w:tab/>
            </w:r>
            <w:r w:rsidR="00EC7959">
              <w:rPr>
                <w:noProof/>
                <w:webHidden/>
              </w:rPr>
              <w:fldChar w:fldCharType="begin"/>
            </w:r>
            <w:r w:rsidR="00EC7959">
              <w:rPr>
                <w:noProof/>
                <w:webHidden/>
              </w:rPr>
              <w:instrText xml:space="preserve"> PAGEREF _Toc117679927 \h </w:instrText>
            </w:r>
            <w:r w:rsidR="00EC7959">
              <w:rPr>
                <w:noProof/>
                <w:webHidden/>
              </w:rPr>
            </w:r>
            <w:r w:rsidR="00EC7959">
              <w:rPr>
                <w:noProof/>
                <w:webHidden/>
              </w:rPr>
              <w:fldChar w:fldCharType="separate"/>
            </w:r>
            <w:r w:rsidR="00384F0A">
              <w:rPr>
                <w:noProof/>
                <w:webHidden/>
              </w:rPr>
              <w:t>3</w:t>
            </w:r>
            <w:r w:rsidR="00EC7959">
              <w:rPr>
                <w:noProof/>
                <w:webHidden/>
              </w:rPr>
              <w:fldChar w:fldCharType="end"/>
            </w:r>
          </w:hyperlink>
        </w:p>
        <w:p w14:paraId="6698E10D" w14:textId="27C19AC6" w:rsidR="00EC7959" w:rsidRDefault="00280858">
          <w:pPr>
            <w:pStyle w:val="TOC2"/>
            <w:tabs>
              <w:tab w:val="right" w:pos="9016"/>
            </w:tabs>
            <w:rPr>
              <w:rFonts w:asciiTheme="minorHAnsi" w:eastAsiaTheme="minorEastAsia" w:hAnsiTheme="minorHAnsi" w:cstheme="minorBidi"/>
              <w:noProof/>
            </w:rPr>
          </w:pPr>
          <w:hyperlink w:anchor="_Toc117679928" w:history="1">
            <w:r w:rsidR="00EC7959" w:rsidRPr="002F77C4">
              <w:rPr>
                <w:rStyle w:val="Hyperlink"/>
                <w:rFonts w:ascii="Times New Roman" w:eastAsia="Times New Roman" w:hAnsi="Times New Roman" w:cs="Times New Roman"/>
                <w:noProof/>
              </w:rPr>
              <w:t>1.2.  Metodologia de lucru - Abordare generală</w:t>
            </w:r>
            <w:r w:rsidR="00EC7959">
              <w:rPr>
                <w:noProof/>
                <w:webHidden/>
              </w:rPr>
              <w:tab/>
            </w:r>
            <w:r w:rsidR="00EC7959">
              <w:rPr>
                <w:noProof/>
                <w:webHidden/>
              </w:rPr>
              <w:fldChar w:fldCharType="begin"/>
            </w:r>
            <w:r w:rsidR="00EC7959">
              <w:rPr>
                <w:noProof/>
                <w:webHidden/>
              </w:rPr>
              <w:instrText xml:space="preserve"> PAGEREF _Toc117679928 \h </w:instrText>
            </w:r>
            <w:r w:rsidR="00EC7959">
              <w:rPr>
                <w:noProof/>
                <w:webHidden/>
              </w:rPr>
            </w:r>
            <w:r w:rsidR="00EC7959">
              <w:rPr>
                <w:noProof/>
                <w:webHidden/>
              </w:rPr>
              <w:fldChar w:fldCharType="separate"/>
            </w:r>
            <w:r w:rsidR="00384F0A">
              <w:rPr>
                <w:noProof/>
                <w:webHidden/>
              </w:rPr>
              <w:t>5</w:t>
            </w:r>
            <w:r w:rsidR="00EC7959">
              <w:rPr>
                <w:noProof/>
                <w:webHidden/>
              </w:rPr>
              <w:fldChar w:fldCharType="end"/>
            </w:r>
          </w:hyperlink>
        </w:p>
        <w:p w14:paraId="11FE963A" w14:textId="541D1D1A" w:rsidR="00EC7959" w:rsidRDefault="00280858">
          <w:pPr>
            <w:pStyle w:val="TOC1"/>
            <w:tabs>
              <w:tab w:val="right" w:pos="9016"/>
            </w:tabs>
            <w:rPr>
              <w:rFonts w:asciiTheme="minorHAnsi" w:eastAsiaTheme="minorEastAsia" w:hAnsiTheme="minorHAnsi" w:cstheme="minorBidi"/>
              <w:noProof/>
            </w:rPr>
          </w:pPr>
          <w:hyperlink w:anchor="_Toc117679929" w:history="1">
            <w:r w:rsidR="00EC7959" w:rsidRPr="002F77C4">
              <w:rPr>
                <w:rStyle w:val="Hyperlink"/>
                <w:rFonts w:ascii="Times New Roman" w:eastAsia="Times New Roman" w:hAnsi="Times New Roman" w:cs="Times New Roman"/>
                <w:b/>
                <w:noProof/>
              </w:rPr>
              <w:t>CAPITOLUL II: ANALIZA ”DO NOT SIGNIFICANT HARM” (DNSH)</w:t>
            </w:r>
            <w:r w:rsidR="00EC7959">
              <w:rPr>
                <w:noProof/>
                <w:webHidden/>
              </w:rPr>
              <w:tab/>
            </w:r>
            <w:r w:rsidR="00EC7959">
              <w:rPr>
                <w:noProof/>
                <w:webHidden/>
              </w:rPr>
              <w:fldChar w:fldCharType="begin"/>
            </w:r>
            <w:r w:rsidR="00EC7959">
              <w:rPr>
                <w:noProof/>
                <w:webHidden/>
              </w:rPr>
              <w:instrText xml:space="preserve"> PAGEREF _Toc117679929 \h </w:instrText>
            </w:r>
            <w:r w:rsidR="00EC7959">
              <w:rPr>
                <w:noProof/>
                <w:webHidden/>
              </w:rPr>
            </w:r>
            <w:r w:rsidR="00EC7959">
              <w:rPr>
                <w:noProof/>
                <w:webHidden/>
              </w:rPr>
              <w:fldChar w:fldCharType="separate"/>
            </w:r>
            <w:r w:rsidR="00384F0A">
              <w:rPr>
                <w:noProof/>
                <w:webHidden/>
              </w:rPr>
              <w:t>6</w:t>
            </w:r>
            <w:r w:rsidR="00EC7959">
              <w:rPr>
                <w:noProof/>
                <w:webHidden/>
              </w:rPr>
              <w:fldChar w:fldCharType="end"/>
            </w:r>
          </w:hyperlink>
        </w:p>
        <w:p w14:paraId="6ED5F520" w14:textId="18DD296B" w:rsidR="00EC7959" w:rsidRDefault="00280858">
          <w:pPr>
            <w:pStyle w:val="TOC2"/>
            <w:tabs>
              <w:tab w:val="right" w:pos="9016"/>
            </w:tabs>
            <w:rPr>
              <w:rFonts w:asciiTheme="minorHAnsi" w:eastAsiaTheme="minorEastAsia" w:hAnsiTheme="minorHAnsi" w:cstheme="minorBidi"/>
              <w:noProof/>
            </w:rPr>
          </w:pPr>
          <w:hyperlink w:anchor="_Toc117679930" w:history="1">
            <w:r w:rsidR="00EC7959" w:rsidRPr="002F77C4">
              <w:rPr>
                <w:rStyle w:val="Hyperlink"/>
                <w:rFonts w:ascii="Times New Roman" w:eastAsia="Times New Roman" w:hAnsi="Times New Roman" w:cs="Times New Roman"/>
                <w:noProof/>
              </w:rPr>
              <w:t xml:space="preserve">2.1. </w:t>
            </w:r>
            <w:r w:rsidR="00EC7959" w:rsidRPr="002F77C4">
              <w:rPr>
                <w:rStyle w:val="Hyperlink"/>
                <w:rFonts w:ascii="Times New Roman" w:eastAsia="Times New Roman" w:hAnsi="Times New Roman" w:cs="Times New Roman"/>
                <w:b/>
                <w:noProof/>
              </w:rPr>
              <w:t>Prioritatea 1</w:t>
            </w:r>
            <w:r w:rsidR="00EC7959" w:rsidRPr="002F77C4">
              <w:rPr>
                <w:rStyle w:val="Hyperlink"/>
                <w:rFonts w:ascii="Times New Roman" w:eastAsia="Times New Roman" w:hAnsi="Times New Roman" w:cs="Times New Roman"/>
                <w:noProof/>
              </w:rPr>
              <w:t xml:space="preserve"> - Îmbunătățirea conectivității rutiere primare</w:t>
            </w:r>
            <w:r w:rsidR="00EC7959">
              <w:rPr>
                <w:noProof/>
                <w:webHidden/>
              </w:rPr>
              <w:tab/>
            </w:r>
            <w:r w:rsidR="00EC7959">
              <w:rPr>
                <w:noProof/>
                <w:webHidden/>
              </w:rPr>
              <w:fldChar w:fldCharType="begin"/>
            </w:r>
            <w:r w:rsidR="00EC7959">
              <w:rPr>
                <w:noProof/>
                <w:webHidden/>
              </w:rPr>
              <w:instrText xml:space="preserve"> PAGEREF _Toc117679930 \h </w:instrText>
            </w:r>
            <w:r w:rsidR="00EC7959">
              <w:rPr>
                <w:noProof/>
                <w:webHidden/>
              </w:rPr>
            </w:r>
            <w:r w:rsidR="00EC7959">
              <w:rPr>
                <w:noProof/>
                <w:webHidden/>
              </w:rPr>
              <w:fldChar w:fldCharType="separate"/>
            </w:r>
            <w:r w:rsidR="00384F0A">
              <w:rPr>
                <w:noProof/>
                <w:webHidden/>
              </w:rPr>
              <w:t>6</w:t>
            </w:r>
            <w:r w:rsidR="00EC7959">
              <w:rPr>
                <w:noProof/>
                <w:webHidden/>
              </w:rPr>
              <w:fldChar w:fldCharType="end"/>
            </w:r>
          </w:hyperlink>
        </w:p>
        <w:p w14:paraId="2129C676" w14:textId="1E568E3F" w:rsidR="00EC7959" w:rsidRDefault="00280858">
          <w:pPr>
            <w:pStyle w:val="TOC3"/>
            <w:tabs>
              <w:tab w:val="right" w:pos="9016"/>
            </w:tabs>
            <w:rPr>
              <w:rFonts w:asciiTheme="minorHAnsi" w:eastAsiaTheme="minorEastAsia" w:hAnsiTheme="minorHAnsi" w:cstheme="minorBidi"/>
              <w:noProof/>
            </w:rPr>
          </w:pPr>
          <w:hyperlink w:anchor="_Toc117679931" w:history="1">
            <w:r w:rsidR="00EC7959" w:rsidRPr="002F77C4">
              <w:rPr>
                <w:rStyle w:val="Hyperlink"/>
                <w:rFonts w:ascii="Times New Roman" w:eastAsia="Times New Roman" w:hAnsi="Times New Roman" w:cs="Times New Roman"/>
                <w:noProof/>
              </w:rPr>
              <w:t>2.1.1. Descrierea investițiilor</w:t>
            </w:r>
            <w:r w:rsidR="00EC7959">
              <w:rPr>
                <w:noProof/>
                <w:webHidden/>
              </w:rPr>
              <w:tab/>
            </w:r>
            <w:r w:rsidR="00EC7959">
              <w:rPr>
                <w:noProof/>
                <w:webHidden/>
              </w:rPr>
              <w:fldChar w:fldCharType="begin"/>
            </w:r>
            <w:r w:rsidR="00EC7959">
              <w:rPr>
                <w:noProof/>
                <w:webHidden/>
              </w:rPr>
              <w:instrText xml:space="preserve"> PAGEREF _Toc117679931 \h </w:instrText>
            </w:r>
            <w:r w:rsidR="00EC7959">
              <w:rPr>
                <w:noProof/>
                <w:webHidden/>
              </w:rPr>
            </w:r>
            <w:r w:rsidR="00EC7959">
              <w:rPr>
                <w:noProof/>
                <w:webHidden/>
              </w:rPr>
              <w:fldChar w:fldCharType="separate"/>
            </w:r>
            <w:r w:rsidR="00384F0A">
              <w:rPr>
                <w:noProof/>
                <w:webHidden/>
              </w:rPr>
              <w:t>6</w:t>
            </w:r>
            <w:r w:rsidR="00EC7959">
              <w:rPr>
                <w:noProof/>
                <w:webHidden/>
              </w:rPr>
              <w:fldChar w:fldCharType="end"/>
            </w:r>
          </w:hyperlink>
        </w:p>
        <w:p w14:paraId="5AAF5DD4" w14:textId="66C7CDC4" w:rsidR="00EC7959" w:rsidRDefault="00280858">
          <w:pPr>
            <w:pStyle w:val="TOC3"/>
            <w:tabs>
              <w:tab w:val="right" w:pos="9016"/>
            </w:tabs>
            <w:rPr>
              <w:rFonts w:asciiTheme="minorHAnsi" w:eastAsiaTheme="minorEastAsia" w:hAnsiTheme="minorHAnsi" w:cstheme="minorBidi"/>
              <w:noProof/>
            </w:rPr>
          </w:pPr>
          <w:hyperlink w:anchor="_Toc117679932" w:history="1">
            <w:r w:rsidR="00EC7959" w:rsidRPr="002F77C4">
              <w:rPr>
                <w:rStyle w:val="Hyperlink"/>
                <w:rFonts w:ascii="Times New Roman" w:eastAsia="Times New Roman" w:hAnsi="Times New Roman" w:cs="Times New Roman"/>
                <w:noProof/>
              </w:rPr>
              <w:t>2.1.2. Metodologia specifica pentru evaluarea DNSH în cazul proiectelor de infrastructură rutieră</w:t>
            </w:r>
            <w:r w:rsidR="00EC7959">
              <w:rPr>
                <w:noProof/>
                <w:webHidden/>
              </w:rPr>
              <w:tab/>
            </w:r>
            <w:r w:rsidR="00EC7959">
              <w:rPr>
                <w:noProof/>
                <w:webHidden/>
              </w:rPr>
              <w:fldChar w:fldCharType="begin"/>
            </w:r>
            <w:r w:rsidR="00EC7959">
              <w:rPr>
                <w:noProof/>
                <w:webHidden/>
              </w:rPr>
              <w:instrText xml:space="preserve"> PAGEREF _Toc117679932 \h </w:instrText>
            </w:r>
            <w:r w:rsidR="00EC7959">
              <w:rPr>
                <w:noProof/>
                <w:webHidden/>
              </w:rPr>
            </w:r>
            <w:r w:rsidR="00EC7959">
              <w:rPr>
                <w:noProof/>
                <w:webHidden/>
              </w:rPr>
              <w:fldChar w:fldCharType="separate"/>
            </w:r>
            <w:r w:rsidR="00384F0A">
              <w:rPr>
                <w:noProof/>
                <w:webHidden/>
              </w:rPr>
              <w:t>7</w:t>
            </w:r>
            <w:r w:rsidR="00EC7959">
              <w:rPr>
                <w:noProof/>
                <w:webHidden/>
              </w:rPr>
              <w:fldChar w:fldCharType="end"/>
            </w:r>
          </w:hyperlink>
        </w:p>
        <w:p w14:paraId="14AF7A5D" w14:textId="679B1014" w:rsidR="00EC7959" w:rsidRDefault="00280858">
          <w:pPr>
            <w:pStyle w:val="TOC3"/>
            <w:tabs>
              <w:tab w:val="right" w:pos="9016"/>
            </w:tabs>
            <w:rPr>
              <w:rFonts w:asciiTheme="minorHAnsi" w:eastAsiaTheme="minorEastAsia" w:hAnsiTheme="minorHAnsi" w:cstheme="minorBidi"/>
              <w:noProof/>
            </w:rPr>
          </w:pPr>
          <w:hyperlink w:anchor="_Toc117679933" w:history="1">
            <w:r w:rsidR="00EC7959" w:rsidRPr="002F77C4">
              <w:rPr>
                <w:rStyle w:val="Hyperlink"/>
                <w:rFonts w:ascii="Times New Roman" w:eastAsia="Times New Roman" w:hAnsi="Times New Roman" w:cs="Times New Roman"/>
                <w:noProof/>
              </w:rPr>
              <w:t>2.1.3. Acțiuni finanțate</w:t>
            </w:r>
            <w:r w:rsidR="00EC7959">
              <w:rPr>
                <w:noProof/>
                <w:webHidden/>
              </w:rPr>
              <w:tab/>
            </w:r>
            <w:r w:rsidR="00EC7959">
              <w:rPr>
                <w:noProof/>
                <w:webHidden/>
              </w:rPr>
              <w:fldChar w:fldCharType="begin"/>
            </w:r>
            <w:r w:rsidR="00EC7959">
              <w:rPr>
                <w:noProof/>
                <w:webHidden/>
              </w:rPr>
              <w:instrText xml:space="preserve"> PAGEREF _Toc117679933 \h </w:instrText>
            </w:r>
            <w:r w:rsidR="00EC7959">
              <w:rPr>
                <w:noProof/>
                <w:webHidden/>
              </w:rPr>
            </w:r>
            <w:r w:rsidR="00EC7959">
              <w:rPr>
                <w:noProof/>
                <w:webHidden/>
              </w:rPr>
              <w:fldChar w:fldCharType="separate"/>
            </w:r>
            <w:r w:rsidR="00384F0A">
              <w:rPr>
                <w:noProof/>
                <w:webHidden/>
              </w:rPr>
              <w:t>11</w:t>
            </w:r>
            <w:r w:rsidR="00EC7959">
              <w:rPr>
                <w:noProof/>
                <w:webHidden/>
              </w:rPr>
              <w:fldChar w:fldCharType="end"/>
            </w:r>
          </w:hyperlink>
        </w:p>
        <w:p w14:paraId="2AF60E4A" w14:textId="0FC5E965" w:rsidR="00EC7959" w:rsidRDefault="00280858">
          <w:pPr>
            <w:pStyle w:val="TOC2"/>
            <w:tabs>
              <w:tab w:val="right" w:pos="9016"/>
            </w:tabs>
            <w:rPr>
              <w:rFonts w:asciiTheme="minorHAnsi" w:eastAsiaTheme="minorEastAsia" w:hAnsiTheme="minorHAnsi" w:cstheme="minorBidi"/>
              <w:noProof/>
            </w:rPr>
          </w:pPr>
          <w:hyperlink w:anchor="_Toc117679934" w:history="1">
            <w:r w:rsidR="00EC7959" w:rsidRPr="002F77C4">
              <w:rPr>
                <w:rStyle w:val="Hyperlink"/>
                <w:rFonts w:ascii="Times New Roman" w:eastAsia="Times New Roman" w:hAnsi="Times New Roman" w:cs="Times New Roman"/>
                <w:noProof/>
              </w:rPr>
              <w:t xml:space="preserve">2.2. </w:t>
            </w:r>
            <w:r w:rsidR="00EC7959" w:rsidRPr="002F77C4">
              <w:rPr>
                <w:rStyle w:val="Hyperlink"/>
                <w:rFonts w:ascii="Times New Roman" w:eastAsia="Times New Roman" w:hAnsi="Times New Roman" w:cs="Times New Roman"/>
                <w:b/>
                <w:noProof/>
              </w:rPr>
              <w:t xml:space="preserve">Prioritatea 2 </w:t>
            </w:r>
            <w:r w:rsidR="00EC7959" w:rsidRPr="002F77C4">
              <w:rPr>
                <w:rStyle w:val="Hyperlink"/>
                <w:rFonts w:ascii="Times New Roman" w:eastAsia="Times New Roman" w:hAnsi="Times New Roman" w:cs="Times New Roman"/>
                <w:noProof/>
              </w:rPr>
              <w:t>- Îmbunătățirea conectivității rutiere secundare</w:t>
            </w:r>
            <w:r w:rsidR="00EC7959">
              <w:rPr>
                <w:noProof/>
                <w:webHidden/>
              </w:rPr>
              <w:tab/>
            </w:r>
            <w:r w:rsidR="00EC7959">
              <w:rPr>
                <w:noProof/>
                <w:webHidden/>
              </w:rPr>
              <w:fldChar w:fldCharType="begin"/>
            </w:r>
            <w:r w:rsidR="00EC7959">
              <w:rPr>
                <w:noProof/>
                <w:webHidden/>
              </w:rPr>
              <w:instrText xml:space="preserve"> PAGEREF _Toc117679934 \h </w:instrText>
            </w:r>
            <w:r w:rsidR="00EC7959">
              <w:rPr>
                <w:noProof/>
                <w:webHidden/>
              </w:rPr>
            </w:r>
            <w:r w:rsidR="00EC7959">
              <w:rPr>
                <w:noProof/>
                <w:webHidden/>
              </w:rPr>
              <w:fldChar w:fldCharType="separate"/>
            </w:r>
            <w:r w:rsidR="00384F0A">
              <w:rPr>
                <w:noProof/>
                <w:webHidden/>
              </w:rPr>
              <w:t>47</w:t>
            </w:r>
            <w:r w:rsidR="00EC7959">
              <w:rPr>
                <w:noProof/>
                <w:webHidden/>
              </w:rPr>
              <w:fldChar w:fldCharType="end"/>
            </w:r>
          </w:hyperlink>
        </w:p>
        <w:p w14:paraId="3C8EF1D1" w14:textId="6D376876" w:rsidR="00EC7959" w:rsidRDefault="00280858">
          <w:pPr>
            <w:pStyle w:val="TOC3"/>
            <w:tabs>
              <w:tab w:val="right" w:pos="9016"/>
            </w:tabs>
            <w:rPr>
              <w:rFonts w:asciiTheme="minorHAnsi" w:eastAsiaTheme="minorEastAsia" w:hAnsiTheme="minorHAnsi" w:cstheme="minorBidi"/>
              <w:noProof/>
            </w:rPr>
          </w:pPr>
          <w:hyperlink w:anchor="_Toc117679935" w:history="1">
            <w:r w:rsidR="00EC7959" w:rsidRPr="002F77C4">
              <w:rPr>
                <w:rStyle w:val="Hyperlink"/>
                <w:rFonts w:ascii="Times New Roman" w:eastAsia="Times New Roman" w:hAnsi="Times New Roman" w:cs="Times New Roman"/>
                <w:noProof/>
              </w:rPr>
              <w:t>2.2.1. Descrierea investițiilor</w:t>
            </w:r>
            <w:r w:rsidR="00EC7959">
              <w:rPr>
                <w:noProof/>
                <w:webHidden/>
              </w:rPr>
              <w:tab/>
            </w:r>
            <w:r w:rsidR="00EC7959">
              <w:rPr>
                <w:noProof/>
                <w:webHidden/>
              </w:rPr>
              <w:fldChar w:fldCharType="begin"/>
            </w:r>
            <w:r w:rsidR="00EC7959">
              <w:rPr>
                <w:noProof/>
                <w:webHidden/>
              </w:rPr>
              <w:instrText xml:space="preserve"> PAGEREF _Toc117679935 \h </w:instrText>
            </w:r>
            <w:r w:rsidR="00EC7959">
              <w:rPr>
                <w:noProof/>
                <w:webHidden/>
              </w:rPr>
            </w:r>
            <w:r w:rsidR="00EC7959">
              <w:rPr>
                <w:noProof/>
                <w:webHidden/>
              </w:rPr>
              <w:fldChar w:fldCharType="separate"/>
            </w:r>
            <w:r w:rsidR="00384F0A">
              <w:rPr>
                <w:noProof/>
                <w:webHidden/>
              </w:rPr>
              <w:t>47</w:t>
            </w:r>
            <w:r w:rsidR="00EC7959">
              <w:rPr>
                <w:noProof/>
                <w:webHidden/>
              </w:rPr>
              <w:fldChar w:fldCharType="end"/>
            </w:r>
          </w:hyperlink>
        </w:p>
        <w:p w14:paraId="52DFBCF6" w14:textId="42750AED" w:rsidR="00EC7959" w:rsidRDefault="00280858">
          <w:pPr>
            <w:pStyle w:val="TOC3"/>
            <w:tabs>
              <w:tab w:val="right" w:pos="9016"/>
            </w:tabs>
            <w:rPr>
              <w:rFonts w:asciiTheme="minorHAnsi" w:eastAsiaTheme="minorEastAsia" w:hAnsiTheme="minorHAnsi" w:cstheme="minorBidi"/>
              <w:noProof/>
            </w:rPr>
          </w:pPr>
          <w:hyperlink w:anchor="_Toc117679936" w:history="1">
            <w:r w:rsidR="00EC7959" w:rsidRPr="002F77C4">
              <w:rPr>
                <w:rStyle w:val="Hyperlink"/>
                <w:rFonts w:ascii="Times New Roman" w:eastAsia="Times New Roman" w:hAnsi="Times New Roman" w:cs="Times New Roman"/>
                <w:noProof/>
              </w:rPr>
              <w:t>2.2.2. Acțiuni finanțate</w:t>
            </w:r>
            <w:r w:rsidR="00EC7959">
              <w:rPr>
                <w:noProof/>
                <w:webHidden/>
              </w:rPr>
              <w:tab/>
            </w:r>
            <w:r w:rsidR="00EC7959">
              <w:rPr>
                <w:noProof/>
                <w:webHidden/>
              </w:rPr>
              <w:fldChar w:fldCharType="begin"/>
            </w:r>
            <w:r w:rsidR="00EC7959">
              <w:rPr>
                <w:noProof/>
                <w:webHidden/>
              </w:rPr>
              <w:instrText xml:space="preserve"> PAGEREF _Toc117679936 \h </w:instrText>
            </w:r>
            <w:r w:rsidR="00EC7959">
              <w:rPr>
                <w:noProof/>
                <w:webHidden/>
              </w:rPr>
            </w:r>
            <w:r w:rsidR="00EC7959">
              <w:rPr>
                <w:noProof/>
                <w:webHidden/>
              </w:rPr>
              <w:fldChar w:fldCharType="separate"/>
            </w:r>
            <w:r w:rsidR="00384F0A">
              <w:rPr>
                <w:noProof/>
                <w:webHidden/>
              </w:rPr>
              <w:t>50</w:t>
            </w:r>
            <w:r w:rsidR="00EC7959">
              <w:rPr>
                <w:noProof/>
                <w:webHidden/>
              </w:rPr>
              <w:fldChar w:fldCharType="end"/>
            </w:r>
          </w:hyperlink>
        </w:p>
        <w:p w14:paraId="6C6101A1" w14:textId="34E8ED99" w:rsidR="00EC7959" w:rsidRDefault="00280858">
          <w:pPr>
            <w:pStyle w:val="TOC2"/>
            <w:tabs>
              <w:tab w:val="right" w:pos="9016"/>
            </w:tabs>
            <w:rPr>
              <w:rFonts w:asciiTheme="minorHAnsi" w:eastAsiaTheme="minorEastAsia" w:hAnsiTheme="minorHAnsi" w:cstheme="minorBidi"/>
              <w:noProof/>
            </w:rPr>
          </w:pPr>
          <w:hyperlink w:anchor="_Toc117679937" w:history="1">
            <w:r w:rsidR="00EC7959" w:rsidRPr="002F77C4">
              <w:rPr>
                <w:rStyle w:val="Hyperlink"/>
                <w:rFonts w:ascii="Times New Roman" w:eastAsia="Times New Roman" w:hAnsi="Times New Roman" w:cs="Times New Roman"/>
                <w:noProof/>
              </w:rPr>
              <w:t xml:space="preserve">2.3. </w:t>
            </w:r>
            <w:r w:rsidR="00EC7959" w:rsidRPr="002F77C4">
              <w:rPr>
                <w:rStyle w:val="Hyperlink"/>
                <w:rFonts w:ascii="Times New Roman" w:eastAsia="Times New Roman" w:hAnsi="Times New Roman" w:cs="Times New Roman"/>
                <w:b/>
                <w:noProof/>
              </w:rPr>
              <w:t>Prioritatea 3</w:t>
            </w:r>
            <w:r w:rsidR="00EC7959" w:rsidRPr="002F77C4">
              <w:rPr>
                <w:rStyle w:val="Hyperlink"/>
                <w:rFonts w:ascii="Times New Roman" w:eastAsia="Times New Roman" w:hAnsi="Times New Roman" w:cs="Times New Roman"/>
                <w:noProof/>
              </w:rPr>
              <w:t xml:space="preserve"> - Creșterea siguranței rutiere</w:t>
            </w:r>
            <w:r w:rsidR="00EC7959">
              <w:rPr>
                <w:noProof/>
                <w:webHidden/>
              </w:rPr>
              <w:tab/>
            </w:r>
            <w:r w:rsidR="00EC7959">
              <w:rPr>
                <w:noProof/>
                <w:webHidden/>
              </w:rPr>
              <w:fldChar w:fldCharType="begin"/>
            </w:r>
            <w:r w:rsidR="00EC7959">
              <w:rPr>
                <w:noProof/>
                <w:webHidden/>
              </w:rPr>
              <w:instrText xml:space="preserve"> PAGEREF _Toc117679937 \h </w:instrText>
            </w:r>
            <w:r w:rsidR="00EC7959">
              <w:rPr>
                <w:noProof/>
                <w:webHidden/>
              </w:rPr>
            </w:r>
            <w:r w:rsidR="00EC7959">
              <w:rPr>
                <w:noProof/>
                <w:webHidden/>
              </w:rPr>
              <w:fldChar w:fldCharType="separate"/>
            </w:r>
            <w:r w:rsidR="00384F0A">
              <w:rPr>
                <w:noProof/>
                <w:webHidden/>
              </w:rPr>
              <w:t>85</w:t>
            </w:r>
            <w:r w:rsidR="00EC7959">
              <w:rPr>
                <w:noProof/>
                <w:webHidden/>
              </w:rPr>
              <w:fldChar w:fldCharType="end"/>
            </w:r>
          </w:hyperlink>
        </w:p>
        <w:p w14:paraId="60887CA4" w14:textId="1998B6E5" w:rsidR="00EC7959" w:rsidRDefault="00280858">
          <w:pPr>
            <w:pStyle w:val="TOC3"/>
            <w:tabs>
              <w:tab w:val="right" w:pos="9016"/>
            </w:tabs>
            <w:rPr>
              <w:rFonts w:asciiTheme="minorHAnsi" w:eastAsiaTheme="minorEastAsia" w:hAnsiTheme="minorHAnsi" w:cstheme="minorBidi"/>
              <w:noProof/>
            </w:rPr>
          </w:pPr>
          <w:hyperlink w:anchor="_Toc117679938" w:history="1">
            <w:r w:rsidR="00EC7959" w:rsidRPr="002F77C4">
              <w:rPr>
                <w:rStyle w:val="Hyperlink"/>
                <w:rFonts w:ascii="Times New Roman" w:eastAsia="Times New Roman" w:hAnsi="Times New Roman" w:cs="Times New Roman"/>
                <w:noProof/>
              </w:rPr>
              <w:t>2.3.1. Descrierea investițiilor</w:t>
            </w:r>
            <w:r w:rsidR="00EC7959">
              <w:rPr>
                <w:noProof/>
                <w:webHidden/>
              </w:rPr>
              <w:tab/>
            </w:r>
            <w:r w:rsidR="00EC7959">
              <w:rPr>
                <w:noProof/>
                <w:webHidden/>
              </w:rPr>
              <w:fldChar w:fldCharType="begin"/>
            </w:r>
            <w:r w:rsidR="00EC7959">
              <w:rPr>
                <w:noProof/>
                <w:webHidden/>
              </w:rPr>
              <w:instrText xml:space="preserve"> PAGEREF _Toc117679938 \h </w:instrText>
            </w:r>
            <w:r w:rsidR="00EC7959">
              <w:rPr>
                <w:noProof/>
                <w:webHidden/>
              </w:rPr>
            </w:r>
            <w:r w:rsidR="00EC7959">
              <w:rPr>
                <w:noProof/>
                <w:webHidden/>
              </w:rPr>
              <w:fldChar w:fldCharType="separate"/>
            </w:r>
            <w:r w:rsidR="00384F0A">
              <w:rPr>
                <w:noProof/>
                <w:webHidden/>
              </w:rPr>
              <w:t>85</w:t>
            </w:r>
            <w:r w:rsidR="00EC7959">
              <w:rPr>
                <w:noProof/>
                <w:webHidden/>
              </w:rPr>
              <w:fldChar w:fldCharType="end"/>
            </w:r>
          </w:hyperlink>
        </w:p>
        <w:p w14:paraId="6F2282DB" w14:textId="1887BB3E" w:rsidR="00EC7959" w:rsidRDefault="00280858">
          <w:pPr>
            <w:pStyle w:val="TOC3"/>
            <w:tabs>
              <w:tab w:val="right" w:pos="9016"/>
            </w:tabs>
            <w:rPr>
              <w:rFonts w:asciiTheme="minorHAnsi" w:eastAsiaTheme="minorEastAsia" w:hAnsiTheme="minorHAnsi" w:cstheme="minorBidi"/>
              <w:noProof/>
            </w:rPr>
          </w:pPr>
          <w:hyperlink w:anchor="_Toc117679939" w:history="1">
            <w:r w:rsidR="00EC7959" w:rsidRPr="002F77C4">
              <w:rPr>
                <w:rStyle w:val="Hyperlink"/>
                <w:rFonts w:ascii="Times New Roman" w:eastAsia="Times New Roman" w:hAnsi="Times New Roman" w:cs="Times New Roman"/>
                <w:noProof/>
              </w:rPr>
              <w:t>2.3.2. Acțiuni finanțate</w:t>
            </w:r>
            <w:r w:rsidR="00EC7959">
              <w:rPr>
                <w:noProof/>
                <w:webHidden/>
              </w:rPr>
              <w:tab/>
            </w:r>
            <w:r w:rsidR="00EC7959">
              <w:rPr>
                <w:noProof/>
                <w:webHidden/>
              </w:rPr>
              <w:fldChar w:fldCharType="begin"/>
            </w:r>
            <w:r w:rsidR="00EC7959">
              <w:rPr>
                <w:noProof/>
                <w:webHidden/>
              </w:rPr>
              <w:instrText xml:space="preserve"> PAGEREF _Toc117679939 \h </w:instrText>
            </w:r>
            <w:r w:rsidR="00EC7959">
              <w:rPr>
                <w:noProof/>
                <w:webHidden/>
              </w:rPr>
            </w:r>
            <w:r w:rsidR="00EC7959">
              <w:rPr>
                <w:noProof/>
                <w:webHidden/>
              </w:rPr>
              <w:fldChar w:fldCharType="separate"/>
            </w:r>
            <w:r w:rsidR="00384F0A">
              <w:rPr>
                <w:noProof/>
                <w:webHidden/>
              </w:rPr>
              <w:t>86</w:t>
            </w:r>
            <w:r w:rsidR="00EC7959">
              <w:rPr>
                <w:noProof/>
                <w:webHidden/>
              </w:rPr>
              <w:fldChar w:fldCharType="end"/>
            </w:r>
          </w:hyperlink>
        </w:p>
        <w:p w14:paraId="1A02FF40" w14:textId="33BD9AE5" w:rsidR="00EC7959" w:rsidRDefault="00280858">
          <w:pPr>
            <w:pStyle w:val="TOC2"/>
            <w:tabs>
              <w:tab w:val="right" w:pos="9016"/>
            </w:tabs>
            <w:rPr>
              <w:rFonts w:asciiTheme="minorHAnsi" w:eastAsiaTheme="minorEastAsia" w:hAnsiTheme="minorHAnsi" w:cstheme="minorBidi"/>
              <w:noProof/>
            </w:rPr>
          </w:pPr>
          <w:hyperlink w:anchor="_Toc117679940" w:history="1">
            <w:r w:rsidR="00EC7959" w:rsidRPr="002F77C4">
              <w:rPr>
                <w:rStyle w:val="Hyperlink"/>
                <w:rFonts w:ascii="Times New Roman" w:eastAsia="Times New Roman" w:hAnsi="Times New Roman" w:cs="Times New Roman"/>
                <w:noProof/>
              </w:rPr>
              <w:t xml:space="preserve">2.4. </w:t>
            </w:r>
            <w:r w:rsidR="00EC7959" w:rsidRPr="002F77C4">
              <w:rPr>
                <w:rStyle w:val="Hyperlink"/>
                <w:rFonts w:ascii="Times New Roman" w:eastAsia="Times New Roman" w:hAnsi="Times New Roman" w:cs="Times New Roman"/>
                <w:b/>
                <w:noProof/>
              </w:rPr>
              <w:t>Prioritatea 4</w:t>
            </w:r>
            <w:r w:rsidR="00EC7959" w:rsidRPr="002F77C4">
              <w:rPr>
                <w:rStyle w:val="Hyperlink"/>
                <w:rFonts w:ascii="Times New Roman" w:eastAsia="Times New Roman" w:hAnsi="Times New Roman" w:cs="Times New Roman"/>
                <w:noProof/>
              </w:rPr>
              <w:t xml:space="preserve"> - Creșterea eficienței căilor ferate române</w:t>
            </w:r>
            <w:r w:rsidR="00EC7959">
              <w:rPr>
                <w:noProof/>
                <w:webHidden/>
              </w:rPr>
              <w:tab/>
            </w:r>
            <w:r w:rsidR="00EC7959">
              <w:rPr>
                <w:noProof/>
                <w:webHidden/>
              </w:rPr>
              <w:fldChar w:fldCharType="begin"/>
            </w:r>
            <w:r w:rsidR="00EC7959">
              <w:rPr>
                <w:noProof/>
                <w:webHidden/>
              </w:rPr>
              <w:instrText xml:space="preserve"> PAGEREF _Toc117679940 \h </w:instrText>
            </w:r>
            <w:r w:rsidR="00EC7959">
              <w:rPr>
                <w:noProof/>
                <w:webHidden/>
              </w:rPr>
            </w:r>
            <w:r w:rsidR="00EC7959">
              <w:rPr>
                <w:noProof/>
                <w:webHidden/>
              </w:rPr>
              <w:fldChar w:fldCharType="separate"/>
            </w:r>
            <w:r w:rsidR="00384F0A">
              <w:rPr>
                <w:noProof/>
                <w:webHidden/>
              </w:rPr>
              <w:t>92</w:t>
            </w:r>
            <w:r w:rsidR="00EC7959">
              <w:rPr>
                <w:noProof/>
                <w:webHidden/>
              </w:rPr>
              <w:fldChar w:fldCharType="end"/>
            </w:r>
          </w:hyperlink>
        </w:p>
        <w:p w14:paraId="0006FF1D" w14:textId="7B761556" w:rsidR="00EC7959" w:rsidRDefault="00280858">
          <w:pPr>
            <w:pStyle w:val="TOC3"/>
            <w:tabs>
              <w:tab w:val="right" w:pos="9016"/>
            </w:tabs>
            <w:rPr>
              <w:rFonts w:asciiTheme="minorHAnsi" w:eastAsiaTheme="minorEastAsia" w:hAnsiTheme="minorHAnsi" w:cstheme="minorBidi"/>
              <w:noProof/>
            </w:rPr>
          </w:pPr>
          <w:hyperlink w:anchor="_Toc117679941" w:history="1">
            <w:r w:rsidR="00EC7959" w:rsidRPr="002F77C4">
              <w:rPr>
                <w:rStyle w:val="Hyperlink"/>
                <w:rFonts w:ascii="Times New Roman" w:eastAsia="Times New Roman" w:hAnsi="Times New Roman" w:cs="Times New Roman"/>
                <w:noProof/>
              </w:rPr>
              <w:t>2.4.1. Descrierea investițiilor</w:t>
            </w:r>
            <w:r w:rsidR="00EC7959">
              <w:rPr>
                <w:noProof/>
                <w:webHidden/>
              </w:rPr>
              <w:tab/>
            </w:r>
            <w:r w:rsidR="00EC7959">
              <w:rPr>
                <w:noProof/>
                <w:webHidden/>
              </w:rPr>
              <w:fldChar w:fldCharType="begin"/>
            </w:r>
            <w:r w:rsidR="00EC7959">
              <w:rPr>
                <w:noProof/>
                <w:webHidden/>
              </w:rPr>
              <w:instrText xml:space="preserve"> PAGEREF _Toc117679941 \h </w:instrText>
            </w:r>
            <w:r w:rsidR="00EC7959">
              <w:rPr>
                <w:noProof/>
                <w:webHidden/>
              </w:rPr>
            </w:r>
            <w:r w:rsidR="00EC7959">
              <w:rPr>
                <w:noProof/>
                <w:webHidden/>
              </w:rPr>
              <w:fldChar w:fldCharType="separate"/>
            </w:r>
            <w:r w:rsidR="00384F0A">
              <w:rPr>
                <w:noProof/>
                <w:webHidden/>
              </w:rPr>
              <w:t>92</w:t>
            </w:r>
            <w:r w:rsidR="00EC7959">
              <w:rPr>
                <w:noProof/>
                <w:webHidden/>
              </w:rPr>
              <w:fldChar w:fldCharType="end"/>
            </w:r>
          </w:hyperlink>
        </w:p>
        <w:p w14:paraId="2775AC3E" w14:textId="102D40AB" w:rsidR="00EC7959" w:rsidRDefault="00280858">
          <w:pPr>
            <w:pStyle w:val="TOC3"/>
            <w:tabs>
              <w:tab w:val="right" w:pos="9016"/>
            </w:tabs>
            <w:rPr>
              <w:rFonts w:asciiTheme="minorHAnsi" w:eastAsiaTheme="minorEastAsia" w:hAnsiTheme="minorHAnsi" w:cstheme="minorBidi"/>
              <w:noProof/>
            </w:rPr>
          </w:pPr>
          <w:hyperlink w:anchor="_Toc117679942" w:history="1">
            <w:r w:rsidR="00EC7959" w:rsidRPr="002F77C4">
              <w:rPr>
                <w:rStyle w:val="Hyperlink"/>
                <w:rFonts w:ascii="Times New Roman" w:eastAsia="Times New Roman" w:hAnsi="Times New Roman" w:cs="Times New Roman"/>
                <w:noProof/>
              </w:rPr>
              <w:t>2.4.2. Acțiuni finanțate</w:t>
            </w:r>
            <w:r w:rsidR="00EC7959">
              <w:rPr>
                <w:noProof/>
                <w:webHidden/>
              </w:rPr>
              <w:tab/>
            </w:r>
            <w:r w:rsidR="00EC7959">
              <w:rPr>
                <w:noProof/>
                <w:webHidden/>
              </w:rPr>
              <w:fldChar w:fldCharType="begin"/>
            </w:r>
            <w:r w:rsidR="00EC7959">
              <w:rPr>
                <w:noProof/>
                <w:webHidden/>
              </w:rPr>
              <w:instrText xml:space="preserve"> PAGEREF _Toc117679942 \h </w:instrText>
            </w:r>
            <w:r w:rsidR="00EC7959">
              <w:rPr>
                <w:noProof/>
                <w:webHidden/>
              </w:rPr>
            </w:r>
            <w:r w:rsidR="00EC7959">
              <w:rPr>
                <w:noProof/>
                <w:webHidden/>
              </w:rPr>
              <w:fldChar w:fldCharType="separate"/>
            </w:r>
            <w:r w:rsidR="00384F0A">
              <w:rPr>
                <w:noProof/>
                <w:webHidden/>
              </w:rPr>
              <w:t>93</w:t>
            </w:r>
            <w:r w:rsidR="00EC7959">
              <w:rPr>
                <w:noProof/>
                <w:webHidden/>
              </w:rPr>
              <w:fldChar w:fldCharType="end"/>
            </w:r>
          </w:hyperlink>
        </w:p>
        <w:p w14:paraId="685D7C8C" w14:textId="060650CA" w:rsidR="00EC7959" w:rsidRDefault="00280858">
          <w:pPr>
            <w:pStyle w:val="TOC2"/>
            <w:tabs>
              <w:tab w:val="right" w:pos="9016"/>
            </w:tabs>
            <w:rPr>
              <w:rFonts w:asciiTheme="minorHAnsi" w:eastAsiaTheme="minorEastAsia" w:hAnsiTheme="minorHAnsi" w:cstheme="minorBidi"/>
              <w:noProof/>
            </w:rPr>
          </w:pPr>
          <w:hyperlink w:anchor="_Toc117679943" w:history="1">
            <w:r w:rsidR="00EC7959" w:rsidRPr="002F77C4">
              <w:rPr>
                <w:rStyle w:val="Hyperlink"/>
                <w:rFonts w:ascii="Times New Roman" w:eastAsia="Times New Roman" w:hAnsi="Times New Roman" w:cs="Times New Roman"/>
                <w:noProof/>
              </w:rPr>
              <w:t xml:space="preserve">2.5. </w:t>
            </w:r>
            <w:r w:rsidR="00EC7959" w:rsidRPr="002F77C4">
              <w:rPr>
                <w:rStyle w:val="Hyperlink"/>
                <w:rFonts w:ascii="Times New Roman" w:eastAsia="Times New Roman" w:hAnsi="Times New Roman" w:cs="Times New Roman"/>
                <w:b/>
                <w:noProof/>
              </w:rPr>
              <w:t>Prioritatea 5</w:t>
            </w:r>
            <w:r w:rsidR="00EC7959" w:rsidRPr="002F77C4">
              <w:rPr>
                <w:rStyle w:val="Hyperlink"/>
                <w:rFonts w:ascii="Times New Roman" w:eastAsia="Times New Roman" w:hAnsi="Times New Roman" w:cs="Times New Roman"/>
                <w:noProof/>
              </w:rPr>
              <w:t xml:space="preserve"> - Creșterea atractivității transportului feroviar de călători</w:t>
            </w:r>
            <w:r w:rsidR="00EC7959">
              <w:rPr>
                <w:noProof/>
                <w:webHidden/>
              </w:rPr>
              <w:tab/>
            </w:r>
            <w:r w:rsidR="00EC7959">
              <w:rPr>
                <w:noProof/>
                <w:webHidden/>
              </w:rPr>
              <w:fldChar w:fldCharType="begin"/>
            </w:r>
            <w:r w:rsidR="00EC7959">
              <w:rPr>
                <w:noProof/>
                <w:webHidden/>
              </w:rPr>
              <w:instrText xml:space="preserve"> PAGEREF _Toc117679943 \h </w:instrText>
            </w:r>
            <w:r w:rsidR="00EC7959">
              <w:rPr>
                <w:noProof/>
                <w:webHidden/>
              </w:rPr>
            </w:r>
            <w:r w:rsidR="00EC7959">
              <w:rPr>
                <w:noProof/>
                <w:webHidden/>
              </w:rPr>
              <w:fldChar w:fldCharType="separate"/>
            </w:r>
            <w:r w:rsidR="00384F0A">
              <w:rPr>
                <w:noProof/>
                <w:webHidden/>
              </w:rPr>
              <w:t>112</w:t>
            </w:r>
            <w:r w:rsidR="00EC7959">
              <w:rPr>
                <w:noProof/>
                <w:webHidden/>
              </w:rPr>
              <w:fldChar w:fldCharType="end"/>
            </w:r>
          </w:hyperlink>
        </w:p>
        <w:p w14:paraId="657FECE9" w14:textId="6F84A73F" w:rsidR="00EC7959" w:rsidRDefault="00280858">
          <w:pPr>
            <w:pStyle w:val="TOC3"/>
            <w:tabs>
              <w:tab w:val="right" w:pos="9016"/>
            </w:tabs>
            <w:rPr>
              <w:rFonts w:asciiTheme="minorHAnsi" w:eastAsiaTheme="minorEastAsia" w:hAnsiTheme="minorHAnsi" w:cstheme="minorBidi"/>
              <w:noProof/>
            </w:rPr>
          </w:pPr>
          <w:hyperlink w:anchor="_Toc117679944" w:history="1">
            <w:r w:rsidR="00EC7959" w:rsidRPr="002F77C4">
              <w:rPr>
                <w:rStyle w:val="Hyperlink"/>
                <w:rFonts w:ascii="Times New Roman" w:eastAsia="Times New Roman" w:hAnsi="Times New Roman" w:cs="Times New Roman"/>
                <w:noProof/>
              </w:rPr>
              <w:t>2.5.1. Descrierea investițiilor</w:t>
            </w:r>
            <w:r w:rsidR="00EC7959">
              <w:rPr>
                <w:noProof/>
                <w:webHidden/>
              </w:rPr>
              <w:tab/>
            </w:r>
            <w:r w:rsidR="00EC7959">
              <w:rPr>
                <w:noProof/>
                <w:webHidden/>
              </w:rPr>
              <w:fldChar w:fldCharType="begin"/>
            </w:r>
            <w:r w:rsidR="00EC7959">
              <w:rPr>
                <w:noProof/>
                <w:webHidden/>
              </w:rPr>
              <w:instrText xml:space="preserve"> PAGEREF _Toc117679944 \h </w:instrText>
            </w:r>
            <w:r w:rsidR="00EC7959">
              <w:rPr>
                <w:noProof/>
                <w:webHidden/>
              </w:rPr>
            </w:r>
            <w:r w:rsidR="00EC7959">
              <w:rPr>
                <w:noProof/>
                <w:webHidden/>
              </w:rPr>
              <w:fldChar w:fldCharType="separate"/>
            </w:r>
            <w:r w:rsidR="00384F0A">
              <w:rPr>
                <w:noProof/>
                <w:webHidden/>
              </w:rPr>
              <w:t>112</w:t>
            </w:r>
            <w:r w:rsidR="00EC7959">
              <w:rPr>
                <w:noProof/>
                <w:webHidden/>
              </w:rPr>
              <w:fldChar w:fldCharType="end"/>
            </w:r>
          </w:hyperlink>
        </w:p>
        <w:p w14:paraId="77B08F9E" w14:textId="5AF45831" w:rsidR="00EC7959" w:rsidRDefault="00280858">
          <w:pPr>
            <w:pStyle w:val="TOC2"/>
            <w:tabs>
              <w:tab w:val="right" w:pos="9016"/>
            </w:tabs>
            <w:rPr>
              <w:rFonts w:asciiTheme="minorHAnsi" w:eastAsiaTheme="minorEastAsia" w:hAnsiTheme="minorHAnsi" w:cstheme="minorBidi"/>
              <w:noProof/>
            </w:rPr>
          </w:pPr>
          <w:hyperlink w:anchor="_Toc117679945" w:history="1">
            <w:r w:rsidR="00EC7959" w:rsidRPr="002F77C4">
              <w:rPr>
                <w:rStyle w:val="Hyperlink"/>
                <w:rFonts w:ascii="Times New Roman" w:eastAsia="Times New Roman" w:hAnsi="Times New Roman" w:cs="Times New Roman"/>
                <w:noProof/>
              </w:rPr>
              <w:t xml:space="preserve">2.6. </w:t>
            </w:r>
            <w:r w:rsidR="00EC7959" w:rsidRPr="002F77C4">
              <w:rPr>
                <w:rStyle w:val="Hyperlink"/>
                <w:rFonts w:ascii="Times New Roman" w:eastAsia="Times New Roman" w:hAnsi="Times New Roman" w:cs="Times New Roman"/>
                <w:b/>
                <w:noProof/>
              </w:rPr>
              <w:t>Prioritatea 6</w:t>
            </w:r>
            <w:r w:rsidR="00EC7959" w:rsidRPr="002F77C4">
              <w:rPr>
                <w:rStyle w:val="Hyperlink"/>
                <w:rFonts w:ascii="Times New Roman" w:eastAsia="Times New Roman" w:hAnsi="Times New Roman" w:cs="Times New Roman"/>
                <w:noProof/>
              </w:rPr>
              <w:t xml:space="preserve"> - Dezvoltarea mobilității sustenabile în nodurile urbane</w:t>
            </w:r>
            <w:r w:rsidR="00EC7959">
              <w:rPr>
                <w:noProof/>
                <w:webHidden/>
              </w:rPr>
              <w:tab/>
            </w:r>
            <w:r w:rsidR="00EC7959">
              <w:rPr>
                <w:noProof/>
                <w:webHidden/>
              </w:rPr>
              <w:fldChar w:fldCharType="begin"/>
            </w:r>
            <w:r w:rsidR="00EC7959">
              <w:rPr>
                <w:noProof/>
                <w:webHidden/>
              </w:rPr>
              <w:instrText xml:space="preserve"> PAGEREF _Toc117679945 \h </w:instrText>
            </w:r>
            <w:r w:rsidR="00EC7959">
              <w:rPr>
                <w:noProof/>
                <w:webHidden/>
              </w:rPr>
            </w:r>
            <w:r w:rsidR="00EC7959">
              <w:rPr>
                <w:noProof/>
                <w:webHidden/>
              </w:rPr>
              <w:fldChar w:fldCharType="separate"/>
            </w:r>
            <w:r w:rsidR="00384F0A">
              <w:rPr>
                <w:noProof/>
                <w:webHidden/>
              </w:rPr>
              <w:t>118</w:t>
            </w:r>
            <w:r w:rsidR="00EC7959">
              <w:rPr>
                <w:noProof/>
                <w:webHidden/>
              </w:rPr>
              <w:fldChar w:fldCharType="end"/>
            </w:r>
          </w:hyperlink>
        </w:p>
        <w:p w14:paraId="4B828C98" w14:textId="6A470B15" w:rsidR="00EC7959" w:rsidRDefault="00280858">
          <w:pPr>
            <w:pStyle w:val="TOC3"/>
            <w:tabs>
              <w:tab w:val="right" w:pos="9016"/>
            </w:tabs>
            <w:rPr>
              <w:rFonts w:asciiTheme="minorHAnsi" w:eastAsiaTheme="minorEastAsia" w:hAnsiTheme="minorHAnsi" w:cstheme="minorBidi"/>
              <w:noProof/>
            </w:rPr>
          </w:pPr>
          <w:hyperlink w:anchor="_Toc117679946" w:history="1">
            <w:r w:rsidR="00EC7959" w:rsidRPr="002F77C4">
              <w:rPr>
                <w:rStyle w:val="Hyperlink"/>
                <w:rFonts w:ascii="Times New Roman" w:eastAsia="Times New Roman" w:hAnsi="Times New Roman" w:cs="Times New Roman"/>
                <w:noProof/>
              </w:rPr>
              <w:t>2.6.1. Acțiuni finanțate</w:t>
            </w:r>
            <w:r w:rsidR="00EC7959">
              <w:rPr>
                <w:noProof/>
                <w:webHidden/>
              </w:rPr>
              <w:tab/>
            </w:r>
            <w:r w:rsidR="00EC7959">
              <w:rPr>
                <w:noProof/>
                <w:webHidden/>
              </w:rPr>
              <w:fldChar w:fldCharType="begin"/>
            </w:r>
            <w:r w:rsidR="00EC7959">
              <w:rPr>
                <w:noProof/>
                <w:webHidden/>
              </w:rPr>
              <w:instrText xml:space="preserve"> PAGEREF _Toc117679946 \h </w:instrText>
            </w:r>
            <w:r w:rsidR="00EC7959">
              <w:rPr>
                <w:noProof/>
                <w:webHidden/>
              </w:rPr>
            </w:r>
            <w:r w:rsidR="00EC7959">
              <w:rPr>
                <w:noProof/>
                <w:webHidden/>
              </w:rPr>
              <w:fldChar w:fldCharType="separate"/>
            </w:r>
            <w:r w:rsidR="00384F0A">
              <w:rPr>
                <w:noProof/>
                <w:webHidden/>
              </w:rPr>
              <w:t>118</w:t>
            </w:r>
            <w:r w:rsidR="00EC7959">
              <w:rPr>
                <w:noProof/>
                <w:webHidden/>
              </w:rPr>
              <w:fldChar w:fldCharType="end"/>
            </w:r>
          </w:hyperlink>
        </w:p>
        <w:p w14:paraId="6A588825" w14:textId="6A448C8A" w:rsidR="00EC7959" w:rsidRDefault="00280858">
          <w:pPr>
            <w:pStyle w:val="TOC2"/>
            <w:tabs>
              <w:tab w:val="right" w:pos="9016"/>
            </w:tabs>
            <w:rPr>
              <w:rFonts w:asciiTheme="minorHAnsi" w:eastAsiaTheme="minorEastAsia" w:hAnsiTheme="minorHAnsi" w:cstheme="minorBidi"/>
              <w:noProof/>
            </w:rPr>
          </w:pPr>
          <w:hyperlink w:anchor="_Toc117679947" w:history="1">
            <w:r w:rsidR="00EC7959" w:rsidRPr="002F77C4">
              <w:rPr>
                <w:rStyle w:val="Hyperlink"/>
                <w:rFonts w:ascii="Times New Roman" w:eastAsia="Times New Roman" w:hAnsi="Times New Roman" w:cs="Times New Roman"/>
                <w:noProof/>
              </w:rPr>
              <w:t xml:space="preserve">2.7. </w:t>
            </w:r>
            <w:r w:rsidR="00EC7959" w:rsidRPr="002F77C4">
              <w:rPr>
                <w:rStyle w:val="Hyperlink"/>
                <w:rFonts w:ascii="Times New Roman" w:eastAsia="Times New Roman" w:hAnsi="Times New Roman" w:cs="Times New Roman"/>
                <w:b/>
                <w:noProof/>
              </w:rPr>
              <w:t>Prioritatea 7</w:t>
            </w:r>
            <w:r w:rsidR="00EC7959" w:rsidRPr="002F77C4">
              <w:rPr>
                <w:rStyle w:val="Hyperlink"/>
                <w:rFonts w:ascii="Times New Roman" w:eastAsia="Times New Roman" w:hAnsi="Times New Roman" w:cs="Times New Roman"/>
                <w:noProof/>
              </w:rPr>
              <w:t xml:space="preserve"> - Dezvoltarea transportului naval și multimodal</w:t>
            </w:r>
            <w:r w:rsidR="00EC7959">
              <w:rPr>
                <w:noProof/>
                <w:webHidden/>
              </w:rPr>
              <w:tab/>
            </w:r>
            <w:r w:rsidR="00EC7959">
              <w:rPr>
                <w:noProof/>
                <w:webHidden/>
              </w:rPr>
              <w:fldChar w:fldCharType="begin"/>
            </w:r>
            <w:r w:rsidR="00EC7959">
              <w:rPr>
                <w:noProof/>
                <w:webHidden/>
              </w:rPr>
              <w:instrText xml:space="preserve"> PAGEREF _Toc117679947 \h </w:instrText>
            </w:r>
            <w:r w:rsidR="00EC7959">
              <w:rPr>
                <w:noProof/>
                <w:webHidden/>
              </w:rPr>
            </w:r>
            <w:r w:rsidR="00EC7959">
              <w:rPr>
                <w:noProof/>
                <w:webHidden/>
              </w:rPr>
              <w:fldChar w:fldCharType="separate"/>
            </w:r>
            <w:r w:rsidR="00384F0A">
              <w:rPr>
                <w:noProof/>
                <w:webHidden/>
              </w:rPr>
              <w:t>139</w:t>
            </w:r>
            <w:r w:rsidR="00EC7959">
              <w:rPr>
                <w:noProof/>
                <w:webHidden/>
              </w:rPr>
              <w:fldChar w:fldCharType="end"/>
            </w:r>
          </w:hyperlink>
        </w:p>
        <w:p w14:paraId="616BE6FB" w14:textId="71E83E7C" w:rsidR="00EC7959" w:rsidRDefault="00280858">
          <w:pPr>
            <w:pStyle w:val="TOC3"/>
            <w:tabs>
              <w:tab w:val="right" w:pos="9016"/>
            </w:tabs>
            <w:rPr>
              <w:rFonts w:asciiTheme="minorHAnsi" w:eastAsiaTheme="minorEastAsia" w:hAnsiTheme="minorHAnsi" w:cstheme="minorBidi"/>
              <w:noProof/>
            </w:rPr>
          </w:pPr>
          <w:hyperlink w:anchor="_Toc117679948" w:history="1">
            <w:r w:rsidR="00EC7959" w:rsidRPr="002F77C4">
              <w:rPr>
                <w:rStyle w:val="Hyperlink"/>
                <w:rFonts w:ascii="Times New Roman" w:eastAsia="Times New Roman" w:hAnsi="Times New Roman" w:cs="Times New Roman"/>
                <w:noProof/>
              </w:rPr>
              <w:t>2.7.1. Descrierea investițiilor</w:t>
            </w:r>
            <w:r w:rsidR="00EC7959">
              <w:rPr>
                <w:noProof/>
                <w:webHidden/>
              </w:rPr>
              <w:tab/>
            </w:r>
            <w:r w:rsidR="00EC7959">
              <w:rPr>
                <w:noProof/>
                <w:webHidden/>
              </w:rPr>
              <w:fldChar w:fldCharType="begin"/>
            </w:r>
            <w:r w:rsidR="00EC7959">
              <w:rPr>
                <w:noProof/>
                <w:webHidden/>
              </w:rPr>
              <w:instrText xml:space="preserve"> PAGEREF _Toc117679948 \h </w:instrText>
            </w:r>
            <w:r w:rsidR="00EC7959">
              <w:rPr>
                <w:noProof/>
                <w:webHidden/>
              </w:rPr>
            </w:r>
            <w:r w:rsidR="00EC7959">
              <w:rPr>
                <w:noProof/>
                <w:webHidden/>
              </w:rPr>
              <w:fldChar w:fldCharType="separate"/>
            </w:r>
            <w:r w:rsidR="00384F0A">
              <w:rPr>
                <w:noProof/>
                <w:webHidden/>
              </w:rPr>
              <w:t>139</w:t>
            </w:r>
            <w:r w:rsidR="00EC7959">
              <w:rPr>
                <w:noProof/>
                <w:webHidden/>
              </w:rPr>
              <w:fldChar w:fldCharType="end"/>
            </w:r>
          </w:hyperlink>
        </w:p>
        <w:p w14:paraId="03890879" w14:textId="4BFD414F" w:rsidR="00EC7959" w:rsidRDefault="00280858">
          <w:pPr>
            <w:pStyle w:val="TOC3"/>
            <w:tabs>
              <w:tab w:val="right" w:pos="9016"/>
            </w:tabs>
            <w:rPr>
              <w:rFonts w:asciiTheme="minorHAnsi" w:eastAsiaTheme="minorEastAsia" w:hAnsiTheme="minorHAnsi" w:cstheme="minorBidi"/>
              <w:noProof/>
            </w:rPr>
          </w:pPr>
          <w:hyperlink w:anchor="_Toc117679949" w:history="1">
            <w:r w:rsidR="00EC7959" w:rsidRPr="002F77C4">
              <w:rPr>
                <w:rStyle w:val="Hyperlink"/>
                <w:rFonts w:ascii="Times New Roman" w:eastAsia="Times New Roman" w:hAnsi="Times New Roman" w:cs="Times New Roman"/>
                <w:noProof/>
              </w:rPr>
              <w:t>2.7.2. Acțiuni finanțate</w:t>
            </w:r>
            <w:r w:rsidR="00EC7959">
              <w:rPr>
                <w:noProof/>
                <w:webHidden/>
              </w:rPr>
              <w:tab/>
            </w:r>
            <w:r w:rsidR="00EC7959">
              <w:rPr>
                <w:noProof/>
                <w:webHidden/>
              </w:rPr>
              <w:fldChar w:fldCharType="begin"/>
            </w:r>
            <w:r w:rsidR="00EC7959">
              <w:rPr>
                <w:noProof/>
                <w:webHidden/>
              </w:rPr>
              <w:instrText xml:space="preserve"> PAGEREF _Toc117679949 \h </w:instrText>
            </w:r>
            <w:r w:rsidR="00EC7959">
              <w:rPr>
                <w:noProof/>
                <w:webHidden/>
              </w:rPr>
            </w:r>
            <w:r w:rsidR="00EC7959">
              <w:rPr>
                <w:noProof/>
                <w:webHidden/>
              </w:rPr>
              <w:fldChar w:fldCharType="separate"/>
            </w:r>
            <w:r w:rsidR="00384F0A">
              <w:rPr>
                <w:noProof/>
                <w:webHidden/>
              </w:rPr>
              <w:t>139</w:t>
            </w:r>
            <w:r w:rsidR="00EC7959">
              <w:rPr>
                <w:noProof/>
                <w:webHidden/>
              </w:rPr>
              <w:fldChar w:fldCharType="end"/>
            </w:r>
          </w:hyperlink>
        </w:p>
        <w:p w14:paraId="14926C38" w14:textId="77777777"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1" w:name="_Toc117679927"/>
      <w:r>
        <w:rPr>
          <w:rFonts w:ascii="Times New Roman" w:eastAsia="Times New Roman" w:hAnsi="Times New Roman" w:cs="Times New Roman"/>
          <w:b/>
          <w:sz w:val="24"/>
          <w:szCs w:val="24"/>
        </w:rPr>
        <w:t>CAPITOLUL I: SCOP ȘI METODOLOGIE DE LUCRU</w:t>
      </w:r>
      <w:bookmarkEnd w:id="1"/>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Not Significant Harm”,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3E9871B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 după cum urmează:</w:t>
      </w:r>
    </w:p>
    <w:p w14:paraId="3A753A94" w14:textId="794F5EC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primare </w:t>
      </w:r>
      <w:r>
        <w:rPr>
          <w:rFonts w:ascii="Times New Roman" w:eastAsia="Times New Roman" w:hAnsi="Times New Roman" w:cs="Times New Roman"/>
          <w:b/>
          <w:sz w:val="24"/>
          <w:szCs w:val="24"/>
        </w:rPr>
        <w:t>rutiere</w:t>
      </w:r>
    </w:p>
    <w:p w14:paraId="3E5515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61346772" w14:textId="74F40EA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2</w:t>
      </w:r>
      <w:r>
        <w:rPr>
          <w:rFonts w:ascii="Times New Roman" w:eastAsia="Times New Roman" w:hAnsi="Times New Roman" w:cs="Times New Roman"/>
          <w:sz w:val="24"/>
          <w:szCs w:val="24"/>
        </w:rPr>
        <w:t xml:space="preserve"> - </w:t>
      </w:r>
      <w:r>
        <w:rPr>
          <w:rFonts w:ascii="Times New Roman" w:eastAsia="Times New Roman" w:hAnsi="Times New Roman" w:cs="Times New Roman"/>
          <w:b/>
          <w:sz w:val="24"/>
          <w:szCs w:val="24"/>
        </w:rPr>
        <w:t xml:space="preserve">Îmbunătățirea conectivității </w:t>
      </w:r>
      <w:r w:rsidR="00D9273B">
        <w:rPr>
          <w:rFonts w:ascii="Times New Roman" w:eastAsia="Times New Roman" w:hAnsi="Times New Roman" w:cs="Times New Roman"/>
          <w:b/>
          <w:sz w:val="24"/>
          <w:szCs w:val="24"/>
        </w:rPr>
        <w:t xml:space="preserve">secundare </w:t>
      </w:r>
      <w:r>
        <w:rPr>
          <w:rFonts w:ascii="Times New Roman" w:eastAsia="Times New Roman" w:hAnsi="Times New Roman" w:cs="Times New Roman"/>
          <w:b/>
          <w:sz w:val="24"/>
          <w:szCs w:val="24"/>
        </w:rPr>
        <w:t xml:space="preserve">rutiere </w:t>
      </w:r>
    </w:p>
    <w:p w14:paraId="3271680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43B1297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3.2 Dezvoltarea și creșterea unei mobilități naționale, regionale și locale durabile, reziliente la schimbările climatice, inteligente și intermodale, inclusiv îmbunătățirea accesului la TEN-T și a mobilității transfrontaliere;</w:t>
      </w:r>
    </w:p>
    <w:p w14:paraId="7E9182C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3 – Creșterea siguranței rutiere</w:t>
      </w:r>
    </w:p>
    <w:p w14:paraId="2F536C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2E69F0A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3.2 Dezvoltarea și creșterea unei mobilități naționale, regionale și locale durabile, reziliente la schimbările climatice, inteligente și intermodale, inclusiv îmbunătățirea accesului la TEN-T și a mobilității transfrontaliere;</w:t>
      </w:r>
    </w:p>
    <w:p w14:paraId="314255F7"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4 - Creșterea eficienței căilor ferate române</w:t>
      </w:r>
    </w:p>
    <w:p w14:paraId="58E8C50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74DAED9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5 - Creșterea atractivității transportului feroviar de călători</w:t>
      </w:r>
    </w:p>
    <w:p w14:paraId="0DD98A1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O.S. 3.2 Dezvoltarea și creșterea unei mobilități naționale, regionale și locale durabile, reziliente la schimbările climatice, inteligente și intermodale, inclusiv îmbunătățirea accesului la TEN-T și a mobilității transfrontaliere;</w:t>
      </w:r>
    </w:p>
    <w:p w14:paraId="6D93F5F6"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6 - Dezvoltarea mobilității sustenabile în nodurile urbane</w:t>
      </w:r>
    </w:p>
    <w:p w14:paraId="604FDB7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2.8 Promovarea mobilității urbane multimodale durabile, ca parte a tranziției către o economie cu zero emisii de dioxid de carbon;</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7 - Dezvoltarea transportului naval și multimodal</w:t>
      </w:r>
    </w:p>
    <w:p w14:paraId="2B88E1B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p>
    <w:p w14:paraId="3D48A0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Prioritatea 7 - Asistență tehnică</w:t>
      </w:r>
    </w:p>
    <w:p w14:paraId="2631A3EA" w14:textId="77777777" w:rsidR="0001312F" w:rsidRDefault="0067039D">
      <w:pPr>
        <w:pStyle w:val="Heading2"/>
        <w:tabs>
          <w:tab w:val="left" w:pos="720"/>
        </w:tabs>
        <w:spacing w:line="276" w:lineRule="auto"/>
        <w:ind w:right="360" w:hanging="2"/>
        <w:jc w:val="both"/>
        <w:rPr>
          <w:rFonts w:ascii="Times New Roman" w:eastAsia="Times New Roman" w:hAnsi="Times New Roman" w:cs="Times New Roman"/>
          <w:sz w:val="24"/>
          <w:szCs w:val="24"/>
        </w:rPr>
      </w:pPr>
      <w:bookmarkStart w:id="2" w:name="_Toc117679928"/>
      <w:r>
        <w:rPr>
          <w:rFonts w:ascii="Times New Roman" w:eastAsia="Times New Roman" w:hAnsi="Times New Roman" w:cs="Times New Roman"/>
          <w:sz w:val="24"/>
          <w:szCs w:val="24"/>
        </w:rPr>
        <w:t>1.2.  Metodologia de lucru - Abordare generală</w:t>
      </w:r>
      <w:bookmarkEnd w:id="2"/>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menţinerea şi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Not Significant Harm)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ţinând cont de toate presiunile existente şi potenţialele ameninţări asupra mediului, incluzând măsuri pentru reducerea / evitarea impacturilor semnificative. O atenţie importantă va fi acordată implementării infrastructurii combustibililor alternativi și refacerii conectivităţii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67C9EC0D" w14:textId="77777777" w:rsidR="0001312F" w:rsidRDefault="0001312F">
      <w:pPr>
        <w:jc w:val="both"/>
        <w:rPr>
          <w:rFonts w:ascii="Times New Roman" w:eastAsia="Times New Roman" w:hAnsi="Times New Roman" w:cs="Times New Roman"/>
          <w:sz w:val="24"/>
          <w:szCs w:val="24"/>
        </w:rPr>
      </w:pPr>
    </w:p>
    <w:p w14:paraId="48719646" w14:textId="77777777" w:rsidR="0001312F" w:rsidRDefault="0001312F">
      <w:pPr>
        <w:jc w:val="both"/>
        <w:rPr>
          <w:rFonts w:ascii="Times New Roman" w:eastAsia="Times New Roman" w:hAnsi="Times New Roman" w:cs="Times New Roman"/>
          <w:sz w:val="24"/>
          <w:szCs w:val="24"/>
        </w:rPr>
      </w:pPr>
    </w:p>
    <w:p w14:paraId="489ED651"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3" w:name="_Toc117679929"/>
      <w:r>
        <w:rPr>
          <w:rFonts w:ascii="Times New Roman" w:eastAsia="Times New Roman" w:hAnsi="Times New Roman" w:cs="Times New Roman"/>
          <w:b/>
          <w:sz w:val="24"/>
          <w:szCs w:val="24"/>
        </w:rPr>
        <w:lastRenderedPageBreak/>
        <w:t>CAPITOLUL II: ANALIZA ”DO NOT SIGNIFICANT HARM” (DNSH)</w:t>
      </w:r>
      <w:bookmarkEnd w:id="3"/>
    </w:p>
    <w:p w14:paraId="71BAF631" w14:textId="77777777" w:rsidR="0001312F" w:rsidRDefault="0067039D">
      <w:pPr>
        <w:pStyle w:val="Heading2"/>
        <w:tabs>
          <w:tab w:val="left" w:pos="8460"/>
        </w:tabs>
        <w:spacing w:before="120" w:line="276" w:lineRule="auto"/>
        <w:ind w:right="360" w:hanging="2"/>
        <w:jc w:val="both"/>
        <w:rPr>
          <w:rFonts w:ascii="Times New Roman" w:eastAsia="Times New Roman" w:hAnsi="Times New Roman" w:cs="Times New Roman"/>
          <w:sz w:val="24"/>
          <w:szCs w:val="24"/>
        </w:rPr>
      </w:pPr>
      <w:bookmarkStart w:id="4" w:name="_Toc117679930"/>
      <w:r>
        <w:rPr>
          <w:rFonts w:ascii="Times New Roman" w:eastAsia="Times New Roman" w:hAnsi="Times New Roman" w:cs="Times New Roman"/>
          <w:sz w:val="24"/>
          <w:szCs w:val="24"/>
        </w:rPr>
        <w:t xml:space="preserve">2.1. </w:t>
      </w:r>
      <w:r>
        <w:rPr>
          <w:rFonts w:ascii="Times New Roman" w:eastAsia="Times New Roman" w:hAnsi="Times New Roman" w:cs="Times New Roman"/>
          <w:b/>
          <w:sz w:val="24"/>
          <w:szCs w:val="24"/>
        </w:rPr>
        <w:t>Prioritatea 1</w:t>
      </w:r>
      <w:r>
        <w:rPr>
          <w:rFonts w:ascii="Times New Roman" w:eastAsia="Times New Roman" w:hAnsi="Times New Roman" w:cs="Times New Roman"/>
          <w:sz w:val="24"/>
          <w:szCs w:val="24"/>
        </w:rPr>
        <w:t xml:space="preserve"> - Îmbunătățirea conectivității rutiere primare</w:t>
      </w:r>
      <w:bookmarkEnd w:id="4"/>
    </w:p>
    <w:p w14:paraId="2C83BA93"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5" w:name="_Toc117679931"/>
      <w:r>
        <w:rPr>
          <w:rFonts w:ascii="Times New Roman" w:eastAsia="Times New Roman" w:hAnsi="Times New Roman" w:cs="Times New Roman"/>
        </w:rPr>
        <w:t>2.1.1. Descrierea investițiilor</w:t>
      </w:r>
      <w:bookmarkEnd w:id="5"/>
      <w:r>
        <w:rPr>
          <w:rFonts w:ascii="Times New Roman" w:eastAsia="Times New Roman" w:hAnsi="Times New Roman" w:cs="Times New Roman"/>
        </w:rPr>
        <w:t xml:space="preserve"> </w:t>
      </w:r>
    </w:p>
    <w:p w14:paraId="54996E25" w14:textId="77777777" w:rsidR="0001312F" w:rsidRDefault="0001312F">
      <w:pPr>
        <w:rPr>
          <w:rFonts w:ascii="Times New Roman" w:eastAsia="Times New Roman" w:hAnsi="Times New Roman" w:cs="Times New Roman"/>
          <w:sz w:val="24"/>
          <w:szCs w:val="24"/>
        </w:rPr>
      </w:pPr>
    </w:p>
    <w:p w14:paraId="1D236BF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Acțiunile cuprinse în această prioritate vor sprijini prioritățile politice de la nivelul UE și al României sintetizate în cadrul Programul Investițional pentru investiții în infrastructura de transport 2021 – 2030 și anume recuperarea în mod sustenabil a decalajului de dezvoltare în domeniul infrastructurii rutiere și asigurarea conectivității cu restul UE, precum și între regiunile României, prin realizarea rețelei primare de infrastructură rutieră de mare viteză și creșterea sustenabilă a accesibilității regiunilor și nodurilor urbane. Implementarea acestor proiecte se va face cu respectarea măsurilor de reziliență la schimbările climatice și de conservare a biodiversității.</w:t>
      </w:r>
    </w:p>
    <w:p w14:paraId="72F2AD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Programul investițional pentru dezvoltarea infrastructurii de transport a României pe perioada 2021-2030, document ce actualizează strategia de implementare a MPGT a introdus conceptele de rețea primară, secundară și terțiară ca principale categorii de definire a importanței legăturilor de transport ale României cu vecinii, precum și între regiunile sale.</w:t>
      </w:r>
    </w:p>
    <w:p w14:paraId="63099E0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Rețeaua primară la nivelul României este întinsă, cu preponderență, pe aliniamentul rețelei TEN-T centrale și TEN-T globale și are rolul de a canaliza politicile și investițiile naționale către acele secțiuni de rețea rutieră care, din punct de vedere al scopului și al utilității, alcătuiesc sectorul principal al rețelei naționale. </w:t>
      </w:r>
    </w:p>
    <w:p w14:paraId="0300213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Rețeaua rutieră primară conectează toate regiunile de dezvoltare și cei mai importanți poli de creștere economică din România. Aceasta acoperă echilibrat teritoriul României și reprezentă un veritabil motor de dezvoltare economică națională și regională, care poate dinamiza investițiile, generând efecte benefice directe asupra îmbunătățirii calității vieții locuitorilor României.</w:t>
      </w:r>
    </w:p>
    <w:p w14:paraId="370767C4" w14:textId="77777777" w:rsidR="0001312F" w:rsidRDefault="0067039D">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32249ECD"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fazate din perioada 2014-2020:</w:t>
      </w:r>
    </w:p>
    <w:p w14:paraId="41ECEBB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Sibiu-Piteşti (loturile 1,4,5);</w:t>
      </w:r>
    </w:p>
    <w:p w14:paraId="391BFC76"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Centură București Sud și proiectele conexe;</w:t>
      </w:r>
    </w:p>
    <w:p w14:paraId="01B1160F"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Drum de mare viteză Pitești-Craiova;</w:t>
      </w:r>
    </w:p>
    <w:p w14:paraId="01A7F31A"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Transilvania.</w:t>
      </w:r>
    </w:p>
    <w:p w14:paraId="2325E206" w14:textId="77777777" w:rsidR="0001312F" w:rsidRDefault="0001312F">
      <w:pPr>
        <w:spacing w:after="0"/>
        <w:ind w:firstLine="1440"/>
        <w:jc w:val="both"/>
        <w:rPr>
          <w:rFonts w:ascii="Times New Roman" w:eastAsia="Times New Roman" w:hAnsi="Times New Roman" w:cs="Times New Roman"/>
          <w:sz w:val="24"/>
          <w:szCs w:val="24"/>
        </w:rPr>
      </w:pPr>
    </w:p>
    <w:p w14:paraId="7F5CC5C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 de investiţii:</w:t>
      </w:r>
    </w:p>
    <w:p w14:paraId="251C6CE7"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Piteşti-Sibiu (loturile 2,3);</w:t>
      </w:r>
    </w:p>
    <w:p w14:paraId="4E8A90B1"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Ploieşti-Comarnic-Braşov;</w:t>
      </w:r>
    </w:p>
    <w:p w14:paraId="34DDA7A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Sibiu – Brașov;</w:t>
      </w:r>
    </w:p>
    <w:p w14:paraId="3676555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Arad – Oradea;</w:t>
      </w:r>
    </w:p>
    <w:p w14:paraId="74B5AF7E"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București - Alexandria (faza 1 din București - Craiova);</w:t>
      </w:r>
    </w:p>
    <w:p w14:paraId="791A6563"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Orbital București (drumurile de centură și drumurile de conectivitate)</w:t>
      </w:r>
    </w:p>
    <w:p w14:paraId="04B08779"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 Neamț - Iași - Ungheni (Moțca - Ungheni);</w:t>
      </w:r>
    </w:p>
    <w:p w14:paraId="0349CDD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Brașov - Bacău (inclusiv Bypass Brașov Nord);</w:t>
      </w:r>
    </w:p>
    <w:p w14:paraId="416AF412"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Legătura rutieră rapidă  Pașcani - Suceava – Siret;</w:t>
      </w:r>
    </w:p>
    <w:p w14:paraId="3F222225"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Autostrada Tg.Mureș - Tg. Neamț (faza 1 din Miercurea Nirajului - Leghin);</w:t>
      </w:r>
    </w:p>
    <w:p w14:paraId="1B84BA7D"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Craiova - Filiaşi - Dr.Tr.Severin (faza 1);</w:t>
      </w:r>
    </w:p>
    <w:p w14:paraId="4DF3071B" w14:textId="77777777" w:rsidR="0001312F" w:rsidRDefault="0067039D">
      <w:pPr>
        <w:spacing w:after="0"/>
        <w:ind w:firstLine="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Dr.Tr.Severin - Caransebeș - Lugoj (faza 1).</w:t>
      </w:r>
    </w:p>
    <w:p w14:paraId="7F646B66" w14:textId="77777777" w:rsidR="0001312F" w:rsidRDefault="0001312F">
      <w:pPr>
        <w:spacing w:after="0"/>
        <w:ind w:firstLine="708"/>
        <w:jc w:val="both"/>
        <w:rPr>
          <w:rFonts w:ascii="Times New Roman" w:eastAsia="Times New Roman" w:hAnsi="Times New Roman" w:cs="Times New Roman"/>
          <w:sz w:val="24"/>
          <w:szCs w:val="24"/>
        </w:rPr>
      </w:pPr>
    </w:p>
    <w:p w14:paraId="4A792B07"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257498DE"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Timișoara – Moravița;</w:t>
      </w:r>
    </w:p>
    <w:p w14:paraId="051930A7"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Macin - Tulcea - Constanta (faza 1);</w:t>
      </w:r>
    </w:p>
    <w:p w14:paraId="326C2C65"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Dej - Baia Mare – Halmeu;</w:t>
      </w:r>
    </w:p>
    <w:p w14:paraId="7AEFDB3B" w14:textId="77777777" w:rsidR="0001312F" w:rsidRDefault="0067039D">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Baia Mare - Satu Mare;</w:t>
      </w:r>
    </w:p>
    <w:p w14:paraId="2EA75C7B" w14:textId="52101221" w:rsidR="0001312F" w:rsidRDefault="0067039D" w:rsidP="008F11C9">
      <w:pPr>
        <w:spacing w:after="0"/>
        <w:ind w:left="1620" w:hanging="1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Legătura rutieră rapidă  Cluj-Napoca (Apahida) – Dej</w:t>
      </w:r>
      <w:r w:rsidR="00593E9F">
        <w:rPr>
          <w:rFonts w:ascii="Times New Roman" w:eastAsia="Times New Roman" w:hAnsi="Times New Roman" w:cs="Times New Roman"/>
          <w:sz w:val="24"/>
          <w:szCs w:val="24"/>
        </w:rPr>
        <w:t>.</w:t>
      </w:r>
    </w:p>
    <w:p w14:paraId="6593B6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aceste sectoare de infrastructură se va urmări, inclusiv, dezvoltarea sistemelor de transport inteligente, care să permită comunicarea infrastructurii cu vehiculele ecologice, de generaţie nouă, echipate cu componente digitale (vehiculele “inteligente”), sprijinind astfel tranziţia către o mobilitate mai curată, mai sigură și mai conectată.</w:t>
      </w:r>
    </w:p>
    <w:p w14:paraId="6EDA6657" w14:textId="77777777" w:rsidR="0001312F" w:rsidRDefault="0001312F">
      <w:pPr>
        <w:ind w:firstLine="708"/>
        <w:jc w:val="both"/>
        <w:rPr>
          <w:rFonts w:ascii="Times New Roman" w:eastAsia="Times New Roman" w:hAnsi="Times New Roman" w:cs="Times New Roman"/>
          <w:sz w:val="24"/>
          <w:szCs w:val="24"/>
        </w:rPr>
      </w:pPr>
    </w:p>
    <w:p w14:paraId="4B950AB2"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6" w:name="_Toc117679932"/>
      <w:r>
        <w:rPr>
          <w:rFonts w:ascii="Times New Roman" w:eastAsia="Times New Roman" w:hAnsi="Times New Roman" w:cs="Times New Roman"/>
        </w:rPr>
        <w:t>2.1.2. Metodologia specifica pentru evaluarea DNSH în cazul proiectelor de infrastructură rutieră</w:t>
      </w:r>
      <w:bookmarkEnd w:id="6"/>
    </w:p>
    <w:p w14:paraId="2FC82881" w14:textId="77777777" w:rsidR="0001312F" w:rsidRDefault="0001312F">
      <w:pPr>
        <w:rPr>
          <w:rFonts w:ascii="Times New Roman" w:eastAsia="Times New Roman" w:hAnsi="Times New Roman" w:cs="Times New Roman"/>
          <w:sz w:val="24"/>
          <w:szCs w:val="24"/>
        </w:rPr>
      </w:pPr>
    </w:p>
    <w:p w14:paraId="2CC6AE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este angajată, alături de celelalte State membre, în dezvoltarea sustenabilă a sectorului de transport, acordând o atenție deosebită impactului asupra mediului, climei și schimbărilor climatice.</w:t>
      </w:r>
    </w:p>
    <w:p w14:paraId="5D22972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Elementul central al evaluării DNSH pentru proiectele de infrastructură rutieră de transport este reprezentat de către obiectivul 1 ce adresează efectele emisiilor de gaze cu efect de seră ale mijloacelor de transport care utilizează infrastructura rutieră. </w:t>
      </w:r>
    </w:p>
    <w:p w14:paraId="130DCE1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cuantificarea emisiilor de gaze cu efect de seră, în particular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pentru infrastructura rutieră, s-a utilizat un model de calcul bazat pe metodologia realizării Analizelor Cost-Beneficiu pentru proiectele europene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Metodologia a fost validată de BEI și analiza a fost realizată cu sprijinul experților BEI-PASSA, urmând modelul utilizat si in PNRR.</w:t>
      </w:r>
    </w:p>
    <w:p w14:paraId="13A947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urmare, prezentăm mai jos pașii metodologici urmați în determinarea volumului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 precizarea că s-a utilizat un calcul incremental (varianta fără proiect – varianta cu proiect):</w:t>
      </w:r>
    </w:p>
    <w:p w14:paraId="6016306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1. Determinarea nivelurilor de trafic (parcursului autovehiculelor - veh-km).</w:t>
      </w:r>
      <w:r>
        <w:rPr>
          <w:rFonts w:ascii="Times New Roman" w:eastAsia="Times New Roman" w:hAnsi="Times New Roman" w:cs="Times New Roman"/>
          <w:sz w:val="24"/>
          <w:szCs w:val="24"/>
        </w:rPr>
        <w:t xml:space="preserve"> </w:t>
      </w:r>
    </w:p>
    <w:p w14:paraId="4E4CC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gaze cu efect de seră (emisiile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utilizat un model matematic de prognoză a traficului măsurat în vehicul-km. Parcursul autovehiculelor, pe clase de vehicule (autoturisme, vehicule ușoare de marfă, vehicule grele de marfă, autobuze) a fost determinat pe baza modelului aferent sectorul rutier preluat din modelul Master Planului General de Transport al României și gestionat de Centrul de Studii Tehnice Rutiere şi Informatică (CESTRIN). Modelul rutier de transport este calibrat și validat la nivelul anului de bază (2017), atât din punctul de vedere al volumelor de trafic, cât și din punctul de vedere din punct de vedere al vitezelor de circulație și are ipoteze realiste în ceea ce privește traficul de </w:t>
      </w:r>
      <w:r>
        <w:rPr>
          <w:rFonts w:ascii="Times New Roman" w:eastAsia="Times New Roman" w:hAnsi="Times New Roman" w:cs="Times New Roman"/>
          <w:sz w:val="24"/>
          <w:szCs w:val="24"/>
        </w:rPr>
        <w:lastRenderedPageBreak/>
        <w:t xml:space="preserve">perspectivă. Calibrarea și validarea modelului de transport a fost verificată de </w:t>
      </w:r>
      <w:r>
        <w:rPr>
          <w:rFonts w:ascii="Times New Roman" w:eastAsia="Times New Roman" w:hAnsi="Times New Roman" w:cs="Times New Roman"/>
          <w:i/>
          <w:sz w:val="24"/>
          <w:szCs w:val="24"/>
        </w:rPr>
        <w:t>Joint Assistance to Support Projects in European Regions (JASPERS)</w:t>
      </w:r>
      <w:r>
        <w:rPr>
          <w:rFonts w:ascii="Times New Roman" w:eastAsia="Times New Roman" w:hAnsi="Times New Roman" w:cs="Times New Roman"/>
          <w:sz w:val="24"/>
          <w:szCs w:val="24"/>
        </w:rPr>
        <w:t xml:space="preserve"> conform Notei de rezultat (Completion Note) din 19 Iunie 2019 (SG/AS-JASPERS/2019 -821/PS/AA/AS/ao).</w:t>
      </w:r>
    </w:p>
    <w:p w14:paraId="735B4EF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2. Determinarea consumului de carburant.</w:t>
      </w:r>
      <w:r>
        <w:rPr>
          <w:rFonts w:ascii="Times New Roman" w:eastAsia="Times New Roman" w:hAnsi="Times New Roman" w:cs="Times New Roman"/>
          <w:sz w:val="24"/>
          <w:szCs w:val="24"/>
        </w:rPr>
        <w:t xml:space="preserve"> </w:t>
      </w:r>
    </w:p>
    <w:p w14:paraId="10F215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consumului de carburant s-a luat în considerare parcursul autovehiculelor și vitezele de circulație din modelul de transport, precum și compoziția parcului de autovehicule la nivel național (la 31.12.2018), amendată de analiza realizată de BEI – PASSA</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pentru evoluția parcului de vehicule electrice. </w:t>
      </w:r>
    </w:p>
    <w:p w14:paraId="3231B3B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determina consumul de carburant s-au utilizat parametrii referitori la dimensiunea și compoziția parcului de autovehicule din România și combustibilul necesar propulsiei acestora. Evoluția parcului de autovehicule din România, precum și evoluția cotei de vehicule electrice în total parc auto sunt prezentate în graficele de mai jos (Figura 1 și 2).</w:t>
      </w:r>
    </w:p>
    <w:p w14:paraId="37C93A9E" w14:textId="77777777" w:rsidR="0001312F" w:rsidRDefault="0001312F">
      <w:pPr>
        <w:rPr>
          <w:rFonts w:ascii="Times New Roman" w:eastAsia="Times New Roman" w:hAnsi="Times New Roman" w:cs="Times New Roman"/>
          <w:sz w:val="24"/>
          <w:szCs w:val="24"/>
        </w:rPr>
      </w:pPr>
    </w:p>
    <w:p w14:paraId="3DDA9AE3"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0F5BBCF4" wp14:editId="4D6C89AC">
            <wp:extent cx="4864735" cy="2616200"/>
            <wp:effectExtent l="0" t="0" r="0" b="0"/>
            <wp:docPr id="1147" name="Diagramă 11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74C7FE"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1: Evoluția parcului de autovehicule din România</w:t>
      </w:r>
    </w:p>
    <w:p w14:paraId="4929005D"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44FFC641" w14:textId="77777777" w:rsidR="0001312F" w:rsidRDefault="0001312F">
      <w:pPr>
        <w:rPr>
          <w:rFonts w:ascii="Times New Roman" w:eastAsia="Times New Roman" w:hAnsi="Times New Roman" w:cs="Times New Roman"/>
          <w:i/>
          <w:sz w:val="24"/>
          <w:szCs w:val="24"/>
        </w:rPr>
      </w:pPr>
    </w:p>
    <w:p w14:paraId="2365769E"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114300" distR="114300" wp14:anchorId="57EA6BB1" wp14:editId="573247D5">
            <wp:extent cx="4923155" cy="2362200"/>
            <wp:effectExtent l="0" t="0" r="0" b="0"/>
            <wp:docPr id="1146" name="Diagramă 11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6845E6C" w14:textId="77777777"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2: Evoluția cotei de vehicule electrice în total parc auto</w:t>
      </w:r>
    </w:p>
    <w:p w14:paraId="1F27129A" w14:textId="77777777" w:rsidR="0001312F" w:rsidRDefault="0067039D">
      <w:pPr>
        <w:spacing w:after="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CBA File – EIB PASSA (Anexa nr. 1)</w:t>
      </w:r>
    </w:p>
    <w:p w14:paraId="39016EB8" w14:textId="77777777" w:rsidR="0001312F" w:rsidRDefault="0001312F">
      <w:pPr>
        <w:rPr>
          <w:rFonts w:ascii="Times New Roman" w:eastAsia="Times New Roman" w:hAnsi="Times New Roman" w:cs="Times New Roman"/>
          <w:i/>
          <w:sz w:val="24"/>
          <w:szCs w:val="24"/>
        </w:rPr>
      </w:pPr>
    </w:p>
    <w:p w14:paraId="07015B58" w14:textId="77777777" w:rsidR="0001312F" w:rsidRDefault="0001312F">
      <w:pPr>
        <w:rPr>
          <w:rFonts w:ascii="Times New Roman" w:eastAsia="Times New Roman" w:hAnsi="Times New Roman" w:cs="Times New Roman"/>
          <w:i/>
          <w:sz w:val="24"/>
          <w:szCs w:val="24"/>
        </w:rPr>
      </w:pPr>
    </w:p>
    <w:p w14:paraId="5A19F1E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Calcularea consumului de carburant în funcție de viteză</w:t>
      </w:r>
    </w:p>
    <w:p w14:paraId="3062B1FE" w14:textId="36BFBA8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funcție de tipul de autovehicul și de distanța și viteza de pe link-ul din cadrul modelului se calculează consumul de carburant. Un grafic care sintetizează funcțiile de consum utilizate la analiza impactului investițiilor în infrastructura rutieră din cadrul </w:t>
      </w:r>
      <w:r w:rsidR="009C4062">
        <w:rPr>
          <w:rFonts w:ascii="Times New Roman" w:eastAsia="Times New Roman" w:hAnsi="Times New Roman" w:cs="Times New Roman"/>
          <w:sz w:val="24"/>
          <w:szCs w:val="24"/>
        </w:rPr>
        <w:t>PT</w:t>
      </w:r>
      <w:r w:rsidR="008852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este prezentat mai jos (Figura 3).</w:t>
      </w:r>
    </w:p>
    <w:p w14:paraId="55532D25" w14:textId="77777777" w:rsidR="0001312F" w:rsidRDefault="0067039D">
      <w:pPr>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114300" distR="114300" wp14:anchorId="3EFA8AC0" wp14:editId="2CA9AF75">
            <wp:extent cx="5170170" cy="2768600"/>
            <wp:effectExtent l="0" t="0" r="0" b="0"/>
            <wp:docPr id="1148" name="Diagramă 11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2F7D668" w14:textId="7463A515" w:rsidR="0001312F" w:rsidRDefault="0067039D">
      <w:pPr>
        <w:spacing w:after="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Figura 3: Funcțiile de consum utilizate la analiza impactului investițiilor în infrastructura rutieră din cadrul PT</w:t>
      </w:r>
    </w:p>
    <w:p w14:paraId="28E93830" w14:textId="77777777" w:rsidR="0001312F" w:rsidRDefault="0067039D">
      <w:pPr>
        <w:spacing w:after="0"/>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Sursa: CBA File – EIB PASSA (Anexa nr. 2)</w:t>
      </w:r>
    </w:p>
    <w:p w14:paraId="161D4C34" w14:textId="77777777" w:rsidR="0001312F" w:rsidRDefault="0001312F">
      <w:pPr>
        <w:rPr>
          <w:rFonts w:ascii="Times New Roman" w:eastAsia="Times New Roman" w:hAnsi="Times New Roman" w:cs="Times New Roman"/>
          <w:i/>
          <w:sz w:val="24"/>
          <w:szCs w:val="24"/>
        </w:rPr>
      </w:pPr>
    </w:p>
    <w:p w14:paraId="7D01144B" w14:textId="77777777" w:rsidR="0001312F" w:rsidRDefault="0067039D">
      <w:pPr>
        <w:numPr>
          <w:ilvl w:val="0"/>
          <w:numId w:val="14"/>
        </w:numPr>
        <w:ind w:left="0" w:hanging="2"/>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Determinarea cantității totale de carburant utilizate într-un an.</w:t>
      </w:r>
    </w:p>
    <w:p w14:paraId="2D74844C" w14:textId="2DC100E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Multiplicarea parcursului km cu consumul de carburant x 365 zile oferă totalul cantității de combustibil utilizați într-un an de zile. De reținut că volumul de trafic pentru acțiunile prioritare din PT se realizează prin rularea modelului „fără” și „cu” proiect și calculul se realizează pe diferența incrementală.</w:t>
      </w:r>
    </w:p>
    <w:p w14:paraId="6A04259C" w14:textId="77777777" w:rsidR="0001312F" w:rsidRDefault="0001312F">
      <w:pPr>
        <w:rPr>
          <w:rFonts w:ascii="Times New Roman" w:eastAsia="Times New Roman" w:hAnsi="Times New Roman" w:cs="Times New Roman"/>
          <w:sz w:val="24"/>
          <w:szCs w:val="24"/>
        </w:rPr>
      </w:pPr>
    </w:p>
    <w:p w14:paraId="3C23AEE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3. Determinarea emisiilor de CO</w:t>
      </w:r>
      <w:r>
        <w:rPr>
          <w:rFonts w:ascii="Times New Roman" w:eastAsia="Times New Roman" w:hAnsi="Times New Roman" w:cs="Times New Roman"/>
          <w:b/>
          <w:sz w:val="24"/>
          <w:szCs w:val="24"/>
          <w:vertAlign w:val="subscript"/>
        </w:rPr>
        <w:t>2</w:t>
      </w:r>
    </w:p>
    <w:p w14:paraId="3FF8EC7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La determinarea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s-au utilizat parametrii recomandați de Agenția Europeană de Mediu bazați pe consumul de carburant astfel (Tabelul 1): </w:t>
      </w:r>
    </w:p>
    <w:tbl>
      <w:tblPr>
        <w:tblStyle w:val="a"/>
        <w:tblW w:w="6945" w:type="dxa"/>
        <w:jc w:val="center"/>
        <w:tblBorders>
          <w:top w:val="single" w:sz="6" w:space="0" w:color="000000"/>
          <w:left w:val="single" w:sz="6" w:space="0" w:color="000000"/>
          <w:bottom w:val="single" w:sz="6" w:space="0" w:color="000000"/>
          <w:right w:val="single" w:sz="6" w:space="0" w:color="000000"/>
          <w:insideH w:val="single" w:sz="18" w:space="0" w:color="FFFFFF"/>
          <w:insideV w:val="single" w:sz="18" w:space="0" w:color="FFFFFF"/>
        </w:tblBorders>
        <w:tblLayout w:type="fixed"/>
        <w:tblLook w:val="0000" w:firstRow="0" w:lastRow="0" w:firstColumn="0" w:lastColumn="0" w:noHBand="0" w:noVBand="0"/>
      </w:tblPr>
      <w:tblGrid>
        <w:gridCol w:w="870"/>
        <w:gridCol w:w="2670"/>
        <w:gridCol w:w="1422"/>
        <w:gridCol w:w="1983"/>
      </w:tblGrid>
      <w:tr w:rsidR="0001312F" w14:paraId="379AE541" w14:textId="77777777">
        <w:trPr>
          <w:trHeight w:val="290"/>
          <w:jc w:val="center"/>
        </w:trPr>
        <w:tc>
          <w:tcPr>
            <w:tcW w:w="870" w:type="dxa"/>
            <w:tcBorders>
              <w:top w:val="nil"/>
              <w:left w:val="nil"/>
              <w:bottom w:val="single" w:sz="4" w:space="0" w:color="000000"/>
              <w:right w:val="nil"/>
            </w:tcBorders>
          </w:tcPr>
          <w:p w14:paraId="4B938ACF" w14:textId="77777777" w:rsidR="0001312F" w:rsidRDefault="0001312F">
            <w:pPr>
              <w:rPr>
                <w:rFonts w:ascii="Times New Roman" w:eastAsia="Times New Roman" w:hAnsi="Times New Roman" w:cs="Times New Roman"/>
                <w:b/>
                <w:i/>
                <w:sz w:val="24"/>
                <w:szCs w:val="24"/>
              </w:rPr>
            </w:pPr>
          </w:p>
        </w:tc>
        <w:tc>
          <w:tcPr>
            <w:tcW w:w="6075" w:type="dxa"/>
            <w:gridSpan w:val="3"/>
            <w:tcBorders>
              <w:top w:val="nil"/>
              <w:left w:val="nil"/>
              <w:bottom w:val="single" w:sz="4" w:space="0" w:color="000000"/>
              <w:right w:val="nil"/>
            </w:tcBorders>
          </w:tcPr>
          <w:p w14:paraId="76410648" w14:textId="77777777" w:rsidR="0001312F" w:rsidRDefault="0067039D">
            <w:pPr>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Tabelul 1. Metoda Tier 1</w:t>
            </w:r>
          </w:p>
        </w:tc>
      </w:tr>
      <w:tr w:rsidR="0001312F" w14:paraId="32E2CD09"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4C59B412"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285DFEF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390C11B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1F0F8EB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kg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736CD401"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1E0A1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ADB1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81AFD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438C5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3.180</w:t>
            </w:r>
          </w:p>
        </w:tc>
      </w:tr>
      <w:tr w:rsidR="0001312F" w14:paraId="47E2F86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0E0CB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0BC1E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toate tipurile de vehicule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51A45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BDA11A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3.140</w:t>
            </w:r>
          </w:p>
        </w:tc>
      </w:tr>
      <w:tr w:rsidR="0001312F" w14:paraId="4091726A"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9612425"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2670" w:type="dxa"/>
            <w:tcBorders>
              <w:top w:val="single" w:sz="4" w:space="0" w:color="000000"/>
              <w:left w:val="single" w:sz="4" w:space="0" w:color="000000"/>
              <w:bottom w:val="single" w:sz="4" w:space="0" w:color="000000"/>
              <w:right w:val="single" w:sz="4" w:space="0" w:color="000000"/>
            </w:tcBorders>
            <w:shd w:val="clear" w:color="auto" w:fill="D9EAD3"/>
          </w:tcPr>
          <w:p w14:paraId="4EB4824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Ulei de motor</w:t>
            </w:r>
          </w:p>
        </w:tc>
        <w:tc>
          <w:tcPr>
            <w:tcW w:w="1422" w:type="dxa"/>
            <w:tcBorders>
              <w:top w:val="single" w:sz="4" w:space="0" w:color="000000"/>
              <w:left w:val="single" w:sz="4" w:space="0" w:color="000000"/>
              <w:bottom w:val="single" w:sz="4" w:space="0" w:color="000000"/>
              <w:right w:val="single" w:sz="4" w:space="0" w:color="000000"/>
            </w:tcBorders>
            <w:shd w:val="clear" w:color="auto" w:fill="D9EAD3"/>
          </w:tcPr>
          <w:p w14:paraId="7DF6814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Carburant</w:t>
            </w:r>
          </w:p>
        </w:tc>
        <w:tc>
          <w:tcPr>
            <w:tcW w:w="1983" w:type="dxa"/>
            <w:tcBorders>
              <w:top w:val="single" w:sz="4" w:space="0" w:color="000000"/>
              <w:left w:val="single" w:sz="4" w:space="0" w:color="000000"/>
              <w:bottom w:val="single" w:sz="4" w:space="0" w:color="000000"/>
              <w:right w:val="single" w:sz="4" w:space="0" w:color="000000"/>
            </w:tcBorders>
            <w:shd w:val="clear" w:color="auto" w:fill="D9EAD3"/>
          </w:tcPr>
          <w:p w14:paraId="74CB914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g CO</w:t>
            </w:r>
            <w:r>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 xml:space="preserve"> / kg carburant</w:t>
            </w:r>
          </w:p>
        </w:tc>
      </w:tr>
      <w:tr w:rsidR="0001312F" w14:paraId="507A9CB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DF1EB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8A9C33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autoturisme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3B22CE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718EA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8.84</w:t>
            </w:r>
          </w:p>
        </w:tc>
      </w:tr>
      <w:tr w:rsidR="0001312F" w14:paraId="0FAA6B06"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Pr>
          <w:p w14:paraId="0ADB28F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4BE872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C54E3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8.74</w:t>
            </w:r>
          </w:p>
        </w:tc>
      </w:tr>
      <w:tr w:rsidR="0001312F" w14:paraId="11DF93FC"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D86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4F5E99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autoutilitare</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0EECB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benzină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C9D194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6.07</w:t>
            </w:r>
          </w:p>
        </w:tc>
      </w:tr>
      <w:tr w:rsidR="0001312F" w14:paraId="78695798" w14:textId="77777777" w:rsidTr="008F11C9">
        <w:trPr>
          <w:trHeight w:val="290"/>
          <w:jc w:val="center"/>
        </w:trPr>
        <w:tc>
          <w:tcPr>
            <w:tcW w:w="3540"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93CE032" w14:textId="77777777" w:rsidR="0001312F" w:rsidRDefault="0001312F">
            <w:pPr>
              <w:rPr>
                <w:rFonts w:ascii="Times New Roman" w:eastAsia="Times New Roman" w:hAnsi="Times New Roman" w:cs="Times New Roman"/>
                <w:sz w:val="24"/>
                <w:szCs w:val="24"/>
              </w:rPr>
            </w:pP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F71BA1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8FD4C6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6.41</w:t>
            </w:r>
          </w:p>
        </w:tc>
      </w:tr>
      <w:tr w:rsidR="0001312F" w14:paraId="738CC818" w14:textId="77777777" w:rsidTr="008F11C9">
        <w:trPr>
          <w:trHeight w:val="290"/>
          <w:jc w:val="center"/>
        </w:trPr>
        <w:tc>
          <w:tcPr>
            <w:tcW w:w="8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C5261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6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6B7CD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camion + autocar</w:t>
            </w:r>
          </w:p>
        </w:tc>
        <w:tc>
          <w:tcPr>
            <w:tcW w:w="14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9A15B6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motorină</w:t>
            </w:r>
          </w:p>
        </w:tc>
        <w:tc>
          <w:tcPr>
            <w:tcW w:w="198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3BB49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2.54</w:t>
            </w:r>
          </w:p>
        </w:tc>
      </w:tr>
    </w:tbl>
    <w:p w14:paraId="7AE5317C" w14:textId="77777777" w:rsidR="0001312F" w:rsidRDefault="0067039D">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EMEP/EEA air pollutant emission inventory guidebook 2016 - Last Update June 2017</w:t>
      </w:r>
    </w:p>
    <w:p w14:paraId="45A84A1F" w14:textId="77777777" w:rsidR="0001312F" w:rsidRDefault="0001312F">
      <w:pPr>
        <w:rPr>
          <w:rFonts w:ascii="Times New Roman" w:eastAsia="Times New Roman" w:hAnsi="Times New Roman" w:cs="Times New Roman"/>
          <w:i/>
          <w:sz w:val="24"/>
          <w:szCs w:val="24"/>
        </w:rPr>
      </w:pPr>
    </w:p>
    <w:p w14:paraId="64306CA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s-au luat în calcul și emisiile vehiculelor electrice pentru că în lipsa unor surse de energie 100% nepoluante și vehiculele electrice poluează. Ipotezele de calcul avute în vedere la emisiile vehiculelor electrice au fost următoarele (Tabelul 2):</w:t>
      </w:r>
    </w:p>
    <w:p w14:paraId="30C4A034" w14:textId="77777777" w:rsidR="0001312F" w:rsidRDefault="0067039D">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Tabelul 2. Emisii de CO</w:t>
      </w:r>
      <w:r>
        <w:rPr>
          <w:rFonts w:ascii="Times New Roman" w:eastAsia="Times New Roman" w:hAnsi="Times New Roman" w:cs="Times New Roman"/>
          <w:b/>
          <w:i/>
          <w:sz w:val="24"/>
          <w:szCs w:val="24"/>
          <w:vertAlign w:val="subscript"/>
        </w:rPr>
        <w:t>2</w:t>
      </w:r>
    </w:p>
    <w:tbl>
      <w:tblPr>
        <w:tblStyle w:val="a0"/>
        <w:tblW w:w="6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0"/>
        <w:gridCol w:w="3720"/>
        <w:gridCol w:w="1035"/>
        <w:gridCol w:w="1335"/>
      </w:tblGrid>
      <w:tr w:rsidR="0001312F" w14:paraId="7BE1B3F1" w14:textId="77777777">
        <w:trPr>
          <w:trHeight w:val="290"/>
          <w:jc w:val="center"/>
        </w:trPr>
        <w:tc>
          <w:tcPr>
            <w:tcW w:w="840" w:type="dxa"/>
            <w:shd w:val="clear" w:color="auto" w:fill="D9EAD3"/>
          </w:tcPr>
          <w:p w14:paraId="0242AF7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Nr. Crt.</w:t>
            </w:r>
          </w:p>
        </w:tc>
        <w:tc>
          <w:tcPr>
            <w:tcW w:w="3720" w:type="dxa"/>
            <w:shd w:val="clear" w:color="auto" w:fill="D9EAD3"/>
          </w:tcPr>
          <w:p w14:paraId="5351B05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în 2019 (rețeaua națională de energie)</w:t>
            </w:r>
          </w:p>
        </w:tc>
        <w:tc>
          <w:tcPr>
            <w:tcW w:w="1035" w:type="dxa"/>
            <w:shd w:val="clear" w:color="auto" w:fill="D9EAD3"/>
          </w:tcPr>
          <w:p w14:paraId="7FE699C0" w14:textId="77777777" w:rsidR="0001312F" w:rsidRDefault="0001312F">
            <w:pPr>
              <w:rPr>
                <w:rFonts w:ascii="Times New Roman" w:eastAsia="Times New Roman" w:hAnsi="Times New Roman" w:cs="Times New Roman"/>
                <w:sz w:val="24"/>
                <w:szCs w:val="24"/>
              </w:rPr>
            </w:pPr>
          </w:p>
        </w:tc>
        <w:tc>
          <w:tcPr>
            <w:tcW w:w="1335" w:type="dxa"/>
            <w:shd w:val="clear" w:color="auto" w:fill="D9EAD3"/>
          </w:tcPr>
          <w:p w14:paraId="4CA548AB"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CO</w:t>
            </w:r>
            <w:r>
              <w:rPr>
                <w:rFonts w:ascii="Times New Roman" w:eastAsia="Times New Roman" w:hAnsi="Times New Roman" w:cs="Times New Roman"/>
                <w:b/>
                <w:sz w:val="24"/>
                <w:szCs w:val="24"/>
                <w:vertAlign w:val="subscript"/>
              </w:rPr>
              <w:t>2</w:t>
            </w:r>
          </w:p>
        </w:tc>
      </w:tr>
      <w:tr w:rsidR="0001312F" w14:paraId="31DAE7B3" w14:textId="77777777">
        <w:trPr>
          <w:trHeight w:val="290"/>
          <w:jc w:val="center"/>
        </w:trPr>
        <w:tc>
          <w:tcPr>
            <w:tcW w:w="840" w:type="dxa"/>
            <w:tcMar>
              <w:top w:w="0" w:type="dxa"/>
              <w:left w:w="0" w:type="dxa"/>
              <w:bottom w:w="0" w:type="dxa"/>
              <w:right w:w="0" w:type="dxa"/>
            </w:tcMar>
          </w:tcPr>
          <w:p w14:paraId="1CC10D01"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720" w:type="dxa"/>
            <w:tcMar>
              <w:top w:w="0" w:type="dxa"/>
              <w:left w:w="0" w:type="dxa"/>
              <w:bottom w:w="0" w:type="dxa"/>
              <w:right w:w="0" w:type="dxa"/>
            </w:tcMar>
          </w:tcPr>
          <w:p w14:paraId="351C9A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produsă</w:t>
            </w:r>
          </w:p>
        </w:tc>
        <w:tc>
          <w:tcPr>
            <w:tcW w:w="1035" w:type="dxa"/>
            <w:tcMar>
              <w:top w:w="0" w:type="dxa"/>
              <w:left w:w="0" w:type="dxa"/>
              <w:bottom w:w="0" w:type="dxa"/>
              <w:right w:w="0" w:type="dxa"/>
            </w:tcMar>
          </w:tcPr>
          <w:p w14:paraId="257085D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68CA3ED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314.52</w:t>
            </w:r>
          </w:p>
        </w:tc>
      </w:tr>
      <w:tr w:rsidR="0001312F" w14:paraId="4DDB57AD" w14:textId="77777777">
        <w:trPr>
          <w:trHeight w:val="290"/>
          <w:jc w:val="center"/>
        </w:trPr>
        <w:tc>
          <w:tcPr>
            <w:tcW w:w="840" w:type="dxa"/>
            <w:tcMar>
              <w:top w:w="0" w:type="dxa"/>
              <w:left w:w="0" w:type="dxa"/>
              <w:bottom w:w="0" w:type="dxa"/>
              <w:right w:w="0" w:type="dxa"/>
            </w:tcMar>
          </w:tcPr>
          <w:p w14:paraId="35F78D14"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720" w:type="dxa"/>
            <w:tcMar>
              <w:top w:w="0" w:type="dxa"/>
              <w:left w:w="0" w:type="dxa"/>
              <w:bottom w:w="0" w:type="dxa"/>
              <w:right w:w="0" w:type="dxa"/>
            </w:tcMar>
          </w:tcPr>
          <w:p w14:paraId="74EC03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Electricitate (medie) la priză</w:t>
            </w:r>
          </w:p>
        </w:tc>
        <w:tc>
          <w:tcPr>
            <w:tcW w:w="1035" w:type="dxa"/>
            <w:tcMar>
              <w:top w:w="0" w:type="dxa"/>
              <w:left w:w="0" w:type="dxa"/>
              <w:bottom w:w="0" w:type="dxa"/>
              <w:right w:w="0" w:type="dxa"/>
            </w:tcMar>
          </w:tcPr>
          <w:p w14:paraId="1D601FE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g/kWh</w:t>
            </w:r>
          </w:p>
        </w:tc>
        <w:tc>
          <w:tcPr>
            <w:tcW w:w="1335" w:type="dxa"/>
            <w:tcMar>
              <w:top w:w="0" w:type="dxa"/>
              <w:left w:w="0" w:type="dxa"/>
              <w:bottom w:w="0" w:type="dxa"/>
              <w:right w:w="0" w:type="dxa"/>
            </w:tcMar>
          </w:tcPr>
          <w:p w14:paraId="0BB585D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349.467</w:t>
            </w:r>
          </w:p>
        </w:tc>
      </w:tr>
      <w:tr w:rsidR="0001312F" w14:paraId="1137DBB4" w14:textId="77777777">
        <w:trPr>
          <w:trHeight w:val="290"/>
          <w:jc w:val="center"/>
        </w:trPr>
        <w:tc>
          <w:tcPr>
            <w:tcW w:w="840" w:type="dxa"/>
            <w:tcMar>
              <w:top w:w="0" w:type="dxa"/>
              <w:left w:w="0" w:type="dxa"/>
              <w:bottom w:w="0" w:type="dxa"/>
              <w:right w:w="0" w:type="dxa"/>
            </w:tcMar>
          </w:tcPr>
          <w:p w14:paraId="72BF5CE3" w14:textId="77777777" w:rsidR="0001312F" w:rsidRDefault="0067039D">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720" w:type="dxa"/>
            <w:tcMar>
              <w:top w:w="0" w:type="dxa"/>
              <w:left w:w="0" w:type="dxa"/>
              <w:bottom w:w="0" w:type="dxa"/>
              <w:right w:w="0" w:type="dxa"/>
            </w:tcMar>
          </w:tcPr>
          <w:p w14:paraId="325B76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Emisii autoturisme electrice</w:t>
            </w:r>
          </w:p>
        </w:tc>
        <w:tc>
          <w:tcPr>
            <w:tcW w:w="1035" w:type="dxa"/>
            <w:tcMar>
              <w:top w:w="0" w:type="dxa"/>
              <w:left w:w="0" w:type="dxa"/>
              <w:bottom w:w="0" w:type="dxa"/>
              <w:right w:w="0" w:type="dxa"/>
            </w:tcMar>
          </w:tcPr>
          <w:p w14:paraId="79ECB73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g/km</w:t>
            </w:r>
          </w:p>
        </w:tc>
        <w:tc>
          <w:tcPr>
            <w:tcW w:w="1335" w:type="dxa"/>
            <w:tcMar>
              <w:top w:w="0" w:type="dxa"/>
              <w:left w:w="0" w:type="dxa"/>
              <w:bottom w:w="0" w:type="dxa"/>
              <w:right w:w="0" w:type="dxa"/>
            </w:tcMar>
          </w:tcPr>
          <w:p w14:paraId="093D56C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68.4955</w:t>
            </w:r>
          </w:p>
        </w:tc>
      </w:tr>
    </w:tbl>
    <w:p w14:paraId="26F44B14" w14:textId="77777777" w:rsidR="0001312F" w:rsidRDefault="0067039D">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Sursa: EIB – PASSA Note on Electrical Vechicles in Romania</w:t>
      </w:r>
    </w:p>
    <w:p w14:paraId="04F10B12" w14:textId="77777777" w:rsidR="0001312F" w:rsidRDefault="0001312F">
      <w:pPr>
        <w:rPr>
          <w:rFonts w:ascii="Times New Roman" w:eastAsia="Times New Roman" w:hAnsi="Times New Roman" w:cs="Times New Roman"/>
          <w:sz w:val="24"/>
          <w:szCs w:val="24"/>
        </w:rPr>
      </w:pPr>
    </w:p>
    <w:p w14:paraId="2E426B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Cantitatea de emisii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s-a obținut prin multiplicarea consumului de carburant cu factori de emisie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corespunzători carburantului și combustiei uleiului de motor, conform metodologiei Tier 1 din Ghidul EMEP/EEA Air pollutant emission inventory guidebook 2016 -  Last Update June 2017, amendat cu nota BEI-PASSA pentru calculul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aferente vehiculelor electrice.</w:t>
      </w:r>
    </w:p>
    <w:p w14:paraId="4535701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generarea de GHG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pe perioada construcției, metodologia utilizată s-a bazat pe evaluarea realizată în UK asupra programului de construcție a autostrăzilor și drumurilor naționale</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axată pe instrumentul de calculare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în faza de construcție și operare a autostrăzilor și drumurilor naționale</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ce a concluzionat că în medie la 1 milion de euro cost de construcție generarea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este de aproximativ 396 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Chiar dacă cifrele au fost studiate în Marea Britanie (UK) le considerăm relevante pentru România, având în vedere diferențele relativ mici de costuri și tehnologii.</w:t>
      </w:r>
      <w:r>
        <w:rPr>
          <w:rFonts w:ascii="Times New Roman" w:eastAsia="Times New Roman" w:hAnsi="Times New Roman" w:cs="Times New Roman"/>
          <w:sz w:val="24"/>
          <w:szCs w:val="24"/>
        </w:rPr>
        <w:tab/>
      </w:r>
    </w:p>
    <w:p w14:paraId="2E1A48D9" w14:textId="77777777" w:rsidR="0001312F" w:rsidRDefault="0067039D">
      <w:pPr>
        <w:pStyle w:val="Heading3"/>
        <w:tabs>
          <w:tab w:val="left" w:pos="8460"/>
        </w:tabs>
        <w:spacing w:line="276" w:lineRule="auto"/>
        <w:ind w:right="360" w:hanging="2"/>
        <w:jc w:val="both"/>
        <w:rPr>
          <w:rFonts w:ascii="Times New Roman" w:eastAsia="Times New Roman" w:hAnsi="Times New Roman" w:cs="Times New Roman"/>
        </w:rPr>
      </w:pPr>
      <w:bookmarkStart w:id="7" w:name="_Toc117679933"/>
      <w:r>
        <w:rPr>
          <w:rFonts w:ascii="Times New Roman" w:eastAsia="Times New Roman" w:hAnsi="Times New Roman" w:cs="Times New Roman"/>
        </w:rPr>
        <w:t>2.1.3. Acțiuni finanțate</w:t>
      </w:r>
      <w:bookmarkEnd w:id="7"/>
    </w:p>
    <w:p w14:paraId="41697789" w14:textId="77777777" w:rsidR="0001312F" w:rsidRDefault="0001312F">
      <w:pPr>
        <w:rPr>
          <w:rFonts w:ascii="Times New Roman" w:eastAsia="Times New Roman" w:hAnsi="Times New Roman" w:cs="Times New Roman"/>
          <w:sz w:val="24"/>
          <w:szCs w:val="24"/>
        </w:rPr>
      </w:pPr>
    </w:p>
    <w:p w14:paraId="061BA04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6CE0B801" w14:textId="604A2A9C"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 reabilitarea / reconstruirea / modernizarea a </w:t>
      </w:r>
      <w:r>
        <w:rPr>
          <w:rFonts w:ascii="Times New Roman" w:eastAsia="Times New Roman" w:hAnsi="Times New Roman" w:cs="Times New Roman"/>
          <w:b/>
          <w:sz w:val="24"/>
          <w:szCs w:val="24"/>
        </w:rPr>
        <w:t>430 km de autostrăzi și drumuri noi</w:t>
      </w:r>
      <w:r>
        <w:rPr>
          <w:rFonts w:ascii="Times New Roman" w:eastAsia="Times New Roman" w:hAnsi="Times New Roman" w:cs="Times New Roman"/>
          <w:sz w:val="24"/>
          <w:szCs w:val="24"/>
        </w:rPr>
        <w:t>, ca parte a rețelei TEN-T;</w:t>
      </w:r>
    </w:p>
    <w:p w14:paraId="03FFF401" w14:textId="0B4B3C04"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a </w:t>
      </w:r>
      <w:r w:rsidRPr="00165566">
        <w:rPr>
          <w:rFonts w:ascii="Times New Roman" w:eastAsia="Times New Roman" w:hAnsi="Times New Roman" w:cs="Times New Roman"/>
          <w:b/>
          <w:bCs/>
          <w:sz w:val="24"/>
          <w:szCs w:val="24"/>
        </w:rPr>
        <w:t>1</w:t>
      </w:r>
      <w:r>
        <w:rPr>
          <w:rFonts w:ascii="Times New Roman" w:eastAsia="Times New Roman" w:hAnsi="Times New Roman" w:cs="Times New Roman"/>
          <w:sz w:val="24"/>
          <w:szCs w:val="24"/>
        </w:rPr>
        <w:t>7</w:t>
      </w:r>
      <w:r>
        <w:rPr>
          <w:rFonts w:ascii="Times New Roman" w:eastAsia="Times New Roman" w:hAnsi="Times New Roman" w:cs="Times New Roman"/>
          <w:b/>
          <w:sz w:val="24"/>
          <w:szCs w:val="24"/>
        </w:rPr>
        <w:t>0 de puncte</w:t>
      </w:r>
      <w:r>
        <w:rPr>
          <w:rFonts w:ascii="Times New Roman" w:eastAsia="Times New Roman" w:hAnsi="Times New Roman" w:cs="Times New Roman"/>
          <w:sz w:val="24"/>
          <w:szCs w:val="24"/>
        </w:rPr>
        <w:t xml:space="preserve"> de încărcare electrică;</w:t>
      </w:r>
    </w:p>
    <w:p w14:paraId="0D4084BC" w14:textId="77777777" w:rsidR="0001312F" w:rsidRDefault="0067039D">
      <w:pPr>
        <w:numPr>
          <w:ilvl w:val="0"/>
          <w:numId w:val="15"/>
        </w:numPr>
        <w:ind w:left="1166" w:hanging="4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și modernizarea a 395 km de drumuri dotate cu sisteme de transport inteligente (ITS);</w:t>
      </w:r>
    </w:p>
    <w:p w14:paraId="7F30E6E0" w14:textId="77777777" w:rsidR="0001312F" w:rsidRDefault="0001312F">
      <w:pPr>
        <w:rPr>
          <w:rFonts w:ascii="Times New Roman" w:eastAsia="Times New Roman" w:hAnsi="Times New Roman" w:cs="Times New Roman"/>
          <w:sz w:val="24"/>
          <w:szCs w:val="24"/>
        </w:rPr>
      </w:pPr>
    </w:p>
    <w:p w14:paraId="121623A0" w14:textId="77777777" w:rsidR="0001312F" w:rsidRDefault="0001312F">
      <w:pPr>
        <w:rPr>
          <w:rFonts w:ascii="Times New Roman" w:eastAsia="Times New Roman" w:hAnsi="Times New Roman" w:cs="Times New Roman"/>
          <w:sz w:val="24"/>
          <w:szCs w:val="24"/>
        </w:rPr>
      </w:pPr>
    </w:p>
    <w:p w14:paraId="76617B87" w14:textId="77777777" w:rsidR="0001312F" w:rsidRDefault="0001312F">
      <w:pPr>
        <w:rPr>
          <w:rFonts w:ascii="Times New Roman" w:eastAsia="Times New Roman" w:hAnsi="Times New Roman" w:cs="Times New Roman"/>
          <w:sz w:val="24"/>
          <w:szCs w:val="24"/>
        </w:rPr>
      </w:pPr>
    </w:p>
    <w:p w14:paraId="14CCD20C" w14:textId="77777777" w:rsidR="0001312F" w:rsidRDefault="0001312F">
      <w:pPr>
        <w:rPr>
          <w:rFonts w:ascii="Times New Roman" w:eastAsia="Times New Roman" w:hAnsi="Times New Roman" w:cs="Times New Roman"/>
          <w:sz w:val="24"/>
          <w:szCs w:val="24"/>
        </w:rPr>
      </w:pPr>
    </w:p>
    <w:p w14:paraId="10A2CE56" w14:textId="77777777" w:rsidR="0001312F" w:rsidRDefault="0001312F">
      <w:pPr>
        <w:rPr>
          <w:rFonts w:ascii="Times New Roman" w:eastAsia="Times New Roman" w:hAnsi="Times New Roman" w:cs="Times New Roman"/>
          <w:sz w:val="24"/>
          <w:szCs w:val="24"/>
        </w:rPr>
      </w:pPr>
    </w:p>
    <w:p w14:paraId="50D260A7" w14:textId="77777777" w:rsidR="0001312F" w:rsidRDefault="0001312F">
      <w:pPr>
        <w:rPr>
          <w:rFonts w:ascii="Times New Roman" w:eastAsia="Times New Roman" w:hAnsi="Times New Roman" w:cs="Times New Roman"/>
          <w:sz w:val="24"/>
          <w:szCs w:val="24"/>
        </w:rPr>
      </w:pPr>
    </w:p>
    <w:p w14:paraId="31D2D557" w14:textId="77777777" w:rsidR="0001312F" w:rsidRDefault="0001312F">
      <w:pPr>
        <w:rPr>
          <w:rFonts w:ascii="Times New Roman" w:eastAsia="Times New Roman" w:hAnsi="Times New Roman" w:cs="Times New Roman"/>
          <w:sz w:val="24"/>
          <w:szCs w:val="24"/>
        </w:rPr>
      </w:pPr>
    </w:p>
    <w:p w14:paraId="004F28F3" w14:textId="77777777" w:rsidR="0001312F" w:rsidRDefault="0001312F">
      <w:pPr>
        <w:rPr>
          <w:rFonts w:ascii="Times New Roman" w:eastAsia="Times New Roman" w:hAnsi="Times New Roman" w:cs="Times New Roman"/>
          <w:sz w:val="24"/>
          <w:szCs w:val="24"/>
        </w:rPr>
        <w:sectPr w:rsidR="0001312F">
          <w:footerReference w:type="default" r:id="rId13"/>
          <w:pgSz w:w="11906" w:h="16838"/>
          <w:pgMar w:top="1440" w:right="1440" w:bottom="1440" w:left="1440" w:header="708" w:footer="708" w:gutter="0"/>
          <w:pgNumType w:start="1"/>
          <w:cols w:space="708"/>
          <w:titlePg/>
        </w:sectPr>
      </w:pPr>
    </w:p>
    <w:p w14:paraId="77E2AA8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08E405A1"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DB5A682"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CC1B5C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6834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EB38AE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2BE704AB"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2EB898D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7ACBBE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de autostrăzi și drumuri noi, reabilitarea, reconstruirea sau modernizarea drumurilor situate pe rețeaua TEN- T</w:t>
            </w:r>
          </w:p>
        </w:tc>
        <w:tc>
          <w:tcPr>
            <w:tcW w:w="1395" w:type="dxa"/>
            <w:tcBorders>
              <w:top w:val="single" w:sz="4" w:space="0" w:color="000000"/>
              <w:left w:val="single" w:sz="4" w:space="0" w:color="000000"/>
              <w:bottom w:val="single" w:sz="4" w:space="0" w:color="000000"/>
              <w:right w:val="single" w:sz="4" w:space="0" w:color="000000"/>
            </w:tcBorders>
          </w:tcPr>
          <w:p w14:paraId="75526B8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F3ABA6"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00CF385" w14:textId="77777777" w:rsidR="0001312F" w:rsidRDefault="0001312F">
            <w:pPr>
              <w:rPr>
                <w:rFonts w:ascii="Times New Roman" w:eastAsia="Times New Roman" w:hAnsi="Times New Roman" w:cs="Times New Roman"/>
                <w:sz w:val="24"/>
                <w:szCs w:val="24"/>
              </w:rPr>
            </w:pPr>
          </w:p>
        </w:tc>
      </w:tr>
      <w:tr w:rsidR="0001312F" w14:paraId="3DB203B7"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58AAD54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2CC6129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45C3EAFE" w14:textId="77777777" w:rsidR="0001312F" w:rsidRDefault="0001312F">
            <w:pPr>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081AFEB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0EA9C623" w14:textId="77777777" w:rsidR="0001312F" w:rsidRDefault="0001312F">
            <w:pPr>
              <w:rPr>
                <w:rFonts w:ascii="Times New Roman" w:eastAsia="Times New Roman" w:hAnsi="Times New Roman" w:cs="Times New Roman"/>
                <w:sz w:val="24"/>
                <w:szCs w:val="24"/>
              </w:rPr>
            </w:pPr>
          </w:p>
          <w:p w14:paraId="2222ED88" w14:textId="77777777" w:rsidR="0001312F" w:rsidRDefault="0001312F">
            <w:pPr>
              <w:rPr>
                <w:rFonts w:ascii="Times New Roman" w:eastAsia="Times New Roman" w:hAnsi="Times New Roman" w:cs="Times New Roman"/>
                <w:sz w:val="24"/>
                <w:szCs w:val="24"/>
              </w:rPr>
            </w:pPr>
          </w:p>
          <w:p w14:paraId="30FF3274" w14:textId="77777777" w:rsidR="0001312F" w:rsidRDefault="0001312F">
            <w:pPr>
              <w:rPr>
                <w:rFonts w:ascii="Times New Roman" w:eastAsia="Times New Roman" w:hAnsi="Times New Roman" w:cs="Times New Roman"/>
                <w:sz w:val="24"/>
                <w:szCs w:val="24"/>
              </w:rPr>
            </w:pPr>
          </w:p>
          <w:p w14:paraId="493F60E2" w14:textId="77777777" w:rsidR="0001312F" w:rsidRDefault="0001312F">
            <w:pPr>
              <w:rPr>
                <w:rFonts w:ascii="Times New Roman" w:eastAsia="Times New Roman" w:hAnsi="Times New Roman" w:cs="Times New Roman"/>
                <w:sz w:val="24"/>
                <w:szCs w:val="24"/>
              </w:rPr>
            </w:pPr>
          </w:p>
          <w:p w14:paraId="1F74A8A7"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976CD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2.8 - Promovarea mobilității urbane multimodale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Complementar, în PNRR sunt prevăzute reforme şi investiţii care să conducă la decarbonizarea producției de energie electrică (componenta 6 - </w:t>
            </w:r>
            <w:r>
              <w:rPr>
                <w:rFonts w:ascii="Times New Roman" w:eastAsia="Times New Roman" w:hAnsi="Times New Roman" w:cs="Times New Roman"/>
                <w:i/>
                <w:sz w:val="24"/>
                <w:szCs w:val="24"/>
              </w:rPr>
              <w:t xml:space="preserve">Energie </w:t>
            </w:r>
            <w:r>
              <w:rPr>
                <w:rFonts w:ascii="Times New Roman" w:eastAsia="Times New Roman" w:hAnsi="Times New Roman" w:cs="Times New Roman"/>
                <w:sz w:val="24"/>
                <w:szCs w:val="24"/>
              </w:rPr>
              <w:t xml:space="preserve">din Pilonul I - </w:t>
            </w:r>
            <w:r>
              <w:rPr>
                <w:rFonts w:ascii="Times New Roman" w:eastAsia="Times New Roman" w:hAnsi="Times New Roman" w:cs="Times New Roman"/>
                <w:i/>
                <w:sz w:val="24"/>
                <w:szCs w:val="24"/>
              </w:rPr>
              <w:t>Tranziția verde)</w:t>
            </w:r>
            <w:r>
              <w:rPr>
                <w:rFonts w:ascii="Times New Roman" w:eastAsia="Times New Roman" w:hAnsi="Times New Roman" w:cs="Times New Roman"/>
                <w:sz w:val="24"/>
                <w:szCs w:val="24"/>
              </w:rPr>
              <w:t>.</w:t>
            </w:r>
          </w:p>
        </w:tc>
      </w:tr>
      <w:tr w:rsidR="0001312F" w14:paraId="57DF785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71455885"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0C61ECB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3C3E36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2CF7D0F8"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A1878CF" w14:textId="77777777" w:rsidR="0001312F" w:rsidRDefault="0001312F">
            <w:pPr>
              <w:rPr>
                <w:rFonts w:ascii="Times New Roman" w:eastAsia="Times New Roman" w:hAnsi="Times New Roman" w:cs="Times New Roman"/>
                <w:sz w:val="24"/>
                <w:szCs w:val="24"/>
              </w:rPr>
            </w:pPr>
          </w:p>
        </w:tc>
      </w:tr>
      <w:tr w:rsidR="0001312F" w14:paraId="143EF2AD"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3176A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44E6DDE"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FD9B23D"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D97D123" w14:textId="77777777" w:rsidR="0001312F" w:rsidRDefault="0001312F">
            <w:pPr>
              <w:rPr>
                <w:rFonts w:ascii="Times New Roman" w:eastAsia="Times New Roman" w:hAnsi="Times New Roman" w:cs="Times New Roman"/>
                <w:sz w:val="24"/>
                <w:szCs w:val="24"/>
              </w:rPr>
            </w:pPr>
          </w:p>
        </w:tc>
      </w:tr>
      <w:tr w:rsidR="0001312F" w14:paraId="3CD9AC1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4DF08AD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200B82EC"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4AA544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456FF8A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3A2851D" w14:textId="77777777" w:rsidR="0001312F" w:rsidRDefault="0001312F">
            <w:pPr>
              <w:rPr>
                <w:rFonts w:ascii="Times New Roman" w:eastAsia="Times New Roman" w:hAnsi="Times New Roman" w:cs="Times New Roman"/>
                <w:sz w:val="24"/>
                <w:szCs w:val="24"/>
              </w:rPr>
            </w:pPr>
          </w:p>
        </w:tc>
      </w:tr>
      <w:tr w:rsidR="0001312F" w14:paraId="28C56032"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5AAA57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7E9AED9E" w14:textId="77777777" w:rsidR="0001312F" w:rsidRDefault="0001312F">
            <w:pPr>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89ABE5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0385A1EC"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38A18DB0" w14:textId="77777777" w:rsidR="0001312F" w:rsidRDefault="0001312F">
            <w:pPr>
              <w:rPr>
                <w:rFonts w:ascii="Times New Roman" w:eastAsia="Times New Roman" w:hAnsi="Times New Roman" w:cs="Times New Roman"/>
                <w:sz w:val="24"/>
                <w:szCs w:val="24"/>
              </w:rPr>
            </w:pPr>
          </w:p>
        </w:tc>
      </w:tr>
      <w:tr w:rsidR="0001312F" w14:paraId="03A28A71"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37082E0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4FDB013C"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1FCB3F34" w14:textId="77777777" w:rsidR="0001312F" w:rsidRDefault="0001312F">
            <w:pPr>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34470A7" w14:textId="77777777" w:rsidR="0001312F" w:rsidRDefault="0001312F">
            <w:pPr>
              <w:rPr>
                <w:rFonts w:ascii="Times New Roman" w:eastAsia="Times New Roman" w:hAnsi="Times New Roman" w:cs="Times New Roman"/>
                <w:sz w:val="24"/>
                <w:szCs w:val="24"/>
              </w:rPr>
            </w:pPr>
          </w:p>
        </w:tc>
      </w:tr>
    </w:tbl>
    <w:p w14:paraId="0DA5C761" w14:textId="77777777" w:rsidR="0001312F" w:rsidRDefault="0001312F">
      <w:pPr>
        <w:rPr>
          <w:rFonts w:ascii="Times New Roman" w:eastAsia="Times New Roman" w:hAnsi="Times New Roman" w:cs="Times New Roman"/>
          <w:sz w:val="24"/>
          <w:szCs w:val="24"/>
        </w:rPr>
      </w:pPr>
    </w:p>
    <w:p w14:paraId="2BDE7BC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5615F86E"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11403DB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88C71F1"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6EFC09E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171664B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3E86F4D" w14:textId="77777777" w:rsidR="0001312F" w:rsidRDefault="0001312F">
            <w:pPr>
              <w:rPr>
                <w:rFonts w:ascii="Times New Roman" w:eastAsia="Times New Roman" w:hAnsi="Times New Roman" w:cs="Times New Roman"/>
                <w:sz w:val="24"/>
                <w:szCs w:val="24"/>
              </w:rPr>
            </w:pPr>
          </w:p>
          <w:p w14:paraId="2702A08F"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AD661A5" w14:textId="77777777" w:rsidR="0001312F" w:rsidRDefault="0001312F">
            <w:pPr>
              <w:rPr>
                <w:rFonts w:ascii="Times New Roman" w:eastAsia="Times New Roman" w:hAnsi="Times New Roman" w:cs="Times New Roman"/>
                <w:b/>
                <w:sz w:val="24"/>
                <w:szCs w:val="24"/>
              </w:rPr>
            </w:pPr>
          </w:p>
          <w:p w14:paraId="7D6CCCA8"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44171" w14:textId="604B8117" w:rsidR="0001312F" w:rsidRDefault="0073096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227F61FF" w14:textId="4FDF9F59"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Indiferent dacă investițiile prevăzute de Prioritatea nr.1 a PT se vor realiza pe rețeaua națională fără nicio intervenție și fără a lua în calcul traficul rutier de la nivel urban și nivel local, la nivelul anului 2030, se vor genera aproximativ 18.000 ktone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Realizarea investițiilor propuse în cadrul </w:t>
            </w:r>
            <w:r w:rsidR="00FC107C">
              <w:rPr>
                <w:rFonts w:ascii="Times New Roman" w:eastAsia="Times New Roman" w:hAnsi="Times New Roman" w:cs="Times New Roman"/>
                <w:sz w:val="24"/>
                <w:szCs w:val="24"/>
              </w:rPr>
              <w:t>Priorităţii</w:t>
            </w:r>
            <w:r>
              <w:rPr>
                <w:rFonts w:ascii="Times New Roman" w:eastAsia="Times New Roman" w:hAnsi="Times New Roman" w:cs="Times New Roman"/>
                <w:sz w:val="24"/>
                <w:szCs w:val="24"/>
              </w:rPr>
              <w:t xml:space="preserve"> nr.1 a PT vor contribui la realizarea condițiilor pentru reducerea acestor emisii.</w:t>
            </w:r>
          </w:p>
          <w:p w14:paraId="0BDF343A"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0CE35E9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09B00E83" w14:textId="50F0EB9A"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3F5F">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finanţate de Administraţia Fondului pentru Mediu (AFM);</w:t>
            </w:r>
          </w:p>
          <w:p w14:paraId="42297AA7"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Realizarea unui transfer modal (modal shift) de la modul de transport rutier către alte moduri de transport cu emisii reduse de GHG,</w:t>
            </w:r>
          </w:p>
          <w:p w14:paraId="4C5321F3" w14:textId="77777777" w:rsidR="0001312F" w:rsidRDefault="0067039D">
            <w:pPr>
              <w:numPr>
                <w:ilvl w:val="0"/>
                <w:numId w:val="48"/>
              </w:num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w:t>
            </w:r>
            <w:r w:rsidRPr="0026260C">
              <w:rPr>
                <w:rFonts w:ascii="Times New Roman" w:eastAsia="Times New Roman" w:hAnsi="Times New Roman" w:cs="Times New Roman"/>
                <w:b/>
                <w:sz w:val="24"/>
                <w:szCs w:val="24"/>
                <w:vertAlign w:val="subscript"/>
              </w:rPr>
              <w:t>2</w:t>
            </w:r>
            <w:r>
              <w:rPr>
                <w:rFonts w:ascii="Times New Roman" w:eastAsia="Times New Roman" w:hAnsi="Times New Roman" w:cs="Times New Roman"/>
                <w:b/>
                <w:sz w:val="24"/>
                <w:szCs w:val="24"/>
              </w:rPr>
              <w:t>.</w:t>
            </w:r>
          </w:p>
          <w:p w14:paraId="2C4A337B" w14:textId="77777777" w:rsidR="0001312F" w:rsidRDefault="0001312F">
            <w:pPr>
              <w:spacing w:after="0"/>
              <w:ind w:left="1500"/>
              <w:jc w:val="both"/>
              <w:rPr>
                <w:rFonts w:ascii="Times New Roman" w:eastAsia="Times New Roman" w:hAnsi="Times New Roman" w:cs="Times New Roman"/>
                <w:b/>
                <w:sz w:val="24"/>
                <w:szCs w:val="24"/>
              </w:rPr>
            </w:pPr>
          </w:p>
          <w:p w14:paraId="35A5C51C"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 Modificarea compoziției parcului de autovehicule</w:t>
            </w:r>
          </w:p>
          <w:p w14:paraId="33878B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71F8EC4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758D6D08"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4D9CB4E1" w14:textId="77777777" w:rsidR="0001312F" w:rsidRDefault="0067039D">
            <w:pPr>
              <w:numPr>
                <w:ilvl w:val="0"/>
                <w:numId w:val="49"/>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0FD40803" w14:textId="0E972F7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să fie realizate un minim de  19</w:t>
            </w:r>
            <w:r w:rsidR="00405668">
              <w:rPr>
                <w:rFonts w:ascii="Times New Roman" w:eastAsia="Times New Roman" w:hAnsi="Times New Roman" w:cs="Times New Roman"/>
                <w:sz w:val="24"/>
                <w:szCs w:val="24"/>
              </w:rPr>
              <w:t>4</w:t>
            </w:r>
            <w:r>
              <w:rPr>
                <w:rFonts w:ascii="Times New Roman" w:eastAsia="Times New Roman" w:hAnsi="Times New Roman" w:cs="Times New Roman"/>
                <w:b/>
                <w:sz w:val="24"/>
                <w:szCs w:val="24"/>
              </w:rPr>
              <w:t xml:space="preserve"> de puncte</w:t>
            </w:r>
            <w:r>
              <w:rPr>
                <w:rFonts w:ascii="Times New Roman" w:eastAsia="Times New Roman" w:hAnsi="Times New Roman" w:cs="Times New Roman"/>
                <w:sz w:val="24"/>
                <w:szCs w:val="24"/>
              </w:rPr>
              <w:t xml:space="preserve"> de încărcare electrică.</w:t>
            </w:r>
          </w:p>
          <w:p w14:paraId="5444209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54A4632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417DB9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0F3D4D4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atât în aglomerările urbane, cât și de-a lungul infrastructurii interurbane și rețelelor europene de transport rutier, naval și aerian.</w:t>
            </w:r>
          </w:p>
          <w:p w14:paraId="3DCB4A0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3AE2E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staţii de reîncărcare pentru vehicule electrice în municipiile reşedinţe de județ.</w:t>
            </w:r>
            <w:r>
              <w:rPr>
                <w:rFonts w:ascii="Times New Roman" w:eastAsia="Times New Roman" w:hAnsi="Times New Roman" w:cs="Times New Roman"/>
                <w:sz w:val="24"/>
                <w:szCs w:val="24"/>
                <w:vertAlign w:val="superscript"/>
              </w:rPr>
              <w:footnoteReference w:id="5"/>
            </w:r>
          </w:p>
          <w:p w14:paraId="2E2C29A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6F45E8C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67FF9A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electrice poate fi stimulată prin construcția de noi stații de încărcare, atât la nivel urban, cât și de-a lungul rețelei de drumuri publice extraurbane. </w:t>
            </w:r>
          </w:p>
          <w:p w14:paraId="53E608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3ACFB1C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4CE46EC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27A53FB" w14:textId="5904B6F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59F4AAE9" w14:textId="2F9AB7F2"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w:t>
            </w:r>
            <w:r w:rsidR="00A71358">
              <w:rPr>
                <w:rFonts w:ascii="Times New Roman" w:eastAsia="Times New Roman" w:hAnsi="Times New Roman" w:cs="Times New Roman"/>
                <w:sz w:val="24"/>
                <w:szCs w:val="24"/>
              </w:rPr>
              <w:t>î</w:t>
            </w:r>
            <w:r>
              <w:rPr>
                <w:rFonts w:ascii="Times New Roman" w:eastAsia="Times New Roman" w:hAnsi="Times New Roman" w:cs="Times New Roman"/>
                <w:sz w:val="24"/>
                <w:szCs w:val="24"/>
              </w:rPr>
              <w:t>n funcție de distan</w:t>
            </w:r>
            <w:r w:rsidR="00A71358">
              <w:rPr>
                <w:rFonts w:ascii="Times New Roman" w:eastAsia="Times New Roman" w:hAnsi="Times New Roman" w:cs="Times New Roman"/>
                <w:sz w:val="24"/>
                <w:szCs w:val="24"/>
              </w:rPr>
              <w:t>ţ</w:t>
            </w:r>
            <w:r>
              <w:rPr>
                <w:rFonts w:ascii="Times New Roman" w:eastAsia="Times New Roman" w:hAnsi="Times New Roman" w:cs="Times New Roman"/>
                <w:sz w:val="24"/>
                <w:szCs w:val="24"/>
              </w:rPr>
              <w:t>a parcurs</w:t>
            </w:r>
            <w:r w:rsidR="00A71358">
              <w:rPr>
                <w:rFonts w:ascii="Times New Roman" w:eastAsia="Times New Roman" w:hAnsi="Times New Roman" w:cs="Times New Roman"/>
                <w:sz w:val="24"/>
                <w:szCs w:val="24"/>
              </w:rPr>
              <w:t>ă</w:t>
            </w:r>
            <w:r>
              <w:rPr>
                <w:rFonts w:ascii="Times New Roman" w:eastAsia="Times New Roman" w:hAnsi="Times New Roman" w:cs="Times New Roman"/>
                <w:sz w:val="24"/>
                <w:szCs w:val="24"/>
              </w:rPr>
              <w:t xml:space="preserve">. În acest sens, Ministerul Transporturilor și Infrastructurii (MTI) va actualiza cadrul legislativ care reglementează aplicarea tarifului de utilizare şi a tarifului de circulație pe reţeaua de drumuri naţionale din România. </w:t>
            </w:r>
          </w:p>
          <w:p w14:paraId="1A4D87A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2B5B12A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Estimările preliminare includ, printre beneficiile secundare, un transfer de trafic (pasageri + marfă) de 10% către infrastructura feroviară, ducând la descongestionare, poluare redusă și siguranță crescută.</w:t>
            </w:r>
          </w:p>
          <w:p w14:paraId="5FE74E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urmărește ca veniturile suplimentare generate să permită o împărțire rezonabilă a fondurilor între întreținerea rețelei rutiere și realizarea de noi investiții. </w:t>
            </w:r>
          </w:p>
          <w:p w14:paraId="47BABF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624873D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090B44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1A61ECD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r>
              <w:rPr>
                <w:rFonts w:ascii="Times New Roman" w:eastAsia="Times New Roman" w:hAnsi="Times New Roman" w:cs="Times New Roman"/>
                <w:i/>
                <w:sz w:val="24"/>
                <w:szCs w:val="24"/>
              </w:rPr>
              <w:t>achiziţia de vehicule noi curate de către entități publice, cu cel puțin 3% peste pragurile din Directiva privind Vehiculele Curate (Clean Vehicles Directive)</w:t>
            </w:r>
            <w:r>
              <w:rPr>
                <w:rFonts w:ascii="Times New Roman" w:eastAsia="Times New Roman" w:hAnsi="Times New Roman" w:cs="Times New Roman"/>
                <w:sz w:val="24"/>
                <w:szCs w:val="24"/>
              </w:rPr>
              <w:t xml:space="preserve">, target care urmăreşte depăşirea ţintelor minime privind achizițiile publice referitoare la ponderea vehiculelor nepoluante, din numărul total de vehicule, pe categorii (18,7% pentru vehicule uşoare, 6% pentru vehicule grele, 24% pentru autobuze), prevăzute în Directiva 1161/2019/UE), cu cel puţin 3%. </w:t>
            </w:r>
          </w:p>
          <w:p w14:paraId="39C7485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targetul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se  urmăreşte dublarea numărului de vehicule cu emisii zero și vehicule cu emisii reduse, faţă de  valoarea de 29.500 de  vehicule electrice înregistrate la sfârșitul anului 2019.</w:t>
            </w:r>
          </w:p>
          <w:p w14:paraId="2D2F552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propuse vor fi corelate cu Programul „Rabla” implementat de către autoritățile române la nivel național. Programul este implementat în România începând cu anul 2005 și vizează sprijinirea achiziției de vehicule de transport rutier nepoluante şi eficiente din punct de vedere energetic.</w:t>
            </w:r>
          </w:p>
          <w:p w14:paraId="0BE366D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2DECB7C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D53CC59" w14:textId="77777777" w:rsidR="0001312F" w:rsidRDefault="0001312F">
            <w:pPr>
              <w:jc w:val="both"/>
              <w:rPr>
                <w:rFonts w:ascii="Times New Roman" w:eastAsia="Times New Roman" w:hAnsi="Times New Roman" w:cs="Times New Roman"/>
                <w:sz w:val="24"/>
                <w:szCs w:val="24"/>
              </w:rPr>
            </w:pPr>
          </w:p>
          <w:p w14:paraId="42D357D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40DE71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 Transfer modal (modal shift) de la modul de transport rutier către alte moduri de transport cu emisii reduse de GHG</w:t>
            </w:r>
          </w:p>
          <w:p w14:paraId="30B73E3C" w14:textId="4A303E76"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shift)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 prevăzute modernizarea a 580 km de linie (fir-km) cale ferată și dotarea acestora cu ERTMS.</w:t>
            </w:r>
          </w:p>
          <w:p w14:paraId="00DB61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7B4AC0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7DC3668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Astfel, se vor lua în analiză, la nivel național, măsuri de stimulare a schimbării modului de transport. Printre aceste măsuri se iau în considerare:</w:t>
            </w:r>
          </w:p>
          <w:p w14:paraId="4C409F28"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de platforme/ centre intermodale;</w:t>
            </w:r>
          </w:p>
          <w:p w14:paraId="6626AD3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74CF7E67"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57311F71"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12900CCB"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3B4779F3"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raportare de către societățile comerciale a emisiilor, inclusiv supply chain;</w:t>
            </w:r>
          </w:p>
          <w:p w14:paraId="401E2D94"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60C7597C" w14:textId="77777777" w:rsidR="0001312F" w:rsidRDefault="0067039D">
            <w:pPr>
              <w:numPr>
                <w:ilvl w:val="0"/>
                <w:numId w:val="47"/>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5AC0D844" w14:textId="77777777" w:rsidR="0001312F" w:rsidRDefault="0001312F">
            <w:pPr>
              <w:jc w:val="both"/>
              <w:rPr>
                <w:rFonts w:ascii="Times New Roman" w:eastAsia="Times New Roman" w:hAnsi="Times New Roman" w:cs="Times New Roman"/>
                <w:sz w:val="24"/>
                <w:szCs w:val="24"/>
              </w:rPr>
            </w:pPr>
          </w:p>
          <w:p w14:paraId="333589F6" w14:textId="6466298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investițiile în sectorul feroviar au un rol dominant în cadrul anvelopei pe care România o pregătește pentru CEF 2.0 și de asemenea investițiile feroviare împreună cu investițiile în infrastructura navală și multimodală și infrastructura de metrou vor concentrează alocări importante în Programul Transport 2021-2027.</w:t>
            </w:r>
          </w:p>
          <w:p w14:paraId="27FA735E" w14:textId="3E53852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PT vor fi achiziționate 56 de unități electrice multiple de transport de pasageri pe calea ferată.</w:t>
            </w:r>
          </w:p>
          <w:p w14:paraId="4E289E30" w14:textId="2527AE4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PT 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prioritizate conform PI. Investițiile se vor baza pe integrarea modurilor de </w:t>
            </w:r>
            <w:r>
              <w:rPr>
                <w:rFonts w:ascii="Times New Roman" w:eastAsia="Times New Roman" w:hAnsi="Times New Roman" w:cs="Times New Roman"/>
                <w:sz w:val="24"/>
                <w:szCs w:val="24"/>
              </w:rPr>
              <w:lastRenderedPageBreak/>
              <w:t>transport urban în cadrul Planurilor de Mobilitate Urbană Durabilă (PMUD) și vor viza inclusiv dezvoltarea transportului cu metroul.</w:t>
            </w:r>
          </w:p>
          <w:p w14:paraId="4FA9FD89" w14:textId="539C7175" w:rsidR="002C61BC" w:rsidRDefault="002C61B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aceste tipuri de acţiuni ce contribuie la reducerea emisiilor GES, au fost evaluate </w:t>
            </w:r>
            <w:r w:rsidR="00787108">
              <w:rPr>
                <w:rFonts w:ascii="Times New Roman" w:eastAsia="Times New Roman" w:hAnsi="Times New Roman" w:cs="Times New Roman"/>
                <w:sz w:val="24"/>
                <w:szCs w:val="24"/>
              </w:rPr>
              <w:t>ca având un efect pozitiv asupra aspectului de mediu Factori climatici (Reducerea emisiilor GES).</w:t>
            </w:r>
          </w:p>
          <w:p w14:paraId="074964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259D18B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16C9C36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remarcat faptul că suprafața împădurită a României, în prezent, este de aproximativ 7 milioane Ha, ceea ce corespunde unei înmagazinări anuale între 25.444 ktone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555B071C" w14:textId="77777777" w:rsidR="0001312F" w:rsidRDefault="0067039D">
            <w:pPr>
              <w:jc w:val="both"/>
              <w:rPr>
                <w:rFonts w:ascii="Times New Roman" w:eastAsia="Times New Roman" w:hAnsi="Times New Roman" w:cs="Times New Roman"/>
                <w:sz w:val="24"/>
                <w:szCs w:val="24"/>
              </w:rPr>
            </w:pPr>
            <w:bookmarkStart w:id="8" w:name="_heading=h.1t3h5sf" w:colFirst="0" w:colLast="0"/>
            <w:bookmarkEnd w:id="8"/>
            <w:r>
              <w:rPr>
                <w:rFonts w:ascii="Times New Roman" w:eastAsia="Times New Roman" w:hAnsi="Times New Roman" w:cs="Times New Roman"/>
                <w:sz w:val="24"/>
                <w:szCs w:val="24"/>
              </w:rPr>
              <w:t>Concret, România urmărește împădurirea spațiilor de siguranță ale autostrăzilor și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202CA733" w14:textId="2B61FC7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terenurile expuse unor fenomene de degradare accentuata. Alegerea speciilor va lua în considerare și </w:t>
            </w:r>
            <w:r>
              <w:rPr>
                <w:rFonts w:ascii="Times New Roman" w:eastAsia="Times New Roman" w:hAnsi="Times New Roman" w:cs="Times New Roman"/>
                <w:sz w:val="24"/>
                <w:szCs w:val="24"/>
              </w:rPr>
              <w:lastRenderedPageBreak/>
              <w:t>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69205C4A" w14:textId="20CB63D5" w:rsidR="00027913" w:rsidRDefault="0002791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 fost propusă o măsură pentru evitarea apariţiei unui efect negativ cu privire la</w:t>
            </w:r>
            <w:r w:rsidR="00327920">
              <w:rPr>
                <w:rFonts w:ascii="Times New Roman" w:eastAsia="Times New Roman" w:hAnsi="Times New Roman" w:cs="Times New Roman"/>
                <w:sz w:val="24"/>
                <w:szCs w:val="24"/>
              </w:rPr>
              <w:t xml:space="preserve"> răspândirea</w:t>
            </w:r>
            <w:r>
              <w:rPr>
                <w:rFonts w:ascii="Times New Roman" w:eastAsia="Times New Roman" w:hAnsi="Times New Roman" w:cs="Times New Roman"/>
                <w:sz w:val="24"/>
                <w:szCs w:val="24"/>
              </w:rPr>
              <w:t xml:space="preserve"> </w:t>
            </w:r>
            <w:r w:rsidR="00327920">
              <w:rPr>
                <w:rFonts w:ascii="Times New Roman" w:eastAsia="Times New Roman" w:hAnsi="Times New Roman" w:cs="Times New Roman"/>
                <w:sz w:val="24"/>
                <w:szCs w:val="24"/>
              </w:rPr>
              <w:t>speciilor invazive în urma plantării de arbori, respectiv „</w:t>
            </w:r>
            <w:r w:rsidR="00327920" w:rsidRPr="00327920">
              <w:rPr>
                <w:rFonts w:ascii="Times New Roman" w:eastAsia="Times New Roman" w:hAnsi="Times New Roman" w:cs="Times New Roman"/>
                <w:sz w:val="24"/>
                <w:szCs w:val="24"/>
              </w:rPr>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r w:rsidR="00327920">
              <w:rPr>
                <w:rFonts w:ascii="Times New Roman" w:eastAsia="Times New Roman" w:hAnsi="Times New Roman" w:cs="Times New Roman"/>
                <w:sz w:val="24"/>
                <w:szCs w:val="24"/>
              </w:rPr>
              <w:t>”</w:t>
            </w:r>
          </w:p>
          <w:p w14:paraId="6C1703D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achiziţia de echipamente cu un consum energetic redus, care să determine eficientizarea consumului de energie. </w:t>
            </w:r>
          </w:p>
          <w:p w14:paraId="49FAAD9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prin implementarea submăsurilor de digitalizare se va înregistra o reducere a emisiilor de GES din transportul rutier, prin implementarea sistemelor care reduc rata accidentelor și congestiile, a sistemelor care vor permite circulaţia vehiculelor autonome, mai puţin poluante etc.</w:t>
            </w:r>
          </w:p>
          <w:p w14:paraId="760DB9A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30E33288" w14:textId="06274BBF" w:rsidR="00C65101" w:rsidRDefault="00C6510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7DD2301D"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122D4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w:t>
            </w:r>
            <w:r>
              <w:rPr>
                <w:rFonts w:ascii="Times New Roman" w:eastAsia="Times New Roman" w:hAnsi="Times New Roman" w:cs="Times New Roman"/>
                <w:sz w:val="24"/>
                <w:szCs w:val="24"/>
              </w:rPr>
              <w:lastRenderedPageBreak/>
              <w:t>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403DA91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188D3C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w:t>
            </w:r>
            <w:r>
              <w:rPr>
                <w:rFonts w:ascii="Times New Roman" w:eastAsia="Times New Roman" w:hAnsi="Times New Roman" w:cs="Times New Roman"/>
                <w:sz w:val="24"/>
                <w:szCs w:val="24"/>
              </w:rPr>
              <w:lastRenderedPageBreak/>
              <w:t xml:space="preserve">92/2011/UE privind evaluarea efectelor anumitor proiecte publice și private asupra mediului, transpusă în legislaţia naţională prin Legea nr. 292/2018 privind evaluarea impactului anumitor proiecte publice şi private asupra mediului cu încadrare în Anexa 1 – pct 7, lit. b) Construirea de autostrăzi şi de drumuri expres. </w:t>
            </w:r>
          </w:p>
          <w:p w14:paraId="7D536C8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4781F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0F6FDA65"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511A11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7030BA59"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1869E55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318F0701"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570C7C2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1503558F"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dimensionarea șanțurilor, rigolelor și cazurilor prevăzute, ce trebuie sa preia apele pluviale și să le canalizeze către podețe și poduri a fost realizată astfel încât să asigure o drenare eficientă a caii de rulare în scopul evitării producerii inundatiilor;</w:t>
            </w:r>
          </w:p>
          <w:p w14:paraId="3BF618AE"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6B1D9AD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organiza sistemul de informare şi control asupra stării drumurilor şi modul de pregătire şi acţionare pe timp de iarnă, respectând prevederile normativelor în vigoare;</w:t>
            </w:r>
          </w:p>
          <w:p w14:paraId="69CAC6FB"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23407C1A"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execuția pereților din piloni de beton armat pentru limitarea amprizei; </w:t>
            </w:r>
          </w:p>
          <w:p w14:paraId="7BE5C104" w14:textId="77777777" w:rsidR="0001312F" w:rsidRDefault="0067039D">
            <w:pPr>
              <w:numPr>
                <w:ilvl w:val="0"/>
                <w:numId w:val="57"/>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382AB2E9" w14:textId="77777777" w:rsidR="0001312F" w:rsidRDefault="0001312F">
            <w:pPr>
              <w:spacing w:after="0"/>
              <w:jc w:val="both"/>
              <w:rPr>
                <w:rFonts w:ascii="Times New Roman" w:eastAsia="Times New Roman" w:hAnsi="Times New Roman" w:cs="Times New Roman"/>
                <w:sz w:val="24"/>
                <w:szCs w:val="24"/>
              </w:rPr>
            </w:pPr>
          </w:p>
          <w:p w14:paraId="591E633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2D77A264"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38CCCA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B9345AE" w14:textId="77777777" w:rsidR="0001312F" w:rsidRDefault="0001312F">
            <w:pPr>
              <w:rPr>
                <w:rFonts w:ascii="Times New Roman" w:eastAsia="Times New Roman" w:hAnsi="Times New Roman" w:cs="Times New Roman"/>
                <w:sz w:val="24"/>
                <w:szCs w:val="24"/>
              </w:rPr>
            </w:pPr>
          </w:p>
          <w:p w14:paraId="6BE5147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E4E83BA" w14:textId="77777777" w:rsidR="0001312F" w:rsidRDefault="0001312F">
            <w:pPr>
              <w:rPr>
                <w:rFonts w:ascii="Times New Roman" w:eastAsia="Times New Roman" w:hAnsi="Times New Roman" w:cs="Times New Roman"/>
                <w:sz w:val="24"/>
                <w:szCs w:val="24"/>
              </w:rPr>
            </w:pPr>
          </w:p>
          <w:p w14:paraId="35204B7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2FBE65A"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04C0E78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77F284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438AD11"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6D544276"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5486882D"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82301FC"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betoane și a stației de asfalt, vor fi amenajate şi impermeabilizate corespunzător;</w:t>
            </w:r>
          </w:p>
          <w:p w14:paraId="02100002"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spăla mijloacele şi utilajele de construcţie în apele de suprafaţă sau în interiorul ariilor naturale protejate Natura 2000;</w:t>
            </w:r>
          </w:p>
          <w:p w14:paraId="3ADD0FF0" w14:textId="77777777" w:rsidR="0001312F" w:rsidRDefault="0067039D">
            <w:pPr>
              <w:numPr>
                <w:ilvl w:val="0"/>
                <w:numId w:val="5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interzice depozitarea deșeurilor de construcții, a materialelor și staționarea utilajelor în albiile cursurilor de apa.</w:t>
            </w:r>
          </w:p>
          <w:p w14:paraId="4DB94168" w14:textId="77777777" w:rsidR="0001312F" w:rsidRDefault="0001312F">
            <w:pPr>
              <w:jc w:val="both"/>
              <w:rPr>
                <w:rFonts w:ascii="Times New Roman" w:eastAsia="Times New Roman" w:hAnsi="Times New Roman" w:cs="Times New Roman"/>
                <w:sz w:val="24"/>
                <w:szCs w:val="24"/>
              </w:rPr>
            </w:pPr>
          </w:p>
          <w:p w14:paraId="778F1F7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8B80D13"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p w14:paraId="57DA65BF"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colectarea, epurarea şi evacuarea apelor pluviale de pe suprafaţa de rulare şi taluzuri, se va asigura întreţinerea şi funcţionarea sistemelor de drenaj (şanţurile pereate, şanţurile înierbate, rigolele de acostament, casiurile de descărcare, rigolele pereate pe bermele rambleelor înalte, podeţele de descărcare, bazinele decantoare, separatoarele de grăsimi, bazinele de dispersie);</w:t>
            </w:r>
          </w:p>
          <w:p w14:paraId="707E340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nămolul colectat din şanţuri şi decantoare va fi transportat la depozite de deşeuri sau staţii de epurare în vederea tratării şi eliminării;</w:t>
            </w:r>
          </w:p>
          <w:p w14:paraId="349F53CD"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curăţarea periodică a separatoarelor de produse petroliere pentru evitarea oricăror deversări/ poluări;</w:t>
            </w:r>
          </w:p>
          <w:p w14:paraId="5F5EB6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corespunzătoare a suprafeţei de rulare pentru evitarea apariţiei crăpăturilor şi fisurilor, prin care pot să apară infiltraţii în corpul rambleelor;</w:t>
            </w:r>
          </w:p>
          <w:p w14:paraId="4F7F492A"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platforma aferentă dotarilor infrastructurii rutiere (spații de servicii, centre de intretinere CIC şi CIM) vor fi proiectate cu pante care sa asigure scurgerea și colectarea apelor meteorice, acestea fiind dirijate apoi către construcțiile de epurare;</w:t>
            </w:r>
          </w:p>
          <w:p w14:paraId="6126BD47" w14:textId="77777777" w:rsidR="0001312F" w:rsidRDefault="0067039D">
            <w:pPr>
              <w:numPr>
                <w:ilvl w:val="0"/>
                <w:numId w:val="58"/>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verificarea periodică a funcționării stațiilor de alimentare cu carburanți și a rezervoarelor de combustibil prevăzute la spațiile de servicii, la centrul de întreținere și coordonare precum și la centrul de întreținere și monitorizare. Apele pluviale colectate de pe platforma unde va fi montată stația vor fi descărcate într-un separator de hidrocarburi.</w:t>
            </w:r>
          </w:p>
          <w:p w14:paraId="263831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Totodată, beneficiarul proiectului va stabili un plan de management de mediu care să cuprindă, printre altele, următoarele acţiuni:</w:t>
            </w:r>
          </w:p>
          <w:p w14:paraId="54D57383"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plan de alarmare şi intervenţie rapidă în cazul unor accidente cu deversare importantă de lichide poluante;</w:t>
            </w:r>
          </w:p>
          <w:p w14:paraId="1BBD4A00"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mijloacele necesare pentru neutralizarea poluărilor accidentale datorate scurgerilor de compuşi lichizi toxici;</w:t>
            </w:r>
          </w:p>
          <w:p w14:paraId="47CC9A92"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revizuirea, actualizarea şi întreţinerea corespunzătoare, conform noilor condiţii ale traficului pentru semnalizarea rutieră, menită să reducă riscul accidentelor;</w:t>
            </w:r>
          </w:p>
          <w:p w14:paraId="0F52B234" w14:textId="77777777" w:rsidR="0001312F" w:rsidRDefault="0067039D">
            <w:pPr>
              <w:numPr>
                <w:ilvl w:val="0"/>
                <w:numId w:val="4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rigolelor de scurgere riverane drumului.</w:t>
            </w:r>
          </w:p>
          <w:p w14:paraId="728B1C3A" w14:textId="77777777" w:rsidR="0001312F" w:rsidRDefault="0001312F">
            <w:pPr>
              <w:jc w:val="both"/>
              <w:rPr>
                <w:rFonts w:ascii="Times New Roman" w:eastAsia="Times New Roman" w:hAnsi="Times New Roman" w:cs="Times New Roman"/>
                <w:sz w:val="24"/>
                <w:szCs w:val="24"/>
              </w:rPr>
            </w:pPr>
          </w:p>
          <w:p w14:paraId="645474F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01513DDF" w14:textId="7E8E1BB5" w:rsidR="00635C4F" w:rsidRDefault="00635C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Suplimentare faţă de măsurile menţionate anterior, în cadrul Raportului de mediu au fost propuse măsuri pentru reducerea şi evitarea alterărilor hidromorfologice</w:t>
            </w:r>
            <w:r w:rsidR="00D0225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evitarea zonelor de protecţie şi</w:t>
            </w:r>
            <w:r w:rsidR="00D0225B">
              <w:rPr>
                <w:rFonts w:ascii="Times New Roman" w:eastAsia="Times New Roman" w:hAnsi="Times New Roman" w:cs="Times New Roman"/>
                <w:sz w:val="24"/>
                <w:szCs w:val="24"/>
              </w:rPr>
              <w:t xml:space="preserve"> evitarea</w:t>
            </w:r>
            <w:r>
              <w:rPr>
                <w:rFonts w:ascii="Times New Roman" w:eastAsia="Times New Roman" w:hAnsi="Times New Roman" w:cs="Times New Roman"/>
                <w:sz w:val="24"/>
                <w:szCs w:val="24"/>
              </w:rPr>
              <w:t xml:space="preserve"> poluări</w:t>
            </w:r>
            <w:r w:rsidR="00D0225B">
              <w:rPr>
                <w:rFonts w:ascii="Times New Roman" w:eastAsia="Times New Roman" w:hAnsi="Times New Roman" w:cs="Times New Roman"/>
                <w:sz w:val="24"/>
                <w:szCs w:val="24"/>
              </w:rPr>
              <w:t>lor</w:t>
            </w:r>
            <w:r>
              <w:rPr>
                <w:rFonts w:ascii="Times New Roman" w:eastAsia="Times New Roman" w:hAnsi="Times New Roman" w:cs="Times New Roman"/>
                <w:sz w:val="24"/>
                <w:szCs w:val="24"/>
              </w:rPr>
              <w:t xml:space="preserve"> accidentale. Măsurile </w:t>
            </w:r>
            <w:r w:rsidR="00FA132C">
              <w:rPr>
                <w:rFonts w:ascii="Times New Roman" w:eastAsia="Times New Roman" w:hAnsi="Times New Roman" w:cs="Times New Roman"/>
                <w:sz w:val="24"/>
                <w:szCs w:val="24"/>
              </w:rPr>
              <w:t>p</w:t>
            </w:r>
            <w:r w:rsidR="00D0225B">
              <w:rPr>
                <w:rFonts w:ascii="Times New Roman" w:eastAsia="Times New Roman" w:hAnsi="Times New Roman" w:cs="Times New Roman"/>
                <w:sz w:val="24"/>
                <w:szCs w:val="24"/>
              </w:rPr>
              <w:t>ropuse</w:t>
            </w:r>
            <w:r w:rsidR="00FA132C">
              <w:rPr>
                <w:rFonts w:ascii="Times New Roman" w:eastAsia="Times New Roman" w:hAnsi="Times New Roman" w:cs="Times New Roman"/>
                <w:sz w:val="24"/>
                <w:szCs w:val="24"/>
              </w:rPr>
              <w:t xml:space="preserve"> în Raportul de mediu în urma realizării evaluării sunt următoarele. </w:t>
            </w:r>
          </w:p>
          <w:p w14:paraId="0CD9535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4C8B3D9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w:t>
            </w:r>
            <w:r w:rsidRPr="00FA132C">
              <w:rPr>
                <w:rFonts w:ascii="Times New Roman" w:eastAsia="Times New Roman" w:hAnsi="Times New Roman" w:cs="Times New Roman"/>
                <w:sz w:val="24"/>
                <w:szCs w:val="24"/>
              </w:rPr>
              <w:lastRenderedPageBreak/>
              <w:t>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0BEFDE63"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27F5670F" w14:textId="77777777" w:rsidR="00FA132C" w:rsidRDefault="00FA132C" w:rsidP="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7228BA30" w14:textId="77777777" w:rsidR="00FA132C" w:rsidRDefault="00FA132C">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r>
              <w:rPr>
                <w:rFonts w:ascii="Times New Roman" w:eastAsia="Times New Roman" w:hAnsi="Times New Roman" w:cs="Times New Roman"/>
                <w:sz w:val="24"/>
                <w:szCs w:val="24"/>
              </w:rPr>
              <w:t>.</w:t>
            </w:r>
          </w:p>
          <w:p w14:paraId="5DC6C4C5" w14:textId="0775608A" w:rsidR="00D13ECB" w:rsidRDefault="00D13ECB" w:rsidP="00D13E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5D94AF3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619DB496"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A25CBA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7030530" w14:textId="77777777" w:rsidR="0001312F" w:rsidRDefault="0001312F">
            <w:pPr>
              <w:rPr>
                <w:rFonts w:ascii="Times New Roman" w:eastAsia="Times New Roman" w:hAnsi="Times New Roman" w:cs="Times New Roman"/>
                <w:sz w:val="24"/>
                <w:szCs w:val="24"/>
              </w:rPr>
            </w:pPr>
          </w:p>
          <w:p w14:paraId="69EAC067"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w:t>
            </w:r>
            <w:r>
              <w:rPr>
                <w:rFonts w:ascii="Times New Roman" w:eastAsia="Times New Roman" w:hAnsi="Times New Roman" w:cs="Times New Roman"/>
                <w:sz w:val="24"/>
                <w:szCs w:val="24"/>
              </w:rPr>
              <w:lastRenderedPageBreak/>
              <w:t xml:space="preserve">incinerării sau a eliminării deșeurilor, cu excepția incinerării deșeurilor periculoase nereciclabile sau </w:t>
            </w:r>
          </w:p>
          <w:p w14:paraId="6DE41192" w14:textId="77777777" w:rsidR="0001312F" w:rsidRDefault="0001312F">
            <w:pPr>
              <w:rPr>
                <w:rFonts w:ascii="Times New Roman" w:eastAsia="Times New Roman" w:hAnsi="Times New Roman" w:cs="Times New Roman"/>
                <w:sz w:val="24"/>
                <w:szCs w:val="24"/>
              </w:rPr>
            </w:pPr>
          </w:p>
          <w:p w14:paraId="61830C4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B7B75A1" w14:textId="77777777" w:rsidR="0001312F" w:rsidRDefault="0001312F">
            <w:pPr>
              <w:rPr>
                <w:rFonts w:ascii="Times New Roman" w:eastAsia="Times New Roman" w:hAnsi="Times New Roman" w:cs="Times New Roman"/>
                <w:sz w:val="24"/>
                <w:szCs w:val="24"/>
              </w:rPr>
            </w:pPr>
          </w:p>
          <w:p w14:paraId="4A5CA044"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5E7D376E" w14:textId="0B3EA9F1"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04C451EE" w14:textId="556C1E3E" w:rsidR="0001312F" w:rsidRDefault="0089596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Acţiunile implementate prin PT sunt generatoare de deşeuri, însă nu în cantităţi semnificative</w:t>
            </w:r>
            <w:r w:rsidR="007A126A">
              <w:rPr>
                <w:rFonts w:ascii="Times New Roman" w:eastAsia="Times New Roman" w:hAnsi="Times New Roman" w:cs="Times New Roman"/>
                <w:sz w:val="24"/>
                <w:szCs w:val="24"/>
              </w:rPr>
              <w:t xml:space="preserve">, astfel încât să genereze un efect negativ semnificativ. </w:t>
            </w: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7A87B83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3B28B3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Deciziei nr. 532/2000, preluată în legislaţia naţională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3392AAA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1CA95F9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8C53A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315DBE9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şi demolare, în conformitate cu Protocolul UE de gestionare a deșeurilor din construcții și demolări, va lua în considerare cele mai </w:t>
            </w:r>
            <w:r>
              <w:rPr>
                <w:rFonts w:ascii="Times New Roman" w:eastAsia="Times New Roman" w:hAnsi="Times New Roman" w:cs="Times New Roman"/>
                <w:sz w:val="24"/>
                <w:szCs w:val="24"/>
              </w:rPr>
              <w:lastRenderedPageBreak/>
              <w:t>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465331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696504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63637C0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Deşeurile de echipamente electrice și electronice, de exemplu echipamente informatice şi de telecomunicaţii de dimensiuni mici (nicio dimensiune externă mai mare de 50 cm), vor fi gestionate în conformitate cu Directiva 19/2012 privind deşeurile de echipamente electrice şi electronice (DEEE), transpusă în legislaţia naţională prin OUG 5/2015 privind deşeurile de echipamente electrice şi electronice. </w:t>
            </w:r>
          </w:p>
          <w:p w14:paraId="3047F1EE" w14:textId="23DF911B"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colectate din spațiile de servicii / parcări vor fi reciclate, recuperate sau eliminate la rampele municipale de deșeuri, urmând a fi încheiate contracte cu operatori de salubritate autorizați. </w:t>
            </w:r>
            <w:r w:rsidR="00632D39">
              <w:rPr>
                <w:rFonts w:ascii="Times New Roman" w:eastAsia="Times New Roman" w:hAnsi="Times New Roman" w:cs="Times New Roman"/>
                <w:sz w:val="24"/>
                <w:szCs w:val="24"/>
              </w:rPr>
              <w:t>Cu privire la resursele naturale în Raportul de mediu a fost propusă următoarea măsură</w:t>
            </w:r>
            <w:r w:rsidR="000D713F">
              <w:rPr>
                <w:rFonts w:ascii="Times New Roman" w:eastAsia="Times New Roman" w:hAnsi="Times New Roman" w:cs="Times New Roman"/>
                <w:sz w:val="24"/>
                <w:szCs w:val="24"/>
              </w:rPr>
              <w:t xml:space="preserve"> de reducere a efe</w:t>
            </w:r>
            <w:r w:rsidR="009C4331">
              <w:rPr>
                <w:rFonts w:ascii="Times New Roman" w:eastAsia="Times New Roman" w:hAnsi="Times New Roman" w:cs="Times New Roman"/>
                <w:sz w:val="24"/>
                <w:szCs w:val="24"/>
              </w:rPr>
              <w:t>ctelor</w:t>
            </w:r>
            <w:r w:rsidR="000D713F">
              <w:rPr>
                <w:rFonts w:ascii="Times New Roman" w:eastAsia="Times New Roman" w:hAnsi="Times New Roman" w:cs="Times New Roman"/>
                <w:sz w:val="24"/>
                <w:szCs w:val="24"/>
              </w:rPr>
              <w:t xml:space="preserve"> negativ</w:t>
            </w:r>
            <w:r w:rsidR="009C4331">
              <w:rPr>
                <w:rFonts w:ascii="Times New Roman" w:eastAsia="Times New Roman" w:hAnsi="Times New Roman" w:cs="Times New Roman"/>
                <w:sz w:val="24"/>
                <w:szCs w:val="24"/>
              </w:rPr>
              <w:t>e</w:t>
            </w:r>
            <w:r w:rsidR="008B0646">
              <w:rPr>
                <w:rFonts w:ascii="Times New Roman" w:eastAsia="Times New Roman" w:hAnsi="Times New Roman" w:cs="Times New Roman"/>
                <w:sz w:val="24"/>
                <w:szCs w:val="24"/>
              </w:rPr>
              <w:t>, respectiv</w:t>
            </w:r>
            <w:r w:rsidR="000D713F">
              <w:rPr>
                <w:rFonts w:ascii="Times New Roman" w:eastAsia="Times New Roman" w:hAnsi="Times New Roman" w:cs="Times New Roman"/>
                <w:sz w:val="24"/>
                <w:szCs w:val="24"/>
              </w:rPr>
              <w:t xml:space="preserve"> „</w:t>
            </w:r>
            <w:r w:rsidR="000D713F" w:rsidRPr="000D713F">
              <w:rPr>
                <w:rFonts w:ascii="Times New Roman" w:eastAsia="Times New Roman" w:hAnsi="Times New Roman" w:cs="Times New Roman"/>
                <w:sz w:val="24"/>
                <w:szCs w:val="24"/>
              </w:rPr>
              <w:t>Soluţiile de valorificare/ depozitare a oricăror cantităţi de pământ excedentar ce rezultă din lucrările de execuţie vor fi analizate în cadrul RIM şi al Studiului EA pentru identificarea celor mai bune soluţii la nivel local şi evitarea impactului asupra ariilor naturale protejate, asupra corpurilor de apă de suprafaţă, precum şi evitarea afectării terenurilor cu fertilitate moderată şi ridicată.</w:t>
            </w:r>
            <w:r w:rsidR="000D713F">
              <w:rPr>
                <w:rFonts w:ascii="Times New Roman" w:eastAsia="Times New Roman" w:hAnsi="Times New Roman" w:cs="Times New Roman"/>
                <w:sz w:val="24"/>
                <w:szCs w:val="24"/>
              </w:rPr>
              <w:t>”</w:t>
            </w:r>
          </w:p>
          <w:p w14:paraId="26DF3F86" w14:textId="176AE391" w:rsidR="00BD5266" w:rsidRDefault="00BD526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581ADA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C12283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4F9DCD6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3DCBE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cum ar fi NOx,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767E904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3"/>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270A3BA1"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7071E6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5C93A77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278B535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4E2C41B0"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E9E5A5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NOx</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FCA70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6A189B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2930A4A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E0D6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690E27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F4D729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EEA8109"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2A5AB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5E5E39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59B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0965EDEC"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56528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4CB29F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114E3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6BAAD628"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652CFC"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27B868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E3DD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13E69F71" w14:textId="77777777" w:rsidR="0001312F" w:rsidRDefault="0001312F">
            <w:pPr>
              <w:jc w:val="both"/>
              <w:rPr>
                <w:rFonts w:ascii="Times New Roman" w:eastAsia="Times New Roman" w:hAnsi="Times New Roman" w:cs="Times New Roman"/>
                <w:sz w:val="24"/>
                <w:szCs w:val="24"/>
              </w:rPr>
            </w:pPr>
          </w:p>
          <w:p w14:paraId="117F5C8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autostradă și drumuri noi se vor produce modificări în tiparele de emisii ale unor poluanți atmosferici, în sensul în care emisiile acestor poluanți nu se vor mai realiza în aglomerațiile urbane, acestea mutându-se în exteriorul orașelor, crescând, astfel, calitatea aerului în zonele urbane. </w:t>
            </w:r>
          </w:p>
          <w:p w14:paraId="5E0DCD3B"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de atenuare incluse în documentațiile de execuție a lucrărilor</w:t>
            </w:r>
          </w:p>
          <w:p w14:paraId="52874BF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2B7B16E8"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2C2A8EA2"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lucrărilor eşalonat, conform unor grafice de execuţie;</w:t>
            </w:r>
          </w:p>
          <w:p w14:paraId="77AEBA3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utilajele de construcţie şi mijloacele de transport vor fi foarte bine întreţinute pentru a minimiza emisiile de gaze; acestea vor fi verificate periodic în ceea ce priveşte nivelul de monoxid de carbon şi concentrațiile de emisii în gazele de eşapament şi vor fi puse în funcțiune numai după remedierea eventualelor defecțiuni;</w:t>
            </w:r>
          </w:p>
          <w:p w14:paraId="052A8FE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timpului de mers în gol al motoarelor utilajelor şi mijloacelor de transport;</w:t>
            </w:r>
          </w:p>
          <w:p w14:paraId="4CDF1BC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încărcarea pământului excavat în mijloace de transport se va face astfel încât distanţa între cupa excavatorului şi bena autocamionului să fie cât mai mică pentru a evita astfel împrăştierea particulelor fine de pământ în zonele adiacente;</w:t>
            </w:r>
          </w:p>
          <w:p w14:paraId="2639AE7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circulaţie va fi restricţionată, iar suprafaţa drumurilor va fi stropită cu apă la intervale regulate de timp; </w:t>
            </w:r>
          </w:p>
          <w:p w14:paraId="0DE6A07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alegerea de trasee optime din punct de vedere al protecţiei mediului pentru vehiculele care transportă materiale de construcţie ce pot elibera în atmosferă particule fine; transportul acestor materiale se va realiza cu vehicule acoperite cu prelate şi pe drumuri care vor fi umezite; transportul pământului şi al materialelor de construcţie se va face, pe cât posibil, pe trasee stabilite în afara zonelor locuite;</w:t>
            </w:r>
          </w:p>
          <w:p w14:paraId="63A5ABAC"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tehnologice vor fi permanent întreţinute prin nivelare şi stropire cu apă pentru a se reduce praful; în cazul transportului de pământ se vor prevedea, pe cât posibil, trasee situate chiar pe corpul umpluturii, astfel încât, pe de o parte să se obţină o compactare suplimentară, iar pe de altă parte, pentru a restrânge aria de emisii de praf şi gaze de eşapament;</w:t>
            </w:r>
          </w:p>
          <w:p w14:paraId="65B7CE28"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stropirea agregatelor şi a incintei organizărilor de şantier, pentru a împiedica degajarea pulberilor;</w:t>
            </w:r>
          </w:p>
          <w:p w14:paraId="576CCB37"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03BCF26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02ABD86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5987986"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stabilizarea solului și reducerea emisiilor de pulberi, la sfârșitul perioadei de construcție, se vor realiza amenajări peisagistice pentru sensuri giratorii, intersecții, spații pentru servicii și CIC-uri;</w:t>
            </w:r>
          </w:p>
          <w:p w14:paraId="157AC853"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2263DCF0"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6C1FB349" w14:textId="77777777" w:rsidR="0001312F" w:rsidRDefault="0067039D">
            <w:pPr>
              <w:numPr>
                <w:ilvl w:val="0"/>
                <w:numId w:val="40"/>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aer.</w:t>
            </w:r>
          </w:p>
          <w:p w14:paraId="172DD808" w14:textId="77777777" w:rsidR="0001312F" w:rsidRDefault="0001312F">
            <w:pPr>
              <w:jc w:val="both"/>
              <w:rPr>
                <w:rFonts w:ascii="Times New Roman" w:eastAsia="Times New Roman" w:hAnsi="Times New Roman" w:cs="Times New Roman"/>
                <w:sz w:val="24"/>
                <w:szCs w:val="24"/>
              </w:rPr>
            </w:pPr>
          </w:p>
          <w:p w14:paraId="54C55C95"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327DAA61"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si a spaţiilor de servicii, centrelor de întreținere;</w:t>
            </w:r>
          </w:p>
          <w:p w14:paraId="19FE1472"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43631EA6" w14:textId="77777777" w:rsidR="0001312F" w:rsidRDefault="0067039D">
            <w:pPr>
              <w:numPr>
                <w:ilvl w:val="0"/>
                <w:numId w:val="38"/>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unui sistem de marcaje şi de semnalizare prin care să se obţină o fluidizare bună a traficului, având ca efect reducerea emisiilor din arderea carburanţilor la opriri şi porniri.</w:t>
            </w:r>
          </w:p>
          <w:p w14:paraId="4C9B99D9" w14:textId="77777777" w:rsidR="0001312F" w:rsidRDefault="0001312F">
            <w:pPr>
              <w:spacing w:after="0"/>
              <w:jc w:val="both"/>
              <w:rPr>
                <w:rFonts w:ascii="Times New Roman" w:eastAsia="Times New Roman" w:hAnsi="Times New Roman" w:cs="Times New Roman"/>
                <w:sz w:val="24"/>
                <w:szCs w:val="24"/>
              </w:rPr>
            </w:pPr>
          </w:p>
          <w:p w14:paraId="086A07F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6C0DC1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minim 170 de puncte de încărcare electrică; se va urmări ca aceste puncte de încărcare să fie ultrarapide, cu încărcare în maxim 20 de minute;</w:t>
            </w:r>
          </w:p>
          <w:p w14:paraId="0FC8F34B" w14:textId="77777777" w:rsidR="0001312F" w:rsidRDefault="0067039D">
            <w:pPr>
              <w:numPr>
                <w:ilvl w:val="0"/>
                <w:numId w:val="1"/>
              </w:numPr>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de autostradă și drumuri noi. </w:t>
            </w:r>
          </w:p>
          <w:p w14:paraId="2B2A44E9" w14:textId="77777777" w:rsidR="0001312F" w:rsidRDefault="0001312F">
            <w:pPr>
              <w:jc w:val="both"/>
              <w:rPr>
                <w:rFonts w:ascii="Times New Roman" w:eastAsia="Times New Roman" w:hAnsi="Times New Roman" w:cs="Times New Roman"/>
                <w:sz w:val="24"/>
                <w:szCs w:val="24"/>
              </w:rPr>
            </w:pPr>
          </w:p>
          <w:p w14:paraId="0FA26F1F"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658DAEE2" w14:textId="68032B0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plus, având în vedere faptul că elementul generator de emisii provine din tehnologia de propulsie a vehiculelor rutiere, prin măsuri privind taxarea vehiculelor rutiere grele și introducerea de stimulente 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4">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5C97A422" w14:textId="3BC4BEFD" w:rsidR="004C5BD9" w:rsidRDefault="00BC6BD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suplimentar faţă de măsurile menţionate anterior, în cadrul Raportul de mediu a fost propusă următoarea măsură de reducere </w:t>
            </w:r>
            <w:r w:rsidR="00531673">
              <w:rPr>
                <w:rFonts w:ascii="Times New Roman" w:eastAsia="Times New Roman" w:hAnsi="Times New Roman" w:cs="Times New Roman"/>
                <w:sz w:val="24"/>
                <w:szCs w:val="24"/>
              </w:rPr>
              <w:t>pentru zgomot şi calitatea aerului: „</w:t>
            </w:r>
            <w:r w:rsidR="00531673" w:rsidRPr="00531673">
              <w:rPr>
                <w:rFonts w:ascii="Times New Roman" w:eastAsia="Times New Roman" w:hAnsi="Times New Roman" w:cs="Times New Roman"/>
                <w:sz w:val="24"/>
                <w:szCs w:val="24"/>
              </w:rPr>
              <w:t>Infrastructura de transport care intersectează zone de intravilan trebuie însoţită de măsuri de atenuare a zgomotelor prin implementarea unor soluţii la nivelul căilor de rulare sau pentru ecranarea undelor acustice. Acolo unde este posibil, este de preferat ca aceste infrastructuri să fie însoţite de coridoare verzi (cel puţin aliniamente de arbori şi arbuşti), care pot avea şi rol în reducerea poluanţilor atmosferici. De asemenea, aceste coridoare sunt benefice pentru fauna sălbatică din mediul urban şi menţinerea / dezvoltarea populaţiilor de polenizatori.</w:t>
            </w:r>
            <w:r w:rsidR="00531673">
              <w:rPr>
                <w:rFonts w:ascii="Times New Roman" w:eastAsia="Times New Roman" w:hAnsi="Times New Roman" w:cs="Times New Roman"/>
                <w:sz w:val="24"/>
                <w:szCs w:val="24"/>
              </w:rPr>
              <w:t>”</w:t>
            </w:r>
          </w:p>
          <w:p w14:paraId="077AFDE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146B4CA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736966CE"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2D99E47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03DFB92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şantier nu se vor realiza reparaţii ale utilajelor şi autovehiculelor, pentru a preveni poluarea solului cu produse petroliere;</w:t>
            </w:r>
          </w:p>
          <w:p w14:paraId="38CDC41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48E75F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w:t>
            </w:r>
            <w:r>
              <w:rPr>
                <w:rFonts w:ascii="Times New Roman" w:eastAsia="Times New Roman" w:hAnsi="Times New Roman" w:cs="Times New Roman"/>
                <w:sz w:val="24"/>
                <w:szCs w:val="24"/>
              </w:rPr>
              <w:lastRenderedPageBreak/>
              <w:t>de întreținere echipamente, zona de amplasare a stației de betoane și a stației de asfalt vor fi betonate/ pietruite sau solul va fi stabilizat cu var.</w:t>
            </w:r>
          </w:p>
          <w:p w14:paraId="6F4A41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delimitarea corectă a amprizelor, pentru ca suprafeţele scoase din circuitul agricol să fie cât mai reduse şi respectarea limitelor amplasamentului acestora;</w:t>
            </w:r>
          </w:p>
          <w:p w14:paraId="0ED2CB4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construcţii utilizate în şantier vor fi depozitate în locuri special amenajate şi nu direct pe sol, astfel încât să nu pună în pericol siguranţa angajaţilor şi calitatea mediului;</w:t>
            </w:r>
          </w:p>
          <w:p w14:paraId="47CDFF9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depozitarea provizorie a pământului excavat se va realiza pe suprafeţe cât mai reduse;</w:t>
            </w:r>
          </w:p>
          <w:p w14:paraId="44D354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eventualele pierderi de carburanţi vor fi colectate rapid, pentru a preveni deversarea lor peste prag şi poluarea solului şi a apelor;</w:t>
            </w:r>
          </w:p>
          <w:p w14:paraId="7A4B0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de maşini/ utilaje aflate în stare optimă de funcţionare, pentru a evita scurgerile accidentale ale produselor petroliere sau a uleiurilor minerale provenite de la acestea;</w:t>
            </w:r>
          </w:p>
          <w:p w14:paraId="2BBB2A5D"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4655033B"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colectarea selectivă a deşeurilor rezultate în urma lucrărilor; depozitarea şi eliminarea/ valorificarea în funcţie de natura acestora se va face prin firme specializate, pe bază de contract, conform prevederilor legale în vigoare;</w:t>
            </w:r>
          </w:p>
          <w:p w14:paraId="4669D948"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suprafeţele de teren contaminate accidental cu hidrocarburi în timpul execuţiei lucrărilor sau în cazul în care antreprenorii identifică soluri poluate cu hidrocarburi pe amplasamentul drumului, se va notifica autoritatea judeţeană pentru protecţia mediului şi va fi prezentată propunerea de remediere; în acest caz, investigarea şi evaluarea poluării solului şi subsolului şi desfăşurarea activităţilor de curăţare, remediere şi reconstrucţie ecologică se vor efectua în conformitate cu prevederile Legii nr. 74/2019;</w:t>
            </w:r>
          </w:p>
          <w:p w14:paraId="65C179BE"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stratul vegetal decopertat se va depozita în afara ariilor naturale protejate Natura 2000 şi va fi folosit la refacerea suprafeţelor de teren afectate de proiect;</w:t>
            </w:r>
          </w:p>
          <w:p w14:paraId="4A685F0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2111F2F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platformele de lucru și suprafețele de depozitare vor fi prevăzute cu șanțuri și / sau rigole pereate pentru colectarea și evacuarea apelor pluviale; în vederea reducerii turbidității apelor de suprafața si pentru a evita ca particulele fine să fie evacuate pe terenurile din vecinătate și să influențeze </w:t>
            </w:r>
            <w:r>
              <w:rPr>
                <w:rFonts w:ascii="Times New Roman" w:eastAsia="Times New Roman" w:hAnsi="Times New Roman" w:cs="Times New Roman"/>
                <w:sz w:val="24"/>
                <w:szCs w:val="24"/>
              </w:rPr>
              <w:lastRenderedPageBreak/>
              <w:t>morfologia terenurilor, apele pluviale colectate vor fi preepurate în bazine de sedimentare care vor fi periodic curățate, iar nămolul va fi transportat la cea mai apropiata stație de epurare;</w:t>
            </w:r>
          </w:p>
          <w:p w14:paraId="48A3F29C"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preepurate în sisteme compuse din decantor si separator de produse petroliere; totodată, platformele trebuie prevăzute cu pante pentru a asigura colectarea scurgerilor accidentale de ape uzate, uleiuri, carburanți;</w:t>
            </w:r>
          </w:p>
          <w:p w14:paraId="549F199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76A4DA24"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2D518AB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apele menajere vor fi colectate într-un sistem de canalizare și stocate într-un bazin vidanjabil sau epurate într-o stație de epurare;</w:t>
            </w:r>
          </w:p>
          <w:p w14:paraId="2C428CA2"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1019DEA6"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4B7F37D5"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A8DC2B0"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(reconstrucţie ecologică) în zonele unde acesta a fost afectat temporar prin lucrările de excavare, depozitare de materiale, staţionare de utilaje, în scopul redării în circuit, la categoria de folosinţă deţinută iniţial;</w:t>
            </w:r>
          </w:p>
          <w:p w14:paraId="5B72D1BF" w14:textId="77777777" w:rsidR="0001312F" w:rsidRDefault="0067039D">
            <w:pPr>
              <w:numPr>
                <w:ilvl w:val="0"/>
                <w:numId w:val="36"/>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sol.</w:t>
            </w:r>
          </w:p>
          <w:p w14:paraId="76E2033E" w14:textId="2EAC23E7" w:rsidR="005C3A9C" w:rsidRDefault="005C3A9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8F11C9">
              <w:rPr>
                <w:rFonts w:ascii="Times New Roman" w:eastAsia="Times New Roman" w:hAnsi="Times New Roman" w:cs="Times New Roman"/>
                <w:sz w:val="24"/>
                <w:szCs w:val="24"/>
              </w:rPr>
              <w:t>La alegerea traseelor proiectelor noi de infrastructură de transport se va evita, pe cât posibil, ocuparea suprafeţelor de sol cu fertilitate moderată şi ridicată.”</w:t>
            </w:r>
          </w:p>
          <w:p w14:paraId="241C1363"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64208797" w14:textId="7576CF13"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construcţie a infrastructurii rutiere, impactul asupra apelor va fi generat de execuţia propriu-zisă a lucrărilor, traficul de şantier şi activităţile specifice organizărilor de şantier/ bazelor de producţie.</w:t>
            </w:r>
          </w:p>
          <w:p w14:paraId="4EFEA8C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Cantitățile de poluanți ce pot ajunge în apele de suprafață, în perioada de construcţie, nu afectează în mod semnificativ ecosistemele acvatice sau celelalte folosinţe ale apei în aval. Impactul asupra apelor în perioada de execuție este nesemnificativ, se manifestă local şi temporar.</w:t>
            </w:r>
          </w:p>
          <w:p w14:paraId="1A9D12D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concluzie, lucrările de construcţie prevăzute în proiecte nu pot provoca un impact semnificativ asupra factorului de mediu apă, în măsura în care se vor respecta măsurile de protecție prevăzute.</w:t>
            </w:r>
          </w:p>
          <w:p w14:paraId="16E78477" w14:textId="77777777" w:rsidR="0001312F" w:rsidRDefault="0067039D">
            <w:pPr>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4AD186F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6333CBB5"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lucrările de întreţinere a infrastructurii rutiere;</w:t>
            </w:r>
          </w:p>
          <w:p w14:paraId="551AC302"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accidentele rutiere în care sunt implicate cisterne care transportă substanţe periculoase generează poluarea apelor de suprafaţă şi subterane;</w:t>
            </w:r>
          </w:p>
          <w:p w14:paraId="7EB7FEE9" w14:textId="77777777" w:rsidR="0001312F" w:rsidRDefault="0067039D">
            <w:pPr>
              <w:numPr>
                <w:ilvl w:val="0"/>
                <w:numId w:val="34"/>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funcţionarea defectuoasă a sistemului de colectare şi evacuare a apelor pluviale de pe suprafaţa carosabilă şi a sistemului de preepurare (decantor-separator de produse petroliere), respectiv a apelor uzate şi pluviale rezultate de la spaţiile de servicii și CIC.</w:t>
            </w:r>
          </w:p>
          <w:p w14:paraId="73BB3304" w14:textId="77777777" w:rsidR="0001312F" w:rsidRDefault="0001312F">
            <w:pPr>
              <w:jc w:val="both"/>
              <w:rPr>
                <w:rFonts w:ascii="Times New Roman" w:eastAsia="Times New Roman" w:hAnsi="Times New Roman" w:cs="Times New Roman"/>
                <w:sz w:val="24"/>
                <w:szCs w:val="24"/>
              </w:rPr>
            </w:pPr>
          </w:p>
          <w:p w14:paraId="6FA122C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apreciază că emisiile de substanţe poluante în perioada de exploatare, care ar putea ajunge direct sau indirect în apele de suprafață sau subterane nu sunt în cantități importante și nu modifică încadrarea în categoria de calitate a apei.</w:t>
            </w:r>
          </w:p>
          <w:p w14:paraId="017917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condiţii normale de exploatare a infrastructurii rutiere, prin respectarea măsurilor de protecţie a mediului propuse, nu există evenimente care să producă un impact semnificativ asupra resurselor de apă.</w:t>
            </w:r>
          </w:p>
          <w:p w14:paraId="5377CCFA" w14:textId="7777777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Raportului de mediu a fost analizat potenţialul efect asupra corpurilor de apă de suprafaţă a implementării tipurilor de acţiuni ce vizează infrastructura rutieră. </w:t>
            </w:r>
            <w:r w:rsidRPr="009E1F42">
              <w:rPr>
                <w:rFonts w:ascii="Times New Roman" w:eastAsia="Times New Roman" w:hAnsi="Times New Roman" w:cs="Times New Roman"/>
                <w:sz w:val="24"/>
                <w:szCs w:val="24"/>
              </w:rPr>
              <w:t xml:space="preserve">Evaluarea potenţialelor impacturi </w:t>
            </w:r>
            <w:r w:rsidRPr="009E1F42">
              <w:rPr>
                <w:rFonts w:ascii="Times New Roman" w:eastAsia="Times New Roman" w:hAnsi="Times New Roman" w:cs="Times New Roman"/>
                <w:sz w:val="24"/>
                <w:szCs w:val="24"/>
              </w:rPr>
              <w:lastRenderedPageBreak/>
              <w:t>asupra corpurilor de apă de suprafaţă a implicat identificarea tuturor intersecţiilor dintre proiectele de infrastructură şi corpurile de apă. Având în vedere cerinţele de evaluare a potenţialelor impacturi la nivelul întregului corp de apă, evaluarea s-a realizat cumulat, luând în considerare toate proiectele de infrastructură, indiferent de sursa lor de finanţare (PT, PNRR, POIM, etc.). Pe baza datelor şi informaţiilor puse la dispoziţie de ANAR au fost realizate intersecţii spaţiale ale resurselor legate de infrastructura de transport şi corpurile de apă şi a fost elaborată o bază de date.</w:t>
            </w:r>
          </w:p>
          <w:p w14:paraId="35FF6A7D" w14:textId="1C3DB3D7" w:rsidR="0066009A" w:rsidRDefault="0066009A" w:rsidP="0066009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urma evaluării a fost considerat un efect negativ semnificativ pentru diferite proiecte, în funcţie de numărul de intersecţii şi de starea/potenţialul corpurilor de apă. De asemenea în cadrul Raportului de mediu au fost propuse măsuri pentru obiectivul de mediu Apă pentru evitarea şi reducerea alterărilor hidromorfologice şi evitarea zonelor de protecţie şi poluări accidentale. </w:t>
            </w:r>
          </w:p>
          <w:p w14:paraId="0629114E" w14:textId="5922713E" w:rsidR="00506017" w:rsidRDefault="00506017" w:rsidP="00506017">
            <w:pPr>
              <w:pStyle w:val="ListParagraph"/>
              <w:numPr>
                <w:ilvl w:val="0"/>
                <w:numId w:val="63"/>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195F3D81" w14:textId="3C18AD0F" w:rsidR="00506017"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19B3FECE" w14:textId="61A70847"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5FF568A1" w14:textId="43943261" w:rsidR="00084174" w:rsidRDefault="00084174" w:rsidP="00506017">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r>
              <w:rPr>
                <w:rFonts w:ascii="Times New Roman" w:eastAsia="Times New Roman" w:hAnsi="Times New Roman" w:cs="Times New Roman"/>
                <w:sz w:val="24"/>
                <w:szCs w:val="24"/>
              </w:rPr>
              <w:t>;</w:t>
            </w:r>
          </w:p>
          <w:p w14:paraId="72B377FD" w14:textId="77777777" w:rsidR="0066009A" w:rsidRDefault="00084174">
            <w:pPr>
              <w:pStyle w:val="ListParagraph"/>
              <w:numPr>
                <w:ilvl w:val="0"/>
                <w:numId w:val="63"/>
              </w:numPr>
              <w:jc w:val="both"/>
              <w:rPr>
                <w:rFonts w:ascii="Times New Roman" w:eastAsia="Times New Roman" w:hAnsi="Times New Roman" w:cs="Times New Roman"/>
                <w:sz w:val="24"/>
                <w:szCs w:val="24"/>
              </w:rPr>
            </w:pPr>
            <w:r w:rsidRPr="00084174">
              <w:rPr>
                <w:rFonts w:ascii="Times New Roman" w:eastAsia="Times New Roman" w:hAnsi="Times New Roman" w:cs="Times New Roman"/>
                <w:sz w:val="24"/>
                <w:szCs w:val="24"/>
              </w:rPr>
              <w:lastRenderedPageBreak/>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3BF1B29" w14:textId="1A455364" w:rsidR="005A4495" w:rsidRPr="008F11C9" w:rsidRDefault="005A4495" w:rsidP="005A449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şi măsurile propuse în Raportul de mediu, se consideră îndeplinit principiul DNSH pentru acest obiectiv de mediu.</w:t>
            </w:r>
          </w:p>
        </w:tc>
      </w:tr>
      <w:tr w:rsidR="0001312F" w14:paraId="68FA7CA2"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7AF02E51" w14:textId="77777777" w:rsidR="0001312F" w:rsidRDefault="0067039D">
            <w:pPr>
              <w:rPr>
                <w:rFonts w:ascii="Times New Roman" w:eastAsia="Times New Roman" w:hAnsi="Times New Roman" w:cs="Times New Roman"/>
                <w:sz w:val="24"/>
                <w:szCs w:val="24"/>
              </w:rPr>
            </w:pPr>
            <w:bookmarkStart w:id="9" w:name="_heading=h.4d34og8" w:colFirst="0" w:colLast="0"/>
            <w:bookmarkEnd w:id="9"/>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B2DD847"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8CF0990"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19AEB733" w14:textId="77777777" w:rsidR="0001312F" w:rsidRDefault="0067039D">
            <w:pPr>
              <w:numPr>
                <w:ilvl w:val="0"/>
                <w:numId w:val="3"/>
              </w:numPr>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5EB6E9DB"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2A36579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autostradă și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a Directivei 92/2011 privind evaluarea efectelor anumitor proiecte publice și private asupra mediului și ale Directivei 43/92 privind conservarea habitatelor naturale și a speciilor de faună și floră sălbatică. </w:t>
            </w:r>
          </w:p>
          <w:p w14:paraId="01CB1E5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6856B07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w:t>
            </w:r>
            <w:r>
              <w:rPr>
                <w:rFonts w:ascii="Times New Roman" w:eastAsia="Times New Roman" w:hAnsi="Times New Roman" w:cs="Times New Roman"/>
                <w:sz w:val="24"/>
                <w:szCs w:val="24"/>
              </w:rPr>
              <w:lastRenderedPageBreak/>
              <w:t xml:space="preserve">conformitate cu procedura aplicată deja la nivelul CNAIR. Inclusiv pentru proiectele pentru care este necesară revizuirea acordului de mediu, evaluarea adecvată se face ținând cont de obiectivele specifice de conservare. </w:t>
            </w:r>
          </w:p>
          <w:p w14:paraId="60BC910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3D15D6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priorități a fost estimat un număr de 13 infrastructuri verzi, reprezentând 6,5ha care vor beneficia de sprijin pentru alte scopuri decât adaptarea la schimbările climatice. </w:t>
            </w:r>
          </w:p>
          <w:p w14:paraId="09CEDAC1"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5FAACD77"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369946A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3137D77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a impactului asupra mediului, iar în cazul în care vor fi necesare măsuri suplimentare, vor fi propuse măsuri specifice în cadrul rapoartelor de monitorizare și va fi urmărită implementarea acestora. </w:t>
            </w:r>
          </w:p>
          <w:p w14:paraId="465110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multi-criteriale de selecție următoarele elemente:</w:t>
            </w:r>
          </w:p>
          <w:p w14:paraId="2EEEE6AF"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1E1481F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antropizate; </w:t>
            </w:r>
          </w:p>
          <w:p w14:paraId="13C9E780"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antropizate precum foste platforme industriale / platforme betonate, terenuri neproductive; </w:t>
            </w:r>
          </w:p>
          <w:p w14:paraId="43C2D106"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23D99D83"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ecoducte, etc. De asemenea, sunt propuse panouri fonoabsorbante, panouri anticoliziune, garduri ranforsate, subtraversări, etc; </w:t>
            </w:r>
          </w:p>
          <w:p w14:paraId="6E7C6542" w14:textId="77777777" w:rsidR="0001312F" w:rsidRDefault="0067039D">
            <w:pPr>
              <w:numPr>
                <w:ilvl w:val="0"/>
                <w:numId w:val="3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alternativele de traseu sunt propuse și ulterior selectate astfel încât să nu afecteze terenuri din fondul forestier (terenuri împădurite sau terenuri neîmpădurite încă). Acolo unde nu există 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3545776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4503AAE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38BF2D2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ca parte integrantă a UE, îşi propune alinierea la direcțiile propuse de către practicile europene, adoptând o strategie de susținere şi sprijinire financiară a fermierilor și producătorilor locali, încurajând practicile durabile și ecologice, investind în același timp și în dezvoltarea zonelor rurale.</w:t>
            </w:r>
          </w:p>
          <w:p w14:paraId="193388C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69133E2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şi întârzieri ale livrărilor de produse, ducând la creșterea costurilor totale și la reducerea competitivității în domeniul agricol.</w:t>
            </w:r>
          </w:p>
          <w:p w14:paraId="2244C57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intermediul noii Politici Agricole Comune (PAC), se dorește tranziția agriculturii UE spre strategii agro-ecologice.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4358823B"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dezvoltării durabile a zonelor rurale și mediului implică şi asigurarea unei infrastructuri corespunzătoare, cu fonduri destinate și alocate în acest sens. Prin intermediul acesteia, se poate asigura un mediu stabil şi competent pentru a avea o producție de hrană de calitate bazată pe sisteme și practici durabile cum ar fi agricultura ecologică și alte practici agricole prietenoase, precum şi transportul eficient al produselor către consumatorii finali. Aceștia ar avea acces facil şi rapid la hrană produsă în mod ecologic de către producători specializați.</w:t>
            </w:r>
          </w:p>
          <w:p w14:paraId="3588F2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rețea de infrastructură eficientă asigură un mediu propice transferului de cunoștințe agro-ecologice, cooperării și inovațiilor în domeniu. Dintre externalităţile pozitive indirecte asociate ocupării de terenuri agricole pentru realizarea proiectelor de infrastructură, se pot menționa următoarele:</w:t>
            </w:r>
          </w:p>
          <w:p w14:paraId="61B96276"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20032EFF"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economiei naționale şi asigurarea sustenabilității: scăzând costurile asociate transportului de mărfuri, producătorii pot absorbi fondurile destinate acestora şi le pot redirecționa </w:t>
            </w:r>
            <w:r>
              <w:rPr>
                <w:rFonts w:ascii="Times New Roman" w:eastAsia="Times New Roman" w:hAnsi="Times New Roman" w:cs="Times New Roman"/>
                <w:sz w:val="24"/>
                <w:szCs w:val="24"/>
              </w:rPr>
              <w:lastRenderedPageBreak/>
              <w:t>spre creșterea calității produselor, achiziția de utilaje noi, performante, adoptarea de tehnologii mai eficiente, mai prietenoase cu mediul;</w:t>
            </w:r>
          </w:p>
          <w:p w14:paraId="352EB638"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5C11440E"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agriculturii ecologice, a produselor de calitate, a cooperării dintre producători, dintre producători şi consumatori, precum şi acces facil la servicii de consultanță și inovații agro-ecologice;</w:t>
            </w:r>
          </w:p>
          <w:p w14:paraId="1D6CB264"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producție de hrană bazată pe strategiile agro-ecologice, prin dezvoltarea de lanțuri de aprovizionare coordonate de către comunități;</w:t>
            </w:r>
          </w:p>
          <w:p w14:paraId="6E046FFB" w14:textId="77777777" w:rsidR="0001312F" w:rsidRDefault="0067039D">
            <w:pPr>
              <w:numPr>
                <w:ilvl w:val="1"/>
                <w:numId w:val="32"/>
              </w:numPr>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transfer de cunoștințe agro-ecologice şi tranziția facilă spre agro-ecologie, prin folosirea politicii agricole comune pentru construirea noilor sisteme alimentare;</w:t>
            </w:r>
          </w:p>
          <w:p w14:paraId="3B48DF3A" w14:textId="77777777" w:rsidR="0001312F" w:rsidRDefault="0067039D">
            <w:pPr>
              <w:numPr>
                <w:ilvl w:val="1"/>
                <w:numId w:val="32"/>
              </w:numPr>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creșterea capacității sistemului de transport, se va asigura o fluidizare și o creștere a competitivității în domeniu, cu rezultate benefice pentru consumator.</w:t>
            </w:r>
          </w:p>
          <w:p w14:paraId="75A89566"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5F786862"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29495B0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7E361D2A"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7D09DD99"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7E8734D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conservare/refacere a habitatelor impactate de construcția infrastructurii rutiere,</w:t>
            </w:r>
          </w:p>
          <w:p w14:paraId="2402D221"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1B44147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evitarea producerii de boli sau pentru a nu împiedica dezvoltarea normală a vegetaţiei, şanţurile, bazinele vidanjabile, decantoarele şi separatoarele de produse petroliere vor fi întreţinute corespunzător de către administratorul infrastructurii;</w:t>
            </w:r>
          </w:p>
          <w:p w14:paraId="1DD27A0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împrejmuirea sectoarelor de autostradă cu gard de protecţie cu înălţimea de 1,80 m în zonele împădurite şi 1,50 m în zonele neîmpădurite, în vederea eliminării accesului accidental al animalelor sau al persoanelor neparticipante la traficul rutier, pe platforma drumului; administratorul drumului are obligaţia de a asigura integritatea acestei împrejmuiri în toată perioada de operare a sectoarelor de autostradă;</w:t>
            </w:r>
          </w:p>
          <w:p w14:paraId="2E9FC24C"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obligarea beneficiarului de proiect de a planta arbori şi arbuşti în preajma podeţelor pentru a asigura circulaţia faunei existente – trecerea liberă a animalelor dintr-o parte în alta carosabilului;</w:t>
            </w:r>
          </w:p>
          <w:p w14:paraId="41EDA517"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şi pasaje; va fi interzisă desfăşurarea în aceste locuri a unor activităţi care ar putea afecta circulaţia faunei. </w:t>
            </w:r>
          </w:p>
          <w:p w14:paraId="54E34822"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supratraversări (ecoducte) pentru faună la nivelul solului pentru conectivitatea speciilor terestre ce își au nișa ecologică în zona respectivă, </w:t>
            </w:r>
          </w:p>
          <w:p w14:paraId="2E5325F5"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panouri fono-absorbante însoțite de mijloace de semnalizare pentru evitarea impactului speciilor zburătoare;</w:t>
            </w:r>
          </w:p>
          <w:p w14:paraId="46E3E72B" w14:textId="77777777" w:rsidR="0001312F" w:rsidRDefault="0067039D">
            <w:pPr>
              <w:numPr>
                <w:ilvl w:val="0"/>
                <w:numId w:val="31"/>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30283B2F" w14:textId="77777777" w:rsidR="0001312F" w:rsidRDefault="0001312F">
            <w:pPr>
              <w:spacing w:after="0"/>
              <w:jc w:val="both"/>
              <w:rPr>
                <w:rFonts w:ascii="Times New Roman" w:eastAsia="Times New Roman" w:hAnsi="Times New Roman" w:cs="Times New Roman"/>
                <w:sz w:val="24"/>
                <w:szCs w:val="24"/>
              </w:rPr>
            </w:pPr>
          </w:p>
          <w:p w14:paraId="052014E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03E90739" w14:textId="0970AE29" w:rsidR="0021578E" w:rsidRDefault="0021578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evaluării strategice de mediu, pentru Programul Transport 2021-2027 a fost realizat Studiul de Evaluare Adecvată</w:t>
            </w:r>
            <w:r w:rsidR="00462533">
              <w:rPr>
                <w:rFonts w:ascii="Times New Roman" w:eastAsia="Times New Roman" w:hAnsi="Times New Roman" w:cs="Times New Roman"/>
                <w:sz w:val="24"/>
                <w:szCs w:val="24"/>
              </w:rPr>
              <w:t>. În urma evaluării tipurilor de acţiuni au fost identificate potenţiale efecte negative semnificative şi nesemnificative asupra obiectivului de mediu Biodiversitate. Însă au fost propuse</w:t>
            </w:r>
            <w:r w:rsidR="00AC6A89">
              <w:rPr>
                <w:rFonts w:ascii="Times New Roman" w:eastAsia="Times New Roman" w:hAnsi="Times New Roman" w:cs="Times New Roman"/>
                <w:sz w:val="24"/>
                <w:szCs w:val="24"/>
              </w:rPr>
              <w:t xml:space="preserve"> următoarele</w:t>
            </w:r>
            <w:r w:rsidR="00462533">
              <w:rPr>
                <w:rFonts w:ascii="Times New Roman" w:eastAsia="Times New Roman" w:hAnsi="Times New Roman" w:cs="Times New Roman"/>
                <w:sz w:val="24"/>
                <w:szCs w:val="24"/>
              </w:rPr>
              <w:t xml:space="preserve"> măsuri de evitare şi reducere a efectelor negative. </w:t>
            </w:r>
          </w:p>
          <w:p w14:paraId="50A4AF8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Toate proiectele pentru care încă nu a fost selectat traseul vor include în analiza multicriterială cel puţin un subcriteriu referitor la intersectarea limitelor siturilor Natura 2000. Acesta trebuie să asigure </w:t>
            </w:r>
            <w:r w:rsidRPr="00AC6A89">
              <w:rPr>
                <w:rFonts w:ascii="Times New Roman" w:eastAsia="Times New Roman" w:hAnsi="Times New Roman" w:cs="Times New Roman"/>
                <w:sz w:val="24"/>
                <w:szCs w:val="24"/>
              </w:rPr>
              <w:lastRenderedPageBreak/>
              <w:t>ierarhizarea alternativelor de traseu astfel încât punctajul maxim să fie obţinut de proiectele ale căror limite şi zone de influenţă nu intersectează limitele siturilor Natura 2000.</w:t>
            </w:r>
          </w:p>
          <w:p w14:paraId="58EDE4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şi reducere a impactului ulterior emiterii Acordului de mediu pentru un proiect se va realiza doar în contextul revizuirii, după caz, a studiului de evaluare adecvată, a raportului privind impactul asupra mediului şi a studiului de evaluare a impactului asupra corpurilor de apă. </w:t>
            </w:r>
          </w:p>
          <w:p w14:paraId="395CEC51"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sau locaţiile de implementare vor include în analiza multicriterială cel puţin un subcriteriu referitor la intersectarea limitelor habitatelor prioritare şi a limitelor habitatelor speciilor prioritare. Acesta trebuie să asigure ierarhizarea alternativelor de traseu astfel încât proiectele ale căror limite şi zone de influenţă nu intersectează limitele habitatelor prioritare / habitatelor speciilor prioritare să fie favorizate.</w:t>
            </w:r>
          </w:p>
          <w:p w14:paraId="3CE2A0B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5D3B61C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finanţate prin PT, indiferent dacă intersectează sau nu situri Natura 2000, vor elabora un Plan de identificare şi control al speciilor invazive. Planul va acoperi toate etapele ciclului de viaţă al proiectului şi va include toate măsurile necesare pentru evitarea favorizării pătrunderii şi răspândirii speciilor invazive, precum şi controlul acestora în toate zonele de implementare a proiectului. Planul trebuie să asigure evitarea oricărui impact asupra habitatelor de interes comunitar şi habitatelor speciilor de interes comunitar.</w:t>
            </w:r>
          </w:p>
          <w:p w14:paraId="4A238B2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p>
          <w:p w14:paraId="509D376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Pentru toate proiectele finanţate prin PT vor fi asigurate sisteme şi dotări adecvate pentru colectarea şi preepurarea apelor uzate şi a apelor pluviale potenţial impurificate, care să asigure retenţia poluanţilor şi evitarea poluărilor accidentale.</w:t>
            </w:r>
          </w:p>
          <w:p w14:paraId="3A63FA2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Proiectele finanţate prin PT vor asigura pe toată lungimea infrastructurii de transport şi în oricare din locaţiile proiectului un grad optim de permeabilitate pentru toată fauna sălbatică. Soluţiile pentru asigurarea permeabilităţii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w:t>
            </w:r>
          </w:p>
          <w:p w14:paraId="2881AFA6"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Evaluarea potenţialului impact al proiectelor de infrastructură trebuie să includă o analiză de permeabilitate pentru întreg proiectul, care să identifice şi să ia în considerare şi alte bariere existente în zonă (inclusiv alte elemente de infrastructură de transport). Măsurile de menţinere a permeabilităţii stabilite pentru proiectul analizat trebuie să ia în considerare şi adresarea impactului cumulat al proiectului, împreună cu alte elemente de infrastructură existente. Măsurile implementate trebuie să asigure conectivitatea în lungul coridoarelor ecologice (inclusiv a cursurilor de apă) şi nu doar la nivelul proiectului.</w:t>
            </w:r>
          </w:p>
          <w:p w14:paraId="123C2D3A"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de infrastructură propuse trebuie să includă o analiză a potenţialelor impacturi din zonele de influenţă directă şi indirectă, generate de modificările nivelului de trafic pe drumuri şi căi ferate adiacente. Pe baza rezultatelor acestei analize, trebuie să fie propuse măsuri de evitare şi reducere a impacturilor semnificative ce se pot produce la distanţă de proiect. Se va avea în vedere că implementarea măsurilor poate fi necesară la nivelul altor infrastructuri decât cele care fac obiectul proiectului.</w:t>
            </w:r>
          </w:p>
          <w:p w14:paraId="299FCD35"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p>
          <w:p w14:paraId="72903A80"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În toate zonele în care nivelul de zgomot poate conduce la îndepărtarea speciilor din habitatele lor favorabile, se vor implementa măsuri de ecranare care să asigure reducerea nivelului de zgomot funcţie de cerinţele parrticulare ale speciilor potenţial afectate. Prioritar, soluţiile de ecranare ale zgomotului vor </w:t>
            </w:r>
            <w:r w:rsidRPr="00AC6A89">
              <w:rPr>
                <w:rFonts w:ascii="Times New Roman" w:eastAsia="Times New Roman" w:hAnsi="Times New Roman" w:cs="Times New Roman"/>
                <w:sz w:val="24"/>
                <w:szCs w:val="24"/>
              </w:rPr>
              <w:lastRenderedPageBreak/>
              <w:t>include, acolo unde este posibil, perdele forestiere, panouri realizate din materiale naturale, panouri a căror arhitectură se integrează cu mediul natural al zonei.</w:t>
            </w:r>
          </w:p>
          <w:p w14:paraId="22212EF2"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sunt în măsură să contribuie la creşterea nivelului de zgomot subacvatic trebuie să fie analizate din punct de vedere al riscului acestora de afectare a speciilor acvatice. Acestea trebuie să asigure măsuri adecvate pentru evitarea perturbării semnificative a speciilor acvatice.</w:t>
            </w:r>
          </w:p>
          <w:p w14:paraId="6E12C9DC"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p w14:paraId="61D6F5DB"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La nivelul infrastructurilor de transport trebuie implementate sisteme adecvate de colectare a deşeurilor care să asigure imposibilitatea accesibilizării lor de către fauna sălbatică.</w:t>
            </w:r>
          </w:p>
          <w:p w14:paraId="0EA2B2FF" w14:textId="77777777" w:rsidR="00AC6A89" w:rsidRPr="00AC6A89" w:rsidRDefault="00AC6A89" w:rsidP="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mortalitaţii pentru toate grupele de faună trebuie să reprezinte o preocupare continuă în dezvoltarea, construcţia şi operarea infrastructurilor de transport (inclusiv în cazul modernizării / extinderii / reabilitării reţelei existente de drumuri). Soluţiile adoptate trebuie să asigure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trebuie adaptate particularităţilor speciilor potenţial afectate, prioritate acordându-se implementării soluţiilor pentru care poate fi documentată eficacitatea.</w:t>
            </w:r>
          </w:p>
          <w:p w14:paraId="12733665" w14:textId="73D3762E" w:rsidR="00462533" w:rsidRDefault="00AC6A89">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scopul accesibilizării informaţiei pentru toate părţile interesate (inclusiv pentru dezvoltarea cunoaşterii şi îmbunătăţirea calităţii studiilor de mediu), toate datele şi informaţiile rezultate din aplicarea programelor de monitorizare (inclusiv verificarea eficacităţii măsurilor implementate pentru evitarea şi reducerea impactului) la nivelul fiecărui proiect vor fi publicate pe internet si disponibile pe toată perioada construcţiei şi cel puţin pentru primii 5 ani de operare.</w:t>
            </w:r>
          </w:p>
        </w:tc>
      </w:tr>
    </w:tbl>
    <w:p w14:paraId="6C8C38AD" w14:textId="77777777" w:rsidR="0001312F" w:rsidRDefault="0067039D">
      <w:pPr>
        <w:rPr>
          <w:rFonts w:ascii="Times New Roman" w:eastAsia="Times New Roman" w:hAnsi="Times New Roman" w:cs="Times New Roman"/>
          <w:b/>
          <w:i/>
          <w:sz w:val="24"/>
          <w:szCs w:val="24"/>
        </w:rPr>
        <w:sectPr w:rsidR="0001312F">
          <w:pgSz w:w="16838" w:h="11906" w:orient="landscape"/>
          <w:pgMar w:top="1440" w:right="1440" w:bottom="1440" w:left="1440" w:header="706" w:footer="706" w:gutter="0"/>
          <w:cols w:space="708"/>
        </w:sectPr>
      </w:pPr>
      <w:bookmarkStart w:id="10" w:name="_heading=h.ier9puefhcwe" w:colFirst="0" w:colLast="0"/>
      <w:bookmarkEnd w:id="10"/>
      <w:r>
        <w:rPr>
          <w:rFonts w:ascii="Times New Roman" w:eastAsia="Times New Roman" w:hAnsi="Times New Roman" w:cs="Times New Roman"/>
          <w:b/>
          <w:i/>
          <w:sz w:val="24"/>
          <w:szCs w:val="24"/>
        </w:rPr>
        <w:lastRenderedPageBreak/>
        <w:tab/>
      </w:r>
      <w:r>
        <w:rPr>
          <w:rFonts w:ascii="Times New Roman" w:eastAsia="Times New Roman" w:hAnsi="Times New Roman" w:cs="Times New Roman"/>
          <w:b/>
          <w:i/>
          <w:sz w:val="24"/>
          <w:szCs w:val="24"/>
        </w:rPr>
        <w:tab/>
      </w:r>
    </w:p>
    <w:p w14:paraId="5A673F47"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1" w:name="_Toc117679934"/>
      <w:r>
        <w:rPr>
          <w:rFonts w:ascii="Times New Roman" w:eastAsia="Times New Roman" w:hAnsi="Times New Roman" w:cs="Times New Roman"/>
          <w:sz w:val="24"/>
          <w:szCs w:val="24"/>
        </w:rPr>
        <w:lastRenderedPageBreak/>
        <w:t xml:space="preserve">2.2. </w:t>
      </w:r>
      <w:r>
        <w:rPr>
          <w:rFonts w:ascii="Times New Roman" w:eastAsia="Times New Roman" w:hAnsi="Times New Roman" w:cs="Times New Roman"/>
          <w:b/>
          <w:sz w:val="24"/>
          <w:szCs w:val="24"/>
        </w:rPr>
        <w:t xml:space="preserve">Prioritatea 2 </w:t>
      </w:r>
      <w:r>
        <w:rPr>
          <w:rFonts w:ascii="Times New Roman" w:eastAsia="Times New Roman" w:hAnsi="Times New Roman" w:cs="Times New Roman"/>
          <w:sz w:val="24"/>
          <w:szCs w:val="24"/>
        </w:rPr>
        <w:t>- Îmbunătățirea conectivității rutiere secundare</w:t>
      </w:r>
      <w:bookmarkEnd w:id="11"/>
    </w:p>
    <w:p w14:paraId="45F37F81" w14:textId="77777777" w:rsidR="0001312F" w:rsidRDefault="0001312F">
      <w:pPr>
        <w:rPr>
          <w:rFonts w:ascii="Times New Roman" w:eastAsia="Times New Roman" w:hAnsi="Times New Roman" w:cs="Times New Roman"/>
          <w:sz w:val="24"/>
          <w:szCs w:val="24"/>
        </w:rPr>
      </w:pPr>
    </w:p>
    <w:p w14:paraId="296F433E"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Rețeaua secundară de transport are rolul de a asigura accesibilitatea regională și urbană a rețelei primare de transport în mod eficient, sigur și cu impact redus asupra mediului. </w:t>
      </w:r>
    </w:p>
    <w:p w14:paraId="2C737106" w14:textId="77777777" w:rsidR="0001312F" w:rsidRDefault="0067039D">
      <w:pPr>
        <w:tabs>
          <w:tab w:val="left" w:pos="1080"/>
        </w:tabs>
        <w:spacing w:line="276" w:lineRule="auto"/>
        <w:ind w:left="2" w:right="386"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Rețeaua rutieră secundară deservește municipiile reședință de județ (altele decât cele localizate de-a lungul rețelei primare) și asigură conexiunea acestora la rețeaua rutieră primară. Așadar, din totalul de 42 de reședințe de județ din România, 30 se află pe rețeaua rutieră primară, iar restul de 12 se conectează indirect la aceasta, prin intermediul rețelei secundare. De asemenea, rețeaua rutieră secundară poate asigura, la nivel de drum național de tip 1x1 sau 2x2, conexiunea cu rețelele rutiere din statele vecine (ex. Albița – MD și Vama Veche - BG).</w:t>
      </w:r>
    </w:p>
    <w:p w14:paraId="63C3C24D" w14:textId="77777777" w:rsidR="0001312F" w:rsidRDefault="0001312F">
      <w:pPr>
        <w:rPr>
          <w:rFonts w:ascii="Times New Roman" w:eastAsia="Times New Roman" w:hAnsi="Times New Roman" w:cs="Times New Roman"/>
          <w:sz w:val="24"/>
          <w:szCs w:val="24"/>
        </w:rPr>
      </w:pPr>
    </w:p>
    <w:p w14:paraId="6801FCF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2" w:name="_Toc117679935"/>
      <w:r>
        <w:rPr>
          <w:rFonts w:ascii="Times New Roman" w:eastAsia="Times New Roman" w:hAnsi="Times New Roman" w:cs="Times New Roman"/>
        </w:rPr>
        <w:t>2.2.1. Descrierea investițiilor</w:t>
      </w:r>
      <w:bookmarkEnd w:id="12"/>
      <w:r>
        <w:rPr>
          <w:rFonts w:ascii="Times New Roman" w:eastAsia="Times New Roman" w:hAnsi="Times New Roman" w:cs="Times New Roman"/>
        </w:rPr>
        <w:t xml:space="preserve"> </w:t>
      </w:r>
    </w:p>
    <w:p w14:paraId="2F531070" w14:textId="77777777" w:rsidR="0001312F" w:rsidRDefault="0001312F">
      <w:pPr>
        <w:jc w:val="both"/>
        <w:rPr>
          <w:rFonts w:ascii="Times New Roman" w:eastAsia="Times New Roman" w:hAnsi="Times New Roman" w:cs="Times New Roman"/>
          <w:sz w:val="24"/>
          <w:szCs w:val="24"/>
        </w:rPr>
      </w:pPr>
    </w:p>
    <w:p w14:paraId="20AA57B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vizate de această prioritate vor viza construcția segmentelor de infrastructură rutieră prioritizate în cadrul rețelei secundare de PI. Acestea vor cuprinde realizarea accesului municipiilor la sectoarele rețelei rutiere primare (la nivel de drum național situat pe rețeaua secundară), variante de ocolire, precum și construcția altor sectoare de drum național situate pe rețeaua secundară, ținând cont de impactul asupra habitatelor naturale și conectivității ecologice. Sunt vizate, în principal, reședințele de județ ce au o conectivitate precară la reţeaua primară de transport, neadaptată valorilor de trafic din prezent, dezideratul urmărit fiind acela de a asigura un timp rapid de parcurs până la rețeaua primară.</w:t>
      </w:r>
    </w:p>
    <w:p w14:paraId="41F365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investițiile vor fi însoțite de măsuri de protecția naturii și a biodiversității (infrastructură verde) în legătură directă cu infrastructura de transport rutieră precum și infrastructură dedicata combustibililor alternativi, precum și a soluții inteligente de management a traficului.</w:t>
      </w:r>
    </w:p>
    <w:p w14:paraId="31770F0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acest scop vor fi promovate investiții în toate regiunile de dezvoltare ale României, precum și proiecte ce vizează drumuri expres, transregio sau eurotrans, dar și noduri rutiere situate pe rețeaua primară pentru a asigura accesibilitatea în zonele adiacente.</w:t>
      </w:r>
    </w:p>
    <w:p w14:paraId="3F87C7A6" w14:textId="77777777" w:rsidR="0001312F" w:rsidRDefault="0067039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vizate de această prioritate sunt:</w:t>
      </w:r>
    </w:p>
    <w:p w14:paraId="5702F1D0" w14:textId="77777777" w:rsidR="0001312F" w:rsidRDefault="0001312F">
      <w:pPr>
        <w:spacing w:after="0"/>
        <w:ind w:firstLine="708"/>
        <w:rPr>
          <w:rFonts w:ascii="Times New Roman" w:eastAsia="Times New Roman" w:hAnsi="Times New Roman" w:cs="Times New Roman"/>
          <w:sz w:val="24"/>
          <w:szCs w:val="24"/>
        </w:rPr>
      </w:pPr>
    </w:p>
    <w:p w14:paraId="27038F7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 Drumuri expres de conectivitate:</w:t>
      </w:r>
    </w:p>
    <w:p w14:paraId="4EA4302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Pitești – Mioveni;</w:t>
      </w:r>
    </w:p>
    <w:p w14:paraId="0BD76903"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Alternativa Techirghiol (A2/A4 - Olimp);</w:t>
      </w:r>
    </w:p>
    <w:p w14:paraId="61E457B4"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Dej – Bistrița;</w:t>
      </w:r>
    </w:p>
    <w:p w14:paraId="10057666"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Suceava – Botoșani;</w:t>
      </w:r>
    </w:p>
    <w:p w14:paraId="3C9BF102"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A7 - Bacău - Piatra Neamț;</w:t>
      </w:r>
    </w:p>
    <w:p w14:paraId="4579BE48"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Găești - Târgoviște - Ploiești - A3;</w:t>
      </w:r>
    </w:p>
    <w:p w14:paraId="6A85A0DA" w14:textId="77777777" w:rsidR="0001312F" w:rsidRDefault="0067039D">
      <w:pPr>
        <w:numPr>
          <w:ilvl w:val="0"/>
          <w:numId w:val="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Limita B/I – Târgoviște;</w:t>
      </w:r>
    </w:p>
    <w:p w14:paraId="2378BD17" w14:textId="77777777" w:rsidR="0001312F" w:rsidRDefault="0001312F">
      <w:pPr>
        <w:spacing w:after="0"/>
        <w:ind w:firstLine="708"/>
        <w:rPr>
          <w:rFonts w:ascii="Times New Roman" w:eastAsia="Times New Roman" w:hAnsi="Times New Roman" w:cs="Times New Roman"/>
          <w:sz w:val="24"/>
          <w:szCs w:val="24"/>
        </w:rPr>
      </w:pPr>
    </w:p>
    <w:p w14:paraId="69FAD26D"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B. Drumuri de conectivitate și transregio:</w:t>
      </w:r>
    </w:p>
    <w:p w14:paraId="56678CD8"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A8 - Lețcani Vest - Centura Iași (profil 2+2);</w:t>
      </w:r>
    </w:p>
    <w:p w14:paraId="5D930DDD"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DX - Centura Craiova Est (profil 2+2);</w:t>
      </w:r>
    </w:p>
    <w:p w14:paraId="6D87B77E"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Timișoara - Aeroport Traian Vuia/DNCT (profil 2+2);</w:t>
      </w:r>
    </w:p>
    <w:p w14:paraId="0A973F4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Rm. Vâlcea - Tigveni - A1 (profil 2+2, 2+1, 1+1);</w:t>
      </w:r>
    </w:p>
    <w:p w14:paraId="676467C7"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Tg. Jiu - Filiași - DX2 (profil 2+2);</w:t>
      </w:r>
    </w:p>
    <w:p w14:paraId="11EE325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Centura Metropolitană Cluj-Napoca (Gilău - A3 - Cluj-Napoca - Apahida - DX4) (profil 2+2);</w:t>
      </w:r>
    </w:p>
    <w:p w14:paraId="66E8CC7B" w14:textId="77777777" w:rsidR="00476A28" w:rsidRDefault="0067039D" w:rsidP="00476A28">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A4 Cumpăna - DN39 Constanța;</w:t>
      </w:r>
    </w:p>
    <w:p w14:paraId="4BB33963" w14:textId="77777777" w:rsid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A7 – Suceava – Bistrița (fără variante de ocolire V. Dorenei, Câmpulung M., Frasin, G. Humorului);</w:t>
      </w:r>
    </w:p>
    <w:p w14:paraId="408ECA62" w14:textId="089E668A" w:rsidR="00476A28" w:rsidRPr="00476A28" w:rsidRDefault="00476A28" w:rsidP="00476A28">
      <w:pPr>
        <w:numPr>
          <w:ilvl w:val="0"/>
          <w:numId w:val="7"/>
        </w:numPr>
        <w:spacing w:after="0"/>
        <w:ind w:left="1168" w:hanging="2"/>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Tudor Vladimirescu – Galați (+drum de legătură DX).</w:t>
      </w:r>
    </w:p>
    <w:p w14:paraId="7B0EF6E0"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Hunedoara - Sântuhalm - A1(profil 2+2);</w:t>
      </w:r>
    </w:p>
    <w:p w14:paraId="0821F8DF"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Blaj - Teiuș - A10 (profil 1+1);</w:t>
      </w:r>
    </w:p>
    <w:p w14:paraId="1A55427B"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DX4 - Jibou - Românași - A3 (profil 2+2);</w:t>
      </w:r>
    </w:p>
    <w:p w14:paraId="53E41664"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Slobozia - Drajna - A2 (profil 2+2);</w:t>
      </w:r>
    </w:p>
    <w:p w14:paraId="703BCC86"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Călărași - Drajna Nouă - A2 (profil 1+1);</w:t>
      </w:r>
    </w:p>
    <w:p w14:paraId="4122147C"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Reșita - Caransebeș - DX2 (profil 1+1);</w:t>
      </w:r>
    </w:p>
    <w:p w14:paraId="5378B0C9"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Vaslui - Iași - A8 (profil 1+1);</w:t>
      </w:r>
    </w:p>
    <w:p w14:paraId="582303C2"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Miercurea Ciuc - Sf. Gheorghe - Chichiș - A13 (profil 1+1);</w:t>
      </w:r>
    </w:p>
    <w:p w14:paraId="5254032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A1 - Titu - Bâldana - DX9;</w:t>
      </w:r>
    </w:p>
    <w:p w14:paraId="7C0A4C5A" w14:textId="77777777" w:rsidR="0001312F" w:rsidRDefault="0067039D">
      <w:pPr>
        <w:numPr>
          <w:ilvl w:val="0"/>
          <w:numId w:val="7"/>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DX 9 - Târgoviște - Sinaia - A3;</w:t>
      </w:r>
    </w:p>
    <w:p w14:paraId="322020B1" w14:textId="77777777" w:rsidR="0001312F" w:rsidRDefault="0001312F">
      <w:pPr>
        <w:spacing w:after="0"/>
        <w:ind w:firstLine="708"/>
        <w:rPr>
          <w:rFonts w:ascii="Times New Roman" w:eastAsia="Times New Roman" w:hAnsi="Times New Roman" w:cs="Times New Roman"/>
          <w:sz w:val="24"/>
          <w:szCs w:val="24"/>
        </w:rPr>
      </w:pPr>
    </w:p>
    <w:p w14:paraId="1592F3DB"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C1. Variante de ocolire:</w:t>
      </w:r>
    </w:p>
    <w:p w14:paraId="41A1CBF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Sibiu Sud;</w:t>
      </w:r>
    </w:p>
    <w:p w14:paraId="771A6711"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Rm. Vâlcea;</w:t>
      </w:r>
    </w:p>
    <w:p w14:paraId="4AF0FB0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Giurgiu;</w:t>
      </w:r>
    </w:p>
    <w:p w14:paraId="19DBEF9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Zalău;</w:t>
      </w:r>
    </w:p>
    <w:p w14:paraId="2582A9A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w:t>
      </w:r>
    </w:p>
    <w:p w14:paraId="20B4326F"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Sighișoara;</w:t>
      </w:r>
    </w:p>
    <w:p w14:paraId="3BFF84F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Mangalia;</w:t>
      </w:r>
    </w:p>
    <w:p w14:paraId="549D043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Tg. Mureș;</w:t>
      </w:r>
    </w:p>
    <w:p w14:paraId="26B7C84A"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Sebeș;</w:t>
      </w:r>
    </w:p>
    <w:p w14:paraId="738B809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Bistrița;</w:t>
      </w:r>
    </w:p>
    <w:p w14:paraId="49D12C8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Vaslui;</w:t>
      </w:r>
    </w:p>
    <w:p w14:paraId="78A5DA5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Mediaș;</w:t>
      </w:r>
    </w:p>
    <w:p w14:paraId="0DB5DDED"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Botoșani;</w:t>
      </w:r>
    </w:p>
    <w:p w14:paraId="150F8812"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Piatra Neamț;</w:t>
      </w:r>
    </w:p>
    <w:p w14:paraId="0FE3CC25"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Slobozia;</w:t>
      </w:r>
    </w:p>
    <w:p w14:paraId="311B645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Gura Humorului;</w:t>
      </w:r>
    </w:p>
    <w:p w14:paraId="02E5EAC0"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Sfântu Gheorghe;</w:t>
      </w:r>
    </w:p>
    <w:p w14:paraId="496B8C9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Frasin;</w:t>
      </w:r>
    </w:p>
    <w:p w14:paraId="3DFE13B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Miercurea Ciuc;</w:t>
      </w:r>
    </w:p>
    <w:p w14:paraId="57482D0C"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Băbeni;</w:t>
      </w:r>
    </w:p>
    <w:p w14:paraId="06F51B13"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Câmpulung Moldovenesc;</w:t>
      </w:r>
    </w:p>
    <w:p w14:paraId="041C6918"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Pucioasa;</w:t>
      </w:r>
    </w:p>
    <w:p w14:paraId="50F8723E"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Vatra Dornei;</w:t>
      </w:r>
    </w:p>
    <w:p w14:paraId="66439B06" w14:textId="77777777" w:rsidR="0001312F" w:rsidRDefault="0067039D">
      <w:pPr>
        <w:numPr>
          <w:ilvl w:val="0"/>
          <w:numId w:val="9"/>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Valea lui Mihai.</w:t>
      </w:r>
    </w:p>
    <w:p w14:paraId="4A9F219A" w14:textId="77777777" w:rsidR="0001312F" w:rsidRDefault="0001312F">
      <w:pPr>
        <w:spacing w:after="0"/>
        <w:rPr>
          <w:rFonts w:ascii="Times New Roman" w:eastAsia="Times New Roman" w:hAnsi="Times New Roman" w:cs="Times New Roman"/>
          <w:sz w:val="24"/>
          <w:szCs w:val="24"/>
        </w:rPr>
      </w:pPr>
    </w:p>
    <w:p w14:paraId="55D8E46A" w14:textId="77777777" w:rsidR="0001312F" w:rsidRDefault="0067039D">
      <w:pPr>
        <w:spacing w:after="0"/>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C2. Variante de ocolire regionale:</w:t>
      </w:r>
    </w:p>
    <w:p w14:paraId="7CBF9DA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Arad (Reg. Dezvoltare V);</w:t>
      </w:r>
    </w:p>
    <w:p w14:paraId="5E1120F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Petroșani (Reg. Dezvoltare V);</w:t>
      </w:r>
    </w:p>
    <w:p w14:paraId="522B384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Huși (Reg. Dezvoltare NE);</w:t>
      </w:r>
    </w:p>
    <w:p w14:paraId="5F1B596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Bumbești-Jiu (Reg. Dezvoltare SV);</w:t>
      </w:r>
    </w:p>
    <w:p w14:paraId="3742B60A"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Ardud (Reg. Dezvoltare NV);</w:t>
      </w:r>
    </w:p>
    <w:p w14:paraId="154E78C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Baia Mare (Reg. Dezvoltare NV);</w:t>
      </w:r>
    </w:p>
    <w:p w14:paraId="7E7B0C6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Curtea de Argeș (Reg. Dezvoltare S);</w:t>
      </w:r>
    </w:p>
    <w:p w14:paraId="5198B80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Reșița (Reg. Dezvoltare V);</w:t>
      </w:r>
    </w:p>
    <w:p w14:paraId="6AD86C8F"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Călărași (Reg. Dezvoltare S)Ș</w:t>
      </w:r>
    </w:p>
    <w:p w14:paraId="0BC9948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Buftea (Reg. Dezvoltare BI);</w:t>
      </w:r>
    </w:p>
    <w:p w14:paraId="4F52B15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Cosmești (Reg. Dezvoltare SE);</w:t>
      </w:r>
    </w:p>
    <w:p w14:paraId="326B25D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Reghin (Reg. Dezvoltare C);</w:t>
      </w:r>
    </w:p>
    <w:p w14:paraId="53974F8B"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Sînmartin/Băile Felix (Reg. Dezvoltare NV);</w:t>
      </w:r>
    </w:p>
    <w:p w14:paraId="6ED3684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Liești/Ivesti (Reg. Dezvoltare SE);</w:t>
      </w:r>
    </w:p>
    <w:p w14:paraId="3F5545E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Drăgășani (Reg. Dezvoltare SV);</w:t>
      </w:r>
    </w:p>
    <w:p w14:paraId="4566EF4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Păltinoasa (Reg. Dezvoltare NE);</w:t>
      </w:r>
    </w:p>
    <w:p w14:paraId="18F7550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Brad (Reg. Dezvoltare V);</w:t>
      </w:r>
    </w:p>
    <w:p w14:paraId="6385071D"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Sighetu Marmației (Reg. Dezvoltare NV);</w:t>
      </w:r>
    </w:p>
    <w:p w14:paraId="016ED82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Hîrlău (Reg. Dezvoltare NE);</w:t>
      </w:r>
    </w:p>
    <w:p w14:paraId="14660F6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Flămânzi (Reg. Dezvoltare NE);</w:t>
      </w:r>
    </w:p>
    <w:p w14:paraId="2A68C83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Gheorgheni (Reg. Dezvoltare C);</w:t>
      </w:r>
    </w:p>
    <w:p w14:paraId="10D5D25E"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Motru (Reg. Dezvoltare SV);</w:t>
      </w:r>
    </w:p>
    <w:p w14:paraId="75F41CF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Văleni (Reg. Dezvoltare NE);</w:t>
      </w:r>
    </w:p>
    <w:p w14:paraId="310792B2"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Bălești (Reg. Dezvoltare SV);</w:t>
      </w:r>
    </w:p>
    <w:p w14:paraId="0A93950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Viziru (Reg. Dezvoltare SE);</w:t>
      </w:r>
    </w:p>
    <w:p w14:paraId="5AC7EEC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Bocșa (Reg. Dezvoltare V);</w:t>
      </w:r>
    </w:p>
    <w:p w14:paraId="4320109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Horezu (Reg. Dezvoltare SV);</w:t>
      </w:r>
    </w:p>
    <w:p w14:paraId="4029A249"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Negrești-Oaș (Reg. Dezvoltare NV);</w:t>
      </w:r>
    </w:p>
    <w:p w14:paraId="1843A928"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Năsăud (Reg. Dezvoltare NV);</w:t>
      </w:r>
    </w:p>
    <w:p w14:paraId="76BD26D0"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Tăuții-Măgherăuș (Reg. Dezvoltare NV);</w:t>
      </w:r>
    </w:p>
    <w:p w14:paraId="5186FE1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Corabia (Reg. Dezvoltare SV);</w:t>
      </w:r>
    </w:p>
    <w:p w14:paraId="42CF5E7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Feldioara (Reg. Dezvoltare C);</w:t>
      </w:r>
    </w:p>
    <w:p w14:paraId="2867394C"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Fieni (Reg. Dezvoltare S);</w:t>
      </w:r>
    </w:p>
    <w:p w14:paraId="1B0DD215"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Sîngeorz-Băi (Reg. Dezvoltare NV);</w:t>
      </w:r>
    </w:p>
    <w:p w14:paraId="7C412F51"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Vidra (Reg. Dezvoltare SE);</w:t>
      </w:r>
    </w:p>
    <w:p w14:paraId="6BC11F66"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Tudor Vladimirescu (Reg. Dezvoltare SE);</w:t>
      </w:r>
    </w:p>
    <w:p w14:paraId="6ADE7853" w14:textId="77777777" w:rsidR="0001312F" w:rsidRDefault="0067039D">
      <w:pPr>
        <w:numPr>
          <w:ilvl w:val="0"/>
          <w:numId w:val="35"/>
        </w:numPr>
        <w:spacing w:after="0"/>
        <w:ind w:left="1168"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VO Odobești (Reg. Dezvoltare S)</w:t>
      </w:r>
    </w:p>
    <w:p w14:paraId="73BAF41F" w14:textId="77777777" w:rsidR="0001312F" w:rsidRDefault="0001312F">
      <w:pPr>
        <w:rPr>
          <w:rFonts w:ascii="Times New Roman" w:eastAsia="Times New Roman" w:hAnsi="Times New Roman" w:cs="Times New Roman"/>
          <w:sz w:val="24"/>
          <w:szCs w:val="24"/>
        </w:rPr>
      </w:pPr>
    </w:p>
    <w:p w14:paraId="66343FB9" w14:textId="73B99DCD"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Metodologia specifica pentru evaluarea DNSH în cazul proiectelor  incluse în această prioritate este similară cu cea folosită pentru Prioritatea 1,  fiind vorba despre proiecte ce vizează tot construcția, modernizarea, reabilitarea infrastructurii rutiere.</w:t>
      </w:r>
      <w:r w:rsidR="00C603C7">
        <w:rPr>
          <w:rFonts w:ascii="Times New Roman" w:eastAsia="Times New Roman" w:hAnsi="Times New Roman" w:cs="Times New Roman"/>
          <w:sz w:val="24"/>
          <w:szCs w:val="24"/>
        </w:rPr>
        <w:t xml:space="preserve"> Inclusiv în cadrul Raportului de mediu, acţiunile din cele două </w:t>
      </w:r>
      <w:r w:rsidR="007069BB">
        <w:rPr>
          <w:rFonts w:ascii="Times New Roman" w:eastAsia="Times New Roman" w:hAnsi="Times New Roman" w:cs="Times New Roman"/>
          <w:sz w:val="24"/>
          <w:szCs w:val="24"/>
        </w:rPr>
        <w:t>priorităţi au fost evaluate similar.</w:t>
      </w:r>
    </w:p>
    <w:p w14:paraId="7D7D7CC9"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3" w:name="_Toc117679936"/>
      <w:r>
        <w:rPr>
          <w:rFonts w:ascii="Times New Roman" w:eastAsia="Times New Roman" w:hAnsi="Times New Roman" w:cs="Times New Roman"/>
        </w:rPr>
        <w:lastRenderedPageBreak/>
        <w:t>2.2.2. Acțiuni finanțate</w:t>
      </w:r>
      <w:bookmarkEnd w:id="13"/>
    </w:p>
    <w:p w14:paraId="52293064" w14:textId="77777777" w:rsidR="0001312F" w:rsidRDefault="0001312F">
      <w:pPr>
        <w:rPr>
          <w:rFonts w:ascii="Times New Roman" w:eastAsia="Times New Roman" w:hAnsi="Times New Roman" w:cs="Times New Roman"/>
          <w:sz w:val="24"/>
          <w:szCs w:val="24"/>
        </w:rPr>
      </w:pPr>
    </w:p>
    <w:p w14:paraId="11325275"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Intervențiile din aceasta prioritate sunt orientate către următoarele direcții prioritare: </w:t>
      </w:r>
    </w:p>
    <w:p w14:paraId="52921C15" w14:textId="7051C04D"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 reabilitarea / reconstruirea / modernizarea a 181 km de drumuri situate pe rețeaua TEN-T și a 116 km de drumuri situate în afara rețelei TEN-T;</w:t>
      </w:r>
    </w:p>
    <w:p w14:paraId="4A4C39B4" w14:textId="3C610035" w:rsidR="0001312F" w:rsidRDefault="0067039D">
      <w:pPr>
        <w:numPr>
          <w:ilvl w:val="0"/>
          <w:numId w:val="44"/>
        </w:numPr>
        <w:pBdr>
          <w:top w:val="nil"/>
          <w:left w:val="nil"/>
          <w:bottom w:val="nil"/>
          <w:right w:val="nil"/>
          <w:between w:val="nil"/>
        </w:pBdr>
        <w:spacing w:after="0"/>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Construirea a 38 de puncte de încărcare electrică;</w:t>
      </w:r>
    </w:p>
    <w:p w14:paraId="694E93B1" w14:textId="77777777" w:rsidR="0001312F" w:rsidRDefault="0067039D">
      <w:pPr>
        <w:numPr>
          <w:ilvl w:val="0"/>
          <w:numId w:val="44"/>
        </w:numPr>
        <w:pBdr>
          <w:top w:val="nil"/>
          <w:left w:val="nil"/>
          <w:bottom w:val="nil"/>
          <w:right w:val="nil"/>
          <w:between w:val="nil"/>
        </w:pBdr>
        <w:ind w:left="63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și modernizarea a 31 km de drumuri dotate cu sisteme de transport inteligente (ITS)</w:t>
      </w:r>
    </w:p>
    <w:p w14:paraId="0684DD53" w14:textId="77777777" w:rsidR="0001312F" w:rsidRDefault="0001312F">
      <w:pPr>
        <w:rPr>
          <w:rFonts w:ascii="Times New Roman" w:eastAsia="Times New Roman" w:hAnsi="Times New Roman" w:cs="Times New Roman"/>
          <w:sz w:val="24"/>
          <w:szCs w:val="24"/>
        </w:rPr>
      </w:pPr>
    </w:p>
    <w:p w14:paraId="322B5B78" w14:textId="77777777" w:rsidR="0001312F" w:rsidRDefault="0001312F">
      <w:pPr>
        <w:rPr>
          <w:rFonts w:ascii="Times New Roman" w:eastAsia="Times New Roman" w:hAnsi="Times New Roman" w:cs="Times New Roman"/>
          <w:sz w:val="24"/>
          <w:szCs w:val="24"/>
        </w:rPr>
      </w:pPr>
    </w:p>
    <w:p w14:paraId="4460EBC7" w14:textId="77777777" w:rsidR="0001312F" w:rsidRDefault="0001312F">
      <w:pPr>
        <w:rPr>
          <w:rFonts w:ascii="Times New Roman" w:eastAsia="Times New Roman" w:hAnsi="Times New Roman" w:cs="Times New Roman"/>
          <w:sz w:val="24"/>
          <w:szCs w:val="24"/>
        </w:rPr>
      </w:pPr>
    </w:p>
    <w:p w14:paraId="5541FB52" w14:textId="77777777" w:rsidR="0001312F" w:rsidRDefault="0067039D">
      <w:pPr>
        <w:tabs>
          <w:tab w:val="left" w:pos="1777"/>
        </w:tabs>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sz w:val="24"/>
          <w:szCs w:val="24"/>
        </w:rPr>
        <w:tab/>
      </w:r>
    </w:p>
    <w:p w14:paraId="5F5364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4"/>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5"/>
        <w:gridCol w:w="3105"/>
        <w:gridCol w:w="1395"/>
        <w:gridCol w:w="1095"/>
        <w:gridCol w:w="7320"/>
      </w:tblGrid>
      <w:tr w:rsidR="0001312F" w14:paraId="16E15E0E" w14:textId="77777777">
        <w:trPr>
          <w:trHeight w:val="671"/>
          <w:jc w:val="center"/>
        </w:trPr>
        <w:tc>
          <w:tcPr>
            <w:tcW w:w="4800"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1D3C1DA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49E87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C68909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8016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1C65EA6" w14:textId="77777777">
        <w:trPr>
          <w:trHeight w:val="421"/>
          <w:jc w:val="center"/>
        </w:trPr>
        <w:tc>
          <w:tcPr>
            <w:tcW w:w="1695" w:type="dxa"/>
            <w:vMerge w:val="restart"/>
            <w:tcBorders>
              <w:top w:val="single" w:sz="4" w:space="0" w:color="000000"/>
              <w:left w:val="single" w:sz="4" w:space="0" w:color="000000"/>
              <w:bottom w:val="single" w:sz="4" w:space="0" w:color="000000"/>
              <w:right w:val="single" w:sz="4" w:space="0" w:color="000000"/>
            </w:tcBorders>
          </w:tcPr>
          <w:p w14:paraId="5EE1EE4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3105" w:type="dxa"/>
            <w:tcBorders>
              <w:top w:val="single" w:sz="4" w:space="0" w:color="000000"/>
              <w:left w:val="single" w:sz="4" w:space="0" w:color="000000"/>
              <w:bottom w:val="single" w:sz="4" w:space="0" w:color="000000"/>
              <w:right w:val="single" w:sz="4" w:space="0" w:color="000000"/>
            </w:tcBorders>
          </w:tcPr>
          <w:p w14:paraId="1C7F775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drumuri noi, reabilitarea, reconstruirea sau modernizarea drumurilor situate pe rețeaua TEN- T sau în afara rețelei TEN-T</w:t>
            </w:r>
          </w:p>
        </w:tc>
        <w:tc>
          <w:tcPr>
            <w:tcW w:w="1395" w:type="dxa"/>
            <w:tcBorders>
              <w:top w:val="single" w:sz="4" w:space="0" w:color="000000"/>
              <w:left w:val="single" w:sz="4" w:space="0" w:color="000000"/>
              <w:bottom w:val="single" w:sz="4" w:space="0" w:color="000000"/>
              <w:right w:val="single" w:sz="4" w:space="0" w:color="000000"/>
            </w:tcBorders>
          </w:tcPr>
          <w:p w14:paraId="6112BC2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6C99CD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F93523B" w14:textId="77777777" w:rsidR="0001312F" w:rsidRDefault="0001312F">
            <w:pPr>
              <w:tabs>
                <w:tab w:val="left" w:pos="1777"/>
              </w:tabs>
              <w:rPr>
                <w:rFonts w:ascii="Times New Roman" w:eastAsia="Times New Roman" w:hAnsi="Times New Roman" w:cs="Times New Roman"/>
                <w:sz w:val="24"/>
                <w:szCs w:val="24"/>
              </w:rPr>
            </w:pPr>
          </w:p>
        </w:tc>
      </w:tr>
      <w:tr w:rsidR="0001312F" w14:paraId="696CB05B" w14:textId="77777777">
        <w:trPr>
          <w:trHeight w:val="421"/>
          <w:jc w:val="center"/>
        </w:trPr>
        <w:tc>
          <w:tcPr>
            <w:tcW w:w="1695" w:type="dxa"/>
            <w:vMerge/>
            <w:tcBorders>
              <w:top w:val="single" w:sz="4" w:space="0" w:color="000000"/>
              <w:left w:val="single" w:sz="4" w:space="0" w:color="000000"/>
              <w:bottom w:val="single" w:sz="4" w:space="0" w:color="000000"/>
              <w:right w:val="single" w:sz="4" w:space="0" w:color="000000"/>
            </w:tcBorders>
          </w:tcPr>
          <w:p w14:paraId="6229EF81"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3105" w:type="dxa"/>
            <w:tcBorders>
              <w:top w:val="single" w:sz="4" w:space="0" w:color="000000"/>
              <w:left w:val="single" w:sz="4" w:space="0" w:color="000000"/>
              <w:bottom w:val="single" w:sz="4" w:space="0" w:color="000000"/>
              <w:right w:val="single" w:sz="4" w:space="0" w:color="000000"/>
            </w:tcBorders>
          </w:tcPr>
          <w:p w14:paraId="7DD6029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Construirea infrastructurii de reîncărcare</w:t>
            </w:r>
          </w:p>
        </w:tc>
        <w:tc>
          <w:tcPr>
            <w:tcW w:w="1395" w:type="dxa"/>
            <w:tcBorders>
              <w:top w:val="single" w:sz="4" w:space="0" w:color="000000"/>
              <w:left w:val="single" w:sz="4" w:space="0" w:color="000000"/>
              <w:bottom w:val="single" w:sz="4" w:space="0" w:color="000000"/>
              <w:right w:val="single" w:sz="4" w:space="0" w:color="000000"/>
            </w:tcBorders>
          </w:tcPr>
          <w:p w14:paraId="162EA683" w14:textId="77777777" w:rsidR="0001312F" w:rsidRDefault="0001312F">
            <w:pPr>
              <w:tabs>
                <w:tab w:val="left" w:pos="1777"/>
              </w:tabs>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16B6BE0B"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p w14:paraId="7BA56649" w14:textId="77777777" w:rsidR="0001312F" w:rsidRDefault="0001312F">
            <w:pPr>
              <w:tabs>
                <w:tab w:val="left" w:pos="1777"/>
              </w:tabs>
              <w:rPr>
                <w:rFonts w:ascii="Times New Roman" w:eastAsia="Times New Roman" w:hAnsi="Times New Roman" w:cs="Times New Roman"/>
                <w:sz w:val="24"/>
                <w:szCs w:val="24"/>
              </w:rPr>
            </w:pPr>
          </w:p>
          <w:p w14:paraId="13520ADD" w14:textId="77777777" w:rsidR="0001312F" w:rsidRDefault="0001312F">
            <w:pPr>
              <w:tabs>
                <w:tab w:val="left" w:pos="1777"/>
              </w:tabs>
              <w:rPr>
                <w:rFonts w:ascii="Times New Roman" w:eastAsia="Times New Roman" w:hAnsi="Times New Roman" w:cs="Times New Roman"/>
                <w:sz w:val="24"/>
                <w:szCs w:val="24"/>
              </w:rPr>
            </w:pPr>
          </w:p>
          <w:p w14:paraId="4D777C01" w14:textId="77777777" w:rsidR="0001312F" w:rsidRDefault="0001312F">
            <w:pPr>
              <w:tabs>
                <w:tab w:val="left" w:pos="1777"/>
              </w:tabs>
              <w:rPr>
                <w:rFonts w:ascii="Times New Roman" w:eastAsia="Times New Roman" w:hAnsi="Times New Roman" w:cs="Times New Roman"/>
                <w:sz w:val="24"/>
                <w:szCs w:val="24"/>
              </w:rPr>
            </w:pPr>
          </w:p>
          <w:p w14:paraId="68D3E7F3"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4764CC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obiectivului specific </w:t>
            </w:r>
            <w:r>
              <w:rPr>
                <w:rFonts w:ascii="Times New Roman" w:eastAsia="Times New Roman" w:hAnsi="Times New Roman" w:cs="Times New Roman"/>
                <w:i/>
                <w:sz w:val="24"/>
                <w:szCs w:val="24"/>
              </w:rPr>
              <w:t>2.8 - Promovarea mobilității urbane multimodale durabile, ca parte a tranziției către o economie cu zero emisii de dioxid de carbon</w:t>
            </w:r>
            <w:r>
              <w:rPr>
                <w:rFonts w:ascii="Times New Roman" w:eastAsia="Times New Roman" w:hAnsi="Times New Roman" w:cs="Times New Roman"/>
                <w:sz w:val="24"/>
                <w:szCs w:val="24"/>
              </w:rPr>
              <w:t xml:space="preserve">, cu un coeficient al schimbărilor climatice de 100%. Infrastructura de încărcare electrică promovează electrificarea putând fi considerată o investiție necesară pentru a permite trecerea la o economie eficace, neutră din punct de vedere climatic. </w:t>
            </w:r>
          </w:p>
        </w:tc>
      </w:tr>
      <w:tr w:rsidR="0001312F" w14:paraId="49718A28"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9B67E2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911A77B"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7552FE4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0BF31AB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08553F7E" w14:textId="77777777" w:rsidR="0001312F" w:rsidRDefault="0001312F">
            <w:pPr>
              <w:tabs>
                <w:tab w:val="left" w:pos="1777"/>
              </w:tabs>
              <w:rPr>
                <w:rFonts w:ascii="Times New Roman" w:eastAsia="Times New Roman" w:hAnsi="Times New Roman" w:cs="Times New Roman"/>
                <w:sz w:val="24"/>
                <w:szCs w:val="24"/>
              </w:rPr>
            </w:pPr>
          </w:p>
        </w:tc>
      </w:tr>
      <w:tr w:rsidR="0001312F" w14:paraId="42AFBEE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23CE02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313012F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1C55755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15824C24" w14:textId="77777777" w:rsidR="0001312F" w:rsidRDefault="0001312F">
            <w:pPr>
              <w:tabs>
                <w:tab w:val="left" w:pos="1777"/>
              </w:tabs>
              <w:rPr>
                <w:rFonts w:ascii="Times New Roman" w:eastAsia="Times New Roman" w:hAnsi="Times New Roman" w:cs="Times New Roman"/>
                <w:sz w:val="24"/>
                <w:szCs w:val="24"/>
              </w:rPr>
            </w:pPr>
          </w:p>
        </w:tc>
      </w:tr>
      <w:tr w:rsidR="0001312F" w14:paraId="43F0EFB5"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6B3B2B6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7FD3B47"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8D7EE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EE2D16B"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E88DF72" w14:textId="77777777" w:rsidR="0001312F" w:rsidRDefault="0001312F">
            <w:pPr>
              <w:tabs>
                <w:tab w:val="left" w:pos="1777"/>
              </w:tabs>
              <w:rPr>
                <w:rFonts w:ascii="Times New Roman" w:eastAsia="Times New Roman" w:hAnsi="Times New Roman" w:cs="Times New Roman"/>
                <w:sz w:val="24"/>
                <w:szCs w:val="24"/>
              </w:rPr>
            </w:pPr>
          </w:p>
        </w:tc>
      </w:tr>
      <w:tr w:rsidR="0001312F" w14:paraId="3EBFCF20"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0D28BDB0"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p w14:paraId="6F01AEA0" w14:textId="77777777" w:rsidR="0001312F" w:rsidRDefault="0001312F">
            <w:pPr>
              <w:tabs>
                <w:tab w:val="left" w:pos="1777"/>
              </w:tabs>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2E9517F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28C5A25F"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40F2D41A" w14:textId="77777777" w:rsidR="0001312F" w:rsidRDefault="0001312F">
            <w:pPr>
              <w:tabs>
                <w:tab w:val="left" w:pos="1777"/>
              </w:tabs>
              <w:rPr>
                <w:rFonts w:ascii="Times New Roman" w:eastAsia="Times New Roman" w:hAnsi="Times New Roman" w:cs="Times New Roman"/>
                <w:sz w:val="24"/>
                <w:szCs w:val="24"/>
              </w:rPr>
            </w:pPr>
          </w:p>
        </w:tc>
      </w:tr>
      <w:tr w:rsidR="0001312F" w14:paraId="3C08A6CE" w14:textId="77777777">
        <w:trPr>
          <w:jc w:val="center"/>
        </w:trPr>
        <w:tc>
          <w:tcPr>
            <w:tcW w:w="4800" w:type="dxa"/>
            <w:gridSpan w:val="2"/>
            <w:tcBorders>
              <w:top w:val="single" w:sz="4" w:space="0" w:color="000000"/>
              <w:left w:val="single" w:sz="4" w:space="0" w:color="000000"/>
              <w:bottom w:val="single" w:sz="4" w:space="0" w:color="000000"/>
              <w:right w:val="single" w:sz="4" w:space="0" w:color="000000"/>
            </w:tcBorders>
          </w:tcPr>
          <w:p w14:paraId="5F79C4C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5D7E20EA"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Borders>
              <w:top w:val="single" w:sz="4" w:space="0" w:color="000000"/>
              <w:left w:val="single" w:sz="4" w:space="0" w:color="000000"/>
              <w:bottom w:val="single" w:sz="4" w:space="0" w:color="000000"/>
              <w:right w:val="single" w:sz="4" w:space="0" w:color="000000"/>
            </w:tcBorders>
          </w:tcPr>
          <w:p w14:paraId="4AC19410" w14:textId="77777777" w:rsidR="0001312F" w:rsidRDefault="0001312F">
            <w:pPr>
              <w:tabs>
                <w:tab w:val="left" w:pos="1777"/>
              </w:tabs>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7F5A0898" w14:textId="77777777" w:rsidR="0001312F" w:rsidRDefault="0001312F">
            <w:pPr>
              <w:tabs>
                <w:tab w:val="left" w:pos="1777"/>
              </w:tabs>
              <w:rPr>
                <w:rFonts w:ascii="Times New Roman" w:eastAsia="Times New Roman" w:hAnsi="Times New Roman" w:cs="Times New Roman"/>
                <w:sz w:val="24"/>
                <w:szCs w:val="24"/>
              </w:rPr>
            </w:pPr>
          </w:p>
        </w:tc>
      </w:tr>
    </w:tbl>
    <w:p w14:paraId="32F402C8" w14:textId="77777777" w:rsidR="0001312F" w:rsidRDefault="0001312F">
      <w:pPr>
        <w:tabs>
          <w:tab w:val="left" w:pos="1777"/>
        </w:tabs>
        <w:rPr>
          <w:rFonts w:ascii="Times New Roman" w:eastAsia="Times New Roman" w:hAnsi="Times New Roman" w:cs="Times New Roman"/>
          <w:sz w:val="24"/>
          <w:szCs w:val="24"/>
        </w:rPr>
      </w:pPr>
    </w:p>
    <w:p w14:paraId="561B733E"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5"/>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870"/>
        <w:gridCol w:w="10260"/>
      </w:tblGrid>
      <w:tr w:rsidR="0001312F" w14:paraId="7FFD981A" w14:textId="77777777">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762101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tcBorders>
              <w:top w:val="single" w:sz="4" w:space="0" w:color="000000"/>
              <w:left w:val="single" w:sz="4" w:space="0" w:color="000000"/>
              <w:bottom w:val="single" w:sz="4" w:space="0" w:color="000000"/>
              <w:right w:val="single" w:sz="4" w:space="0" w:color="000000"/>
            </w:tcBorders>
            <w:shd w:val="clear" w:color="auto" w:fill="D9EAD3"/>
          </w:tcPr>
          <w:p w14:paraId="6B3F3A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73B19DB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A76A83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EC1170E" w14:textId="77777777" w:rsidR="0001312F" w:rsidRDefault="0001312F">
            <w:pPr>
              <w:tabs>
                <w:tab w:val="left" w:pos="1777"/>
              </w:tabs>
              <w:rPr>
                <w:rFonts w:ascii="Times New Roman" w:eastAsia="Times New Roman" w:hAnsi="Times New Roman" w:cs="Times New Roman"/>
                <w:sz w:val="24"/>
                <w:szCs w:val="24"/>
              </w:rPr>
            </w:pPr>
          </w:p>
          <w:p w14:paraId="109E466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Borders>
              <w:top w:val="single" w:sz="4" w:space="0" w:color="000000"/>
              <w:left w:val="single" w:sz="4" w:space="0" w:color="000000"/>
              <w:bottom w:val="single" w:sz="4" w:space="0" w:color="000000"/>
              <w:right w:val="single" w:sz="4" w:space="0" w:color="000000"/>
            </w:tcBorders>
          </w:tcPr>
          <w:p w14:paraId="2300DBB4" w14:textId="77777777" w:rsidR="0001312F" w:rsidRDefault="0001312F">
            <w:pPr>
              <w:tabs>
                <w:tab w:val="left" w:pos="1777"/>
              </w:tabs>
              <w:rPr>
                <w:rFonts w:ascii="Times New Roman" w:eastAsia="Times New Roman" w:hAnsi="Times New Roman" w:cs="Times New Roman"/>
                <w:b/>
                <w:sz w:val="24"/>
                <w:szCs w:val="24"/>
              </w:rPr>
            </w:pPr>
          </w:p>
          <w:p w14:paraId="72F957E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2AD94F3" w14:textId="6BE7BB4E" w:rsidR="0001312F" w:rsidRDefault="00CA4914">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 general proiectele de infrastructură rutieră vor genera emisii de GES și ca atare sunt necesare măsuri de atenuare. </w:t>
            </w:r>
          </w:p>
          <w:p w14:paraId="3838274A" w14:textId="701D842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Indiferent dacă investițiile prevăzute de Prioritatea nr.2 a PT se vor realiza pe rețeaua națională fără nicio intervenție și fără a lua în calcul traficul rutier de la nivel urban și nivel local, la nivelul anului 2030, se vor genera în aproximativ 18.000 ktone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Realizarea investițiilor propuse în cadrul Priorității nr.2 a PT vor contribui la realizarea condițiilor pentru reducerea acestor emisii.</w:t>
            </w:r>
          </w:p>
          <w:p w14:paraId="5D4802C5"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compensare propuse</w:t>
            </w:r>
          </w:p>
          <w:p w14:paraId="2E9F24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practice de atenuare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se încadrează în 3 categorii:</w:t>
            </w:r>
          </w:p>
          <w:p w14:paraId="2A59288A" w14:textId="37646F31"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Acțiuni ce </w:t>
            </w:r>
            <w:r w:rsidR="00C717A2">
              <w:rPr>
                <w:rFonts w:ascii="Times New Roman" w:eastAsia="Times New Roman" w:hAnsi="Times New Roman" w:cs="Times New Roman"/>
                <w:b/>
                <w:sz w:val="24"/>
                <w:szCs w:val="24"/>
              </w:rPr>
              <w:t>vizează</w:t>
            </w:r>
            <w:r>
              <w:rPr>
                <w:rFonts w:ascii="Times New Roman" w:eastAsia="Times New Roman" w:hAnsi="Times New Roman" w:cs="Times New Roman"/>
                <w:b/>
                <w:sz w:val="24"/>
                <w:szCs w:val="24"/>
              </w:rPr>
              <w:t xml:space="preserve"> reînnoirea parcului auto prin creșterea ponderii vehiculelor cu emisii reduse sau 0 emisii (măsuri propuse prin PNRR, POR 2014 – 2020, Programele finanţate de Administraţia Fondului pentru Mediu (AFM);</w:t>
            </w:r>
          </w:p>
          <w:p w14:paraId="3974FAB1"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Realizarea unui transfer modal (modal shift) de la modul de transport rutier către alte moduri de transport cu emisii reduse de GHG,</w:t>
            </w:r>
          </w:p>
          <w:p w14:paraId="57C239DB" w14:textId="77777777" w:rsidR="0001312F" w:rsidRDefault="0067039D">
            <w:pPr>
              <w:numPr>
                <w:ilvl w:val="0"/>
                <w:numId w:val="46"/>
              </w:num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Acțiuni compensatorii pentru captarea emisiilor de CO2.</w:t>
            </w:r>
          </w:p>
          <w:p w14:paraId="5132736E"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 Modificarea compoziției parcului de autovehicule</w:t>
            </w:r>
          </w:p>
          <w:p w14:paraId="178319E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acțiunile asupra modificării compoziției parcului de autovehicule din România</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au fost identificate 3 categorii de măsuri, după cum urmează:</w:t>
            </w:r>
          </w:p>
          <w:p w14:paraId="1B849B31"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puncte de încărcare cu combustibili alternativi,</w:t>
            </w:r>
          </w:p>
          <w:p w14:paraId="49426118"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descurajare a utilizării autovehiculelor poluante,</w:t>
            </w:r>
          </w:p>
          <w:p w14:paraId="1293BBB3" w14:textId="77777777" w:rsidR="0001312F" w:rsidRDefault="0067039D">
            <w:pPr>
              <w:numPr>
                <w:ilvl w:val="0"/>
                <w:numId w:val="45"/>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încurajare a achiziției de autovehicule curate</w:t>
            </w:r>
          </w:p>
          <w:p w14:paraId="48947DAC" w14:textId="230A7129"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Referitor la </w:t>
            </w:r>
            <w:r>
              <w:rPr>
                <w:rFonts w:ascii="Times New Roman" w:eastAsia="Times New Roman" w:hAnsi="Times New Roman" w:cs="Times New Roman"/>
                <w:i/>
                <w:sz w:val="24"/>
                <w:szCs w:val="24"/>
              </w:rPr>
              <w:t>i</w:t>
            </w:r>
            <w:r>
              <w:rPr>
                <w:rFonts w:ascii="Times New Roman" w:eastAsia="Times New Roman" w:hAnsi="Times New Roman" w:cs="Times New Roman"/>
                <w:b/>
                <w:i/>
                <w:sz w:val="24"/>
                <w:szCs w:val="24"/>
              </w:rPr>
              <w:t>nstalarea de puncte de încărcare cu combustibili alternativi</w:t>
            </w:r>
            <w:r>
              <w:rPr>
                <w:rFonts w:ascii="Times New Roman" w:eastAsia="Times New Roman" w:hAnsi="Times New Roman" w:cs="Times New Roman"/>
                <w:sz w:val="24"/>
                <w:szCs w:val="24"/>
              </w:rPr>
              <w:t xml:space="preserve"> trebuie menționat că în PT au fost prevăzute, în total, 199 </w:t>
            </w:r>
            <w:r>
              <w:rPr>
                <w:rFonts w:ascii="Times New Roman" w:eastAsia="Times New Roman" w:hAnsi="Times New Roman" w:cs="Times New Roman"/>
                <w:b/>
                <w:sz w:val="24"/>
                <w:szCs w:val="24"/>
              </w:rPr>
              <w:t>de puncte</w:t>
            </w:r>
            <w:r>
              <w:rPr>
                <w:rFonts w:ascii="Times New Roman" w:eastAsia="Times New Roman" w:hAnsi="Times New Roman" w:cs="Times New Roman"/>
                <w:sz w:val="24"/>
                <w:szCs w:val="24"/>
              </w:rPr>
              <w:t xml:space="preserve"> de încărcare electrică.</w:t>
            </w:r>
          </w:p>
          <w:p w14:paraId="03A5F97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Precizăm faptul că la fiecare priză de încărcare se găsesc minim 4 tipuri de configurații de alimentare în funcție de specificul autovehiculului (curent alternativ, curent continuu etc).</w:t>
            </w:r>
          </w:p>
          <w:p w14:paraId="115F223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România are ca obiectiv asumat în cadrul  obiectivelor europene de decarbonizare pentru anul 2030 o pondere a energiei din resurse regenerabile în consumul final brut de energie în domeniul transporturilor de 14,2%. </w:t>
            </w:r>
          </w:p>
          <w:p w14:paraId="09B1753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anul 2018 a fost adoptată, prin Hotărâre de Guvern cu nr. 87/2018, </w:t>
            </w:r>
            <w:r>
              <w:rPr>
                <w:rFonts w:ascii="Times New Roman" w:eastAsia="Times New Roman" w:hAnsi="Times New Roman" w:cs="Times New Roman"/>
                <w:i/>
                <w:sz w:val="24"/>
                <w:szCs w:val="24"/>
              </w:rPr>
              <w:t>Strategia privind cadrul național de politică pentru dezvoltarea pieței în ceea ce privește combustibili alternativi în sectorul transporturilor și pentru instalarea infrastructurii relevante în România</w:t>
            </w:r>
            <w:r>
              <w:rPr>
                <w:rFonts w:ascii="Times New Roman" w:eastAsia="Times New Roman" w:hAnsi="Times New Roman" w:cs="Times New Roman"/>
                <w:sz w:val="24"/>
                <w:szCs w:val="24"/>
              </w:rPr>
              <w:t>. Aceasta a fost dezvoltată de Ministerul Energiei, în colaborare cu Ministerul Transporturilor, Ministerul Mediului, Ministerul Dezvoltării Regionale, Administrației Publice și Fondurilor Europene și Ministerul Economiei, precum și o serie de alte instituții publice centrale abilitate în domeniu, sub directa coordonare a Secretariatului General al Guvernului României.</w:t>
            </w:r>
          </w:p>
          <w:p w14:paraId="77EAD7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Documentul susține dezvoltarea infrastructurii de combustibili alternativi în România, astfel încât toate modurile de transport, metodele și tehnologiile relevante să poată fi utilizate nediscriminatoriu, în conformitate cu eficiența, aplicabilitatea și rentabilitatea lor, pentru a asigura un sistem de transport cu un grad ridicat de continuitate și un impact minim asupra mediului înconjurător și sănătății populației, </w:t>
            </w:r>
            <w:r>
              <w:rPr>
                <w:rFonts w:ascii="Times New Roman" w:eastAsia="Times New Roman" w:hAnsi="Times New Roman" w:cs="Times New Roman"/>
                <w:sz w:val="24"/>
                <w:szCs w:val="24"/>
              </w:rPr>
              <w:lastRenderedPageBreak/>
              <w:t>atât în aglomerările urbane, cât și de-a lungul infrastructurii interurbane și rețelelor europene de transport rutier, naval și aerian.</w:t>
            </w:r>
          </w:p>
          <w:p w14:paraId="074FF63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Spre exemplificare, în România se află în derulare un proiect finanțat din fonduri europene, prin Mecanismul Pentru Interconectarea României (CEF), ce vizează implementarea primei rețele de stații de alimentare a vehiculelor cu gaz natural comprimat (CNG) din România, de-a lungul coridoarelor europene de transport. Obiectivul general al proiectului vizează sprijinirea dezvoltării unui sistem de transport durabil și eficient, precum și promovarea decarbonizării transportului rutier de-a lungul coridoarelor din rețeaua principală – TEN-T, prin lansarea CNG-ului ca și carburant alternativ în România.</w:t>
            </w:r>
          </w:p>
          <w:p w14:paraId="21A622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programelor naționale sunt prevăzute acțiuni pentru instalarea de stații de încărcare electrică în special în mediul urban. Pentru exemplificare, prin Programul național privind reducerea emisiilor de gaze cu efect de seră în transporturi, prin promovarea infrastructurii pentru vehiculele de transport rutier nepoluant din punct de vedere energetic: staţii de reîncărcare pentru vehicule electrice în municipiile reşedinţe de județ.</w:t>
            </w:r>
            <w:r>
              <w:rPr>
                <w:rFonts w:ascii="Times New Roman" w:eastAsia="Times New Roman" w:hAnsi="Times New Roman" w:cs="Times New Roman"/>
                <w:sz w:val="24"/>
                <w:szCs w:val="24"/>
                <w:vertAlign w:val="superscript"/>
              </w:rPr>
              <w:footnoteReference w:id="8"/>
            </w:r>
          </w:p>
          <w:p w14:paraId="7D90207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realizarea investițiilor se va avea în vedere utilizarea materialelor de construcții eficiente din punct de vedere ecologic, ca o condiție în caietele de sarcini în procedurile de achiziții publice (ex: covoare de asfalt absorbante de emisii, sistemele de iluminat și monitorizare alimentate de surse regenerabile de energie etc.). Acestea oferă posibilitatea reducerii cu până la 30% a emisiilor de gaze cu efect de seră, generate de exploatarea obiectivului de investiții.</w:t>
            </w:r>
          </w:p>
          <w:p w14:paraId="1D3AC46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MTI și CNAIR se află în procesul de finalizare a strategiei de instalare de stații electrice la nivelul întregii rețele naționale, plecând de la premisa că evoluția infrastructurii de încărcare pentru vehicule electrice trebuie să se facă în strânsă legătură cu dinamica înmatriculărilor de noi vehicule electrice, dar și cu noile evoluții ale legislației europene incluse în pachetul Fit for 55. </w:t>
            </w:r>
          </w:p>
          <w:p w14:paraId="728DAC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fapt există o relație sistemică interdependentă între cele două componente (stații și vehicule), adică numărul de stații de încărcare va crește natural o dată cu creșterea cererii, dar și achiziția de vehicule </w:t>
            </w:r>
            <w:r>
              <w:rPr>
                <w:rFonts w:ascii="Times New Roman" w:eastAsia="Times New Roman" w:hAnsi="Times New Roman" w:cs="Times New Roman"/>
                <w:sz w:val="24"/>
                <w:szCs w:val="24"/>
              </w:rPr>
              <w:lastRenderedPageBreak/>
              <w:t xml:space="preserve">electrice poate fi stimulată prin construcția de noi stații de încărcare, atât la nivel urban, cât și de-a lungul rețelei de drumuri publice extraurbane. </w:t>
            </w:r>
          </w:p>
          <w:p w14:paraId="40298CA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ultimii ani România a încurajat și a stimulat populația și mediul de afaceri, prin măsurile întreprinse, să achiziționeze și să utilizeze vehicule electrice sau hibrid (a se vedea stimulente prevăzute prin programul Rabla). În acest context, asistăm la o creștere exponențială a stațiilor și a prizelor de încărcare electrică, în special în zonele urbane, în spațiile de atracție (centre comerciale) sau dens populate.</w:t>
            </w:r>
          </w:p>
          <w:p w14:paraId="1505DE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prezent, în România sunt aproximativ </w:t>
            </w:r>
            <w:r>
              <w:rPr>
                <w:rFonts w:ascii="Times New Roman" w:eastAsia="Times New Roman" w:hAnsi="Times New Roman" w:cs="Times New Roman"/>
                <w:b/>
                <w:sz w:val="24"/>
                <w:szCs w:val="24"/>
              </w:rPr>
              <w:t>1836 de prize de încărcare</w:t>
            </w:r>
            <w:r>
              <w:rPr>
                <w:rFonts w:ascii="Times New Roman" w:eastAsia="Times New Roman" w:hAnsi="Times New Roman" w:cs="Times New Roman"/>
                <w:sz w:val="24"/>
                <w:szCs w:val="24"/>
              </w:rPr>
              <w:t xml:space="preserve"> pentru autovehiculele electrice dispuse atât în zonele urbane și rurale cât și pe rețeaua de drumuri publice. </w:t>
            </w:r>
          </w:p>
          <w:p w14:paraId="1D30DE7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nivelul PNRR, ținta propusă pentru 30 iunie 2026, pentru asigurarea într-o manieră eficientă și sustenabilă a încărcării vehiculelor electrice, este de a avea în funcțiune peste </w:t>
            </w:r>
            <w:r>
              <w:rPr>
                <w:rFonts w:ascii="Times New Roman" w:eastAsia="Times New Roman" w:hAnsi="Times New Roman" w:cs="Times New Roman"/>
                <w:b/>
                <w:sz w:val="24"/>
                <w:szCs w:val="24"/>
              </w:rPr>
              <w:t>30.000 prize de încărcare electrică.</w:t>
            </w:r>
            <w:r>
              <w:rPr>
                <w:rFonts w:ascii="Times New Roman" w:eastAsia="Times New Roman" w:hAnsi="Times New Roman" w:cs="Times New Roman"/>
                <w:sz w:val="24"/>
                <w:szCs w:val="24"/>
              </w:rPr>
              <w:t xml:space="preserve">  </w:t>
            </w:r>
          </w:p>
          <w:p w14:paraId="76D27F85" w14:textId="62A3FADF"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vizate prin PT sunt complementarea celor prevăzute în cadrul PNRR, contribuind la dezvoltarea unei rețele sustenabile de stații de alimentare cu combustibili alternativi distribuită in mod uniform de-a lungul rețelei TEN-T.</w:t>
            </w:r>
          </w:p>
          <w:p w14:paraId="047315C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În privința </w:t>
            </w:r>
            <w:r>
              <w:rPr>
                <w:rFonts w:ascii="Times New Roman" w:eastAsia="Times New Roman" w:hAnsi="Times New Roman" w:cs="Times New Roman"/>
                <w:b/>
                <w:i/>
                <w:sz w:val="24"/>
                <w:szCs w:val="24"/>
              </w:rPr>
              <w:t>descurajării utilizării vehiculelor poluante</w:t>
            </w:r>
            <w:r>
              <w:rPr>
                <w:rFonts w:ascii="Times New Roman" w:eastAsia="Times New Roman" w:hAnsi="Times New Roman" w:cs="Times New Roman"/>
                <w:sz w:val="24"/>
                <w:szCs w:val="24"/>
              </w:rPr>
              <w:t xml:space="preserve">, România are în vedere, în principal, aplicarea taxării vehiculelor poluante grele, conform principiului „poluatorul plătește” parte a reformei nr.1 a componentei de transport sustenabil din cadrul PNRR. Această măsură urmărește elaborarea unei propuneri de politică publică și aprobarea legislației aferente pentru  implementarea unui nou sistem de taxare a traficului greu in functie de distanta parcursa. În acest sens, Ministerul Transporturilor și Infrastructurii (MTI) va actualiza cadrul legislativ care reglementează aplicarea tarifului de utilizare şi a tarifului de circulație pe reţeaua de drumuri naţionale din România. </w:t>
            </w:r>
          </w:p>
          <w:p w14:paraId="4E17C59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acestei măsuri, MTI va realiza o analiză pentru a defini mai specific nivelul de taxare, în special pentru traficul greu, precum și posibilitatea introducerii graduale a acesteia, definirea exactă a categoriilor de vehicule care vor fi incluse în sistemul de taxare și a categoriilor de drumuri și nivelului de acoperire al rețelei integrate de drumuri naționale din România. </w:t>
            </w:r>
          </w:p>
          <w:p w14:paraId="0105131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Estimările preliminare includ, printre beneficiile secundare, un transfer de trafic (pasageri + marfă) de 10% către infrastructura feroviară, ducând la descongestionare, poluare redusă și siguranță crescută.</w:t>
            </w:r>
          </w:p>
          <w:p w14:paraId="3AB956C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urmărește ca veniturile suplimentare generate să permită o împărțire rezonabilă a fondurilor între întreținerea rețelei rutiere și realizarea de noi investiții. </w:t>
            </w:r>
          </w:p>
          <w:p w14:paraId="734213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la nivel național vor fi luate în considerare și alte măsuri fiscale privind descurajarea utilizării vehiculelor poluante, inclusiv prin creșterea taxelor de înregistrare a acestor tipuri de vehicule. </w:t>
            </w:r>
          </w:p>
          <w:p w14:paraId="48EBCA4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mediul urban se are în vedere crearea Zonelor cu emisii zero. Tot în PNRR, la componenta aferentă Fondului local, a fost prevăzută crearea legislației care sa reglementeze inclusiv zonele cu emisii zero. Astfel,  </w:t>
            </w:r>
            <w:r>
              <w:rPr>
                <w:rFonts w:ascii="Times New Roman" w:eastAsia="Times New Roman" w:hAnsi="Times New Roman" w:cs="Times New Roman"/>
                <w:i/>
                <w:sz w:val="24"/>
                <w:szCs w:val="24"/>
              </w:rPr>
              <w:t>reforma 2. - Crearea cadrului de politica pentru o transformare urbană sustenabila</w:t>
            </w:r>
            <w:r>
              <w:rPr>
                <w:rFonts w:ascii="Times New Roman" w:eastAsia="Times New Roman" w:hAnsi="Times New Roman" w:cs="Times New Roman"/>
                <w:sz w:val="24"/>
                <w:szCs w:val="24"/>
              </w:rPr>
              <w:t xml:space="preserve"> prevede măsuri privind mobilitatea urbană durabilă.</w:t>
            </w:r>
          </w:p>
          <w:p w14:paraId="18BB63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În ceea ce privește măsurile de </w:t>
            </w:r>
            <w:r>
              <w:rPr>
                <w:rFonts w:ascii="Times New Roman" w:eastAsia="Times New Roman" w:hAnsi="Times New Roman" w:cs="Times New Roman"/>
                <w:b/>
                <w:i/>
                <w:sz w:val="24"/>
                <w:szCs w:val="24"/>
              </w:rPr>
              <w:t>încurajare a utilizării vehiculelor curate</w:t>
            </w:r>
            <w:r>
              <w:rPr>
                <w:rFonts w:ascii="Times New Roman" w:eastAsia="Times New Roman" w:hAnsi="Times New Roman" w:cs="Times New Roman"/>
                <w:sz w:val="24"/>
                <w:szCs w:val="24"/>
              </w:rPr>
              <w:t>, tot în cadrul componentei de transport sustenabil a PNRR măsurile de reformă vor valorifica legislația rezultată din transpunerea Directivei 1161/2019/UE de modificare a Directivei 33/2009/CE privind promovarea vehiculelor de transport rutier nepoluante și eficiente din punct de vedere energetic, care are ca țintă de intrare în vigoare semestrul al doilea al anului 2021.</w:t>
            </w:r>
          </w:p>
          <w:p w14:paraId="67DB723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a fost prevăzută ca țintă </w:t>
            </w:r>
            <w:r>
              <w:rPr>
                <w:rFonts w:ascii="Times New Roman" w:eastAsia="Times New Roman" w:hAnsi="Times New Roman" w:cs="Times New Roman"/>
                <w:i/>
                <w:sz w:val="24"/>
                <w:szCs w:val="24"/>
              </w:rPr>
              <w:t>achiziţia de vehicule noi curate de către entități publice, cu cel puțin 3% peste pragurile din Directiva privind Vehiculele Curate (Clean Vehicles Directive)</w:t>
            </w:r>
            <w:r>
              <w:rPr>
                <w:rFonts w:ascii="Times New Roman" w:eastAsia="Times New Roman" w:hAnsi="Times New Roman" w:cs="Times New Roman"/>
                <w:sz w:val="24"/>
                <w:szCs w:val="24"/>
              </w:rPr>
              <w:t xml:space="preserve">, target care urmăreşte depăşirea ţintelor minime privind achizițiile publice referitoare la ponderea vehiculelor nepoluante, din numărul total de vehicule, pe categorii (18,7% pentru vehicule uşoare, 6% pentru vehicule grele, 24% pentru autobuze), prevăzute în Directiva 1161/2019/UE), cu cel puţin 3%. </w:t>
            </w:r>
          </w:p>
          <w:p w14:paraId="68B91A9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prin targetul privind </w:t>
            </w:r>
            <w:r>
              <w:rPr>
                <w:rFonts w:ascii="Times New Roman" w:eastAsia="Times New Roman" w:hAnsi="Times New Roman" w:cs="Times New Roman"/>
                <w:i/>
                <w:sz w:val="24"/>
                <w:szCs w:val="24"/>
              </w:rPr>
              <w:t xml:space="preserve">Creșterea cu cel puțin 100% a numărului de vehicule înregistrate cu emisii zero și vehicule cu emisii reduse față de valoarea inițială din anul 2020 </w:t>
            </w:r>
            <w:r>
              <w:rPr>
                <w:rFonts w:ascii="Times New Roman" w:eastAsia="Times New Roman" w:hAnsi="Times New Roman" w:cs="Times New Roman"/>
                <w:sz w:val="24"/>
                <w:szCs w:val="24"/>
              </w:rPr>
              <w:t>se  urmăreşte dublarea numărului de vehicule cu emisii zero și vehicule cu emisii reduse, faţă de  valoarea de 29.500 de  vehicule electrice înregistrate la sfârșitul anului 2019.</w:t>
            </w:r>
          </w:p>
          <w:p w14:paraId="203D192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Măsurile propuse vor fi corelate cu Programul „Rabla” implementat de către autoritățile române la nivel național. Programul este implementat în România începând cu anul 2005 și vizează sprijinirea achiziției de vehicule de transport rutier nepoluante şi eficiente din punct de vedere energetic.</w:t>
            </w:r>
          </w:p>
          <w:p w14:paraId="62FB876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în perioada 2013-2014 se observă o creștere de doar 1% a numărului de vehicule electrice și hibrid electrice noi achiziționate, în perioada următoare acest număr crește succesiv cu 110% (2014-2015), 139% (2015-2016) și cu 185% (în primele 5 luni din 2017). Acest ritm accelerat de creștere ar putea fi explicat prin faptul că vehicule au devenit mai accesibile în ceea ce privește prețul, dar și ca efect al unor măsuri specifice de încurajare a achiziției de către statul Român, precum programul „Rabla Plus” (perioada 2016 – 2020).</w:t>
            </w:r>
          </w:p>
          <w:p w14:paraId="66871D4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Doar în perioada 2005-2010, prin intermediul acestui program au fost scoase din uz și casate peste 260.000 vehicule, programul având un trend ascendent în anii următori. Forma aprobată a programului pentru perioada 2021-2024 vizează creșterea primelor de casare pentru mașinile full electrice și hibrid și acordarea de stimulente pentru înlocuirea vehiculelor pe combustibil clasic.</w:t>
            </w:r>
          </w:p>
          <w:p w14:paraId="687B7EA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Impactul așteptat al măsurilor prezentate mai sus este dublarea cotei de autovehicule electrice în totalul parcului de autovehicule din România până în 2026.</w:t>
            </w:r>
          </w:p>
          <w:p w14:paraId="64B73757"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2. Transfer modal (modal shift) de la modul de transport rutier către alte moduri de transport cu emisii reduse de GHG</w:t>
            </w:r>
          </w:p>
          <w:p w14:paraId="63D300E9" w14:textId="1C9A6CF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privește realizarea unui transfer modal (modal shift) de la modul de transport rutier către alte moduri de transport cu emisii </w:t>
            </w:r>
            <w:r w:rsidR="008F11C9">
              <w:rPr>
                <w:rFonts w:ascii="Times New Roman" w:eastAsia="Times New Roman" w:hAnsi="Times New Roman" w:cs="Times New Roman"/>
                <w:sz w:val="24"/>
                <w:szCs w:val="24"/>
              </w:rPr>
              <w:t>reduse de GHG, atât în cadrul P</w:t>
            </w:r>
            <w:r>
              <w:rPr>
                <w:rFonts w:ascii="Times New Roman" w:eastAsia="Times New Roman" w:hAnsi="Times New Roman" w:cs="Times New Roman"/>
                <w:sz w:val="24"/>
                <w:szCs w:val="24"/>
              </w:rPr>
              <w:t xml:space="preserve">T, cât și în cadrul altor programe de finanțare sunt propuse investiții în modernizarea căilor ferate din RO. Astfel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sunt prevăzute modernizarea a 580 km de linie (fir-km) km de linie cale ferată și dotarea acestora cu ERTMS.</w:t>
            </w:r>
          </w:p>
          <w:p w14:paraId="30D6D19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Magistralele de cale ferată reprezintă rute de cale ferată alternative față de aliniamentul infrastructurii rutiere ce se va finanța în cadrul acestei priorități.</w:t>
            </w:r>
          </w:p>
          <w:p w14:paraId="3C33A4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Elasticitatea transportului feroviar de marfă (creșterea volumului și reducerea costului sau a timpului) este foarte limitată, astfel încât o schimbare efectivă de alegere a modului de transport necesită mai mult decât lucrări de infrastructură sau chiar reforme de taxare.</w:t>
            </w:r>
          </w:p>
          <w:p w14:paraId="242AC11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lua în analiză, la nivel național, măsuri de stimulare a schimbării modului de transport. Printre aceste măsuri se iau în considerare:</w:t>
            </w:r>
          </w:p>
          <w:p w14:paraId="173EC58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Dezvoltarea de platforme/ centre intermodale;</w:t>
            </w:r>
          </w:p>
          <w:p w14:paraId="5E2BD581"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 de eficientizare a transportului feroviar de marfă, inclusiv reorganizarea triajelor; </w:t>
            </w:r>
          </w:p>
          <w:p w14:paraId="52AAA86E"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dezvoltare a traficului containerizat pe Dunăre;</w:t>
            </w:r>
          </w:p>
          <w:p w14:paraId="780C5362"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reînnoire a flotei pe Dunăre;</w:t>
            </w:r>
          </w:p>
          <w:p w14:paraId="0BE7C520"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Sisteme de informații pentru transportul feroviar și fluvial;</w:t>
            </w:r>
          </w:p>
          <w:p w14:paraId="55820D1A"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raportare de către societățile comerciale a emisiilor, inclusiv supply chain;</w:t>
            </w:r>
          </w:p>
          <w:p w14:paraId="793D8C49" w14:textId="77777777" w:rsidR="0001312F" w:rsidRDefault="0067039D">
            <w:pPr>
              <w:numPr>
                <w:ilvl w:val="0"/>
                <w:numId w:val="27"/>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stimulare a reducerii emisiilor aferente activităților de transport de către societățile comerciale;</w:t>
            </w:r>
          </w:p>
          <w:p w14:paraId="493BD7A9" w14:textId="77777777" w:rsidR="0001312F" w:rsidRDefault="0067039D">
            <w:pPr>
              <w:numPr>
                <w:ilvl w:val="0"/>
                <w:numId w:val="27"/>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Alinierea taxării pentru diverse moduri de transport, astfel încât să devină competitive și atractive, în special atunci când vorbim despre transportul feroviar.</w:t>
            </w:r>
          </w:p>
          <w:p w14:paraId="17CD5413" w14:textId="66AC7E15"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investițiile în sectorul feroviar au un rol dominant în cadrul anvelopei pe care România o pregătește pentru CEF 2.0 și de asemenea investițiile feroviare împreună cu investițiile în infrastructura navală și multimodală și infrastructura de metrou vor concentrează alocări importante în Programul Transport 2021-2027.</w:t>
            </w:r>
          </w:p>
          <w:p w14:paraId="3B1F2309" w14:textId="026DD8A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în infrastructura feroviară națională sunt completate de investiții în transportul feroviar de călători cu scopul de a îmbunătăți condițiile de transport și durata deplasărilor și a transforma transportul feroviar într-o alternativă viabilă. Astfel, tot prin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vor fi achiziționate 56 de unități electrice multiple pentru transportul de pasageri pe calea ferată.</w:t>
            </w:r>
          </w:p>
          <w:p w14:paraId="348FEAB6" w14:textId="4B1D3D28"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în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sunt prevăzute și măsuri pentru stimularea transportului public ecologic în zonele metropolitane prin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w:t>
            </w:r>
            <w:r>
              <w:rPr>
                <w:rFonts w:ascii="Times New Roman" w:eastAsia="Times New Roman" w:hAnsi="Times New Roman" w:cs="Times New Roman"/>
                <w:sz w:val="24"/>
                <w:szCs w:val="24"/>
              </w:rPr>
              <w:lastRenderedPageBreak/>
              <w:t>în regiunile metropolitane prioritizate conform PI. Investițiile se vor baza pe integrarea modurilor de transport urban în cadrul Planurilor de Mobilitate Urbană Durabilă (PMUD) și vor viza inclusiv dezvoltarea transportului cu metroul.</w:t>
            </w:r>
          </w:p>
          <w:p w14:paraId="7D10393A" w14:textId="351DF2C9"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aceste tipuri de acţiuni ce contribuie la reducerea emisiilor GES, au fost evaluate ca având un efect pozitiv asupra aspectului de mediu Factori climatici (Reducerea emisiilor GES).</w:t>
            </w:r>
          </w:p>
          <w:p w14:paraId="102C04D0"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Acțiuni compensatorii pentru captarea emisiilor de CO</w:t>
            </w:r>
            <w:r>
              <w:rPr>
                <w:rFonts w:ascii="Times New Roman" w:eastAsia="Times New Roman" w:hAnsi="Times New Roman" w:cs="Times New Roman"/>
                <w:b/>
                <w:sz w:val="24"/>
                <w:szCs w:val="24"/>
                <w:vertAlign w:val="subscript"/>
              </w:rPr>
              <w:t>2</w:t>
            </w:r>
          </w:p>
          <w:p w14:paraId="03C157F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acțiunile compensatorii pentru neutralizarea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la realizarea proiectelor de infrastructură rutieră se are în vedere retenția emisiilor de carbon prin evitarea despăduririlor și împădurirea suprafețelor de teren din spațiile de siguranță.</w:t>
            </w:r>
          </w:p>
          <w:p w14:paraId="2B592F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remarcat faptul că suprafața împădurită a României, în prezent, este de aproximativ 7 milioane Ha, ceea ce corespunde unei înmagazinări anuale între 25.444 ktone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România intenționează, pe viitor, să ajungă la media suprafețelor împădurite de la nivelul UE, ceea ce presupune împădurirea unei suprafețe adiționale de peste 3,2 milioane de Ha, astfel încât să suplimenteze capacitatea de absorbție a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w:t>
            </w:r>
          </w:p>
          <w:p w14:paraId="178A6E8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Concret, România urmărește împădurirea spațiilor de siguranță ale drumurilor noi, luând în considerare faptul că un copac în zona temperată poate înmagazina 10 kg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pe an, iar la 1 Ha de pădure avem aproximativ 500-1000 de copaci, ca măsură de compensare a impactului creșterii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Complementar, prin PNRR, România și-a asumat împădurirea a 56.700  Ha de teren.</w:t>
            </w:r>
          </w:p>
          <w:p w14:paraId="34BE582E" w14:textId="4662C90D"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se realizează în condițiile prevăzute de legislația națională precum și normele tehnice silvice în vigoare (aprobate prin Ordin de Ministru). În România se utilizează, în mare măsură, specii native de arbori și arbuști care sunt adaptate condițiilor locale. Pentru perdele forestiere se vor dezvolta studii individuale tehnice care vor include selectarea speciilor locale cel mai bine adaptate condițiilor de climă, iar utilizarea speciilor alohtone naturalizate în România se va face doar în situații foarte limitate, pe </w:t>
            </w:r>
            <w:r>
              <w:rPr>
                <w:rFonts w:ascii="Times New Roman" w:eastAsia="Times New Roman" w:hAnsi="Times New Roman" w:cs="Times New Roman"/>
                <w:sz w:val="24"/>
                <w:szCs w:val="24"/>
              </w:rPr>
              <w:lastRenderedPageBreak/>
              <w:t>terenurile expuse unor fenomene de degradare accentuata. Alegerea speciilor va lua în considerare și contribuția la absorbția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va fi avizată de către structurile teritoriale ale autorității centrale cu atribuții în silvicultură. Aceste perdele se vor amplasa, predominant, în zone expuse efectelor schimbărilor climatice si vor contribui la reducerea impactului acestora. Se va evita plantarea arborilor în zone umede cu valoare conservativă ridicată. Tehnicile și tehnologiile de plantare sunt descrise și aprobate prin Norme tehnice unitare la nivel național și în cele mai multe dintre cazuri presupun plantarea manuală, cu impact nesemnificativ asupra mediului. Pregătirea terenului pentru plantare presupune mobilizarea solului în scopul activării creșterii arborilor nou plantați, astfel încât aceștia își vor exercita funcțiile protective în timp scurt (2-3 ani).</w:t>
            </w:r>
          </w:p>
          <w:p w14:paraId="56C7D42F" w14:textId="4B49E140"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Raportului de mediu a fost propusă o măsură pentru evitarea apariţiei unui efect negativ cu privire la răspândirea speciilor invazive în urma plantării de arbori, respectiv „</w:t>
            </w:r>
            <w:r w:rsidRPr="00327920">
              <w:rPr>
                <w:rFonts w:ascii="Times New Roman" w:eastAsia="Times New Roman" w:hAnsi="Times New Roman" w:cs="Times New Roman"/>
                <w:sz w:val="24"/>
                <w:szCs w:val="24"/>
              </w:rPr>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r>
              <w:rPr>
                <w:rFonts w:ascii="Times New Roman" w:eastAsia="Times New Roman" w:hAnsi="Times New Roman" w:cs="Times New Roman"/>
                <w:sz w:val="24"/>
                <w:szCs w:val="24"/>
              </w:rPr>
              <w:t>”</w:t>
            </w:r>
          </w:p>
          <w:p w14:paraId="0549A63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ceea ce privește investițiile privind digitalizarea transportului rutier se va avea în vedere achiziţia de echipamente cu un consum energetic redus, care să determine eficientizarea consumului de energie. </w:t>
            </w:r>
          </w:p>
          <w:p w14:paraId="757A6D1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prin implementarea submăsurilor de digitalizare se va înregistra o reducere a emisiilor de GES din transportul rutier, prin implementarea sistemelor care reduc rata accidentelor și congestiile, a sistemelor care vor permite circulaţia vehiculelor autonome, mai puţin poluante etc.</w:t>
            </w:r>
          </w:p>
          <w:p w14:paraId="5B03E72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cuprinse în prezentul capitol contribuie la măsurile de evitare a impactului schimbărilor climatice, aferente proiectelor de infrastructură rutieră, conform prevederilor art.10 din Regulamentul 852/2020 și considerăm că sprijină tranziția României către o economie neutră climatic.</w:t>
            </w:r>
          </w:p>
          <w:p w14:paraId="74B7CE6A" w14:textId="34F8C55E" w:rsidR="00C717A2"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2C51DA38"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45208C5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Adaptarea la schimbările climatice.</w:t>
            </w:r>
            <w:r>
              <w:rPr>
                <w:rFonts w:ascii="Times New Roman" w:eastAsia="Times New Roman" w:hAnsi="Times New Roman" w:cs="Times New Roman"/>
                <w:sz w:val="24"/>
                <w:szCs w:val="24"/>
              </w:rPr>
              <w:t xml:space="preserve"> Se preconizează că măsura va duce la creșterea efectului negativ al climatului actual și al climatului viitor preconizat asupra măsurii în sine sau asupra persoanelor, asupra naturii sau asupra activelor?</w:t>
            </w:r>
          </w:p>
        </w:tc>
        <w:tc>
          <w:tcPr>
            <w:tcW w:w="870" w:type="dxa"/>
            <w:tcBorders>
              <w:top w:val="single" w:sz="4" w:space="0" w:color="000000"/>
              <w:left w:val="single" w:sz="4" w:space="0" w:color="000000"/>
              <w:bottom w:val="single" w:sz="4" w:space="0" w:color="000000"/>
              <w:right w:val="single" w:sz="4" w:space="0" w:color="000000"/>
            </w:tcBorders>
          </w:tcPr>
          <w:p w14:paraId="0CB3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6980846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secțiunile de infrastructură rutieră incluse în cadrul acestei priorități evaluările impactului asupra mediului se realizează în conformitate cu prevederile Directivei 52/2014/UE de modificare a Directivei 92/2011/UE privind evaluarea efectelor anumitor proiecte publice și private asupra mediului, transpusă în legislaţia naţională prin Legea nr. 292/2018 privind evaluarea impactului anumitor proiecte publice şi private asupra mediului cu încadrare în Anexa 1 – pct 7, lit. b) Construirea de autostrăzi şi de drumuri expres. </w:t>
            </w:r>
          </w:p>
          <w:p w14:paraId="026590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Conform metodologiei de realizare a impactului asupra mediului, analiza de vulnerabilități climatice se va realiza pentru toate secțiunile componente ale infrastructurii rutiere finanțate în cadrul acestei priorități. Analiza de vulnerabilități climatice evaluează riscurile la care proiectele de infrastructură rutieră se expun la condițiile existente și viitoare de climă și în funcție de gradul de expunere se propun măsuri de adaptare.</w:t>
            </w:r>
          </w:p>
          <w:p w14:paraId="0D5DF57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analizelor de vulnerabilitate realizate pentru proiectele aflate în implementare au fost identificate principalele riscuri asociate schimbărilor climatice, după cum urmează: creșterea temperaturilor extreme, schimbări ale precipitațiilor extreme, inundații, temperaturi foarte scăzute, furtuni de zăpadă.</w:t>
            </w:r>
          </w:p>
          <w:p w14:paraId="689E12F2"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adaptare propuse/incluse în documentațiile de execuție a lucrărilor</w:t>
            </w:r>
          </w:p>
          <w:p w14:paraId="1349BA6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 urmare a identificării acestor riscuri au fost propuse măsuri de adaptare în corelare cu studiile de dezvoltare ale proiectelor: </w:t>
            </w:r>
          </w:p>
          <w:p w14:paraId="0E81289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unor soluții tehnice care să permită adaptarea la temperaturile maxime actuale;</w:t>
            </w:r>
          </w:p>
          <w:p w14:paraId="0BFEBF30"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proiectarea infrastructurii pentru colectarea apelor pluviale astfel încât să facă față unor cantități mai mari ale precipitațiilor extreme;</w:t>
            </w:r>
          </w:p>
          <w:p w14:paraId="46F94CDC"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adaptare în conformitate cu specificul climatic al zonei;</w:t>
            </w:r>
          </w:p>
          <w:p w14:paraId="65066524"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proiect sunt prevăzute straturi de acoperire rezistente la fluctuațiile de temperatură, rosturi de dilatație rezistente la fluctuațiile de temperatură;</w:t>
            </w:r>
          </w:p>
          <w:p w14:paraId="41631262"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dimensionarea șanțurilor, rigolelor și cazurilor prevăzute, ce trebuie sa preia apele pluviale și să le canalizeze către podețe și poduri a fost realizată astfel încât să asigure o drenare eficientă a caii de rulare în scopul evitării producerii inundatiilor;</w:t>
            </w:r>
          </w:p>
          <w:p w14:paraId="10C5208E"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monitorizarea constantă a comportamentului infrastructurii în contextul utilizării acesteia;</w:t>
            </w:r>
          </w:p>
          <w:p w14:paraId="757EB11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va organiza sistemul de informare şi control asupra stării drumurilor şi modul de pregătire şi acţionare pe timp de iarnă, respectând prevederile normativelor în vigoare;</w:t>
            </w:r>
          </w:p>
          <w:p w14:paraId="185CA077"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acoperirea terasamentelor cu material textil și vegetație;</w:t>
            </w:r>
          </w:p>
          <w:p w14:paraId="3484B84B"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execuția pereților din piloni de beton armat pentru limitarea amprizei; </w:t>
            </w:r>
          </w:p>
          <w:p w14:paraId="629EDE86" w14:textId="77777777" w:rsidR="0001312F" w:rsidRDefault="0067039D">
            <w:pPr>
              <w:numPr>
                <w:ilvl w:val="0"/>
                <w:numId w:val="26"/>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perdele forestiere în zonele expuse.</w:t>
            </w:r>
          </w:p>
          <w:p w14:paraId="03CBAD40" w14:textId="77777777" w:rsidR="0001312F" w:rsidRDefault="0001312F">
            <w:pPr>
              <w:tabs>
                <w:tab w:val="left" w:pos="1777"/>
              </w:tabs>
              <w:jc w:val="both"/>
              <w:rPr>
                <w:rFonts w:ascii="Times New Roman" w:eastAsia="Times New Roman" w:hAnsi="Times New Roman" w:cs="Times New Roman"/>
                <w:sz w:val="24"/>
                <w:szCs w:val="24"/>
              </w:rPr>
            </w:pPr>
          </w:p>
          <w:p w14:paraId="37C2195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aplicarea acestor măsuri de adaptare riscurile se vor diminua considerabil. Totodată, se va urmări ca soluțiile de adaptare să nu afecteze în mod negativ eforturile de adaptare sau nivelul de reziliență la riscurile fizice legate de climă ale altor persoane, ale naturii, ale activelor și ale altor activități economice și să fie în concordanță cu eforturile de adaptare la nivel local, sectorial, regional sau național.</w:t>
            </w:r>
          </w:p>
        </w:tc>
      </w:tr>
      <w:tr w:rsidR="0001312F" w14:paraId="6966DAC9"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5B2D6D1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8BFB20C" w14:textId="77777777" w:rsidR="0001312F" w:rsidRDefault="0001312F">
            <w:pPr>
              <w:tabs>
                <w:tab w:val="left" w:pos="1777"/>
              </w:tabs>
              <w:rPr>
                <w:rFonts w:ascii="Times New Roman" w:eastAsia="Times New Roman" w:hAnsi="Times New Roman" w:cs="Times New Roman"/>
                <w:sz w:val="24"/>
                <w:szCs w:val="24"/>
              </w:rPr>
            </w:pPr>
          </w:p>
          <w:p w14:paraId="6D1E5F4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394C34" w14:textId="77777777" w:rsidR="0001312F" w:rsidRDefault="0001312F">
            <w:pPr>
              <w:tabs>
                <w:tab w:val="left" w:pos="1777"/>
              </w:tabs>
              <w:rPr>
                <w:rFonts w:ascii="Times New Roman" w:eastAsia="Times New Roman" w:hAnsi="Times New Roman" w:cs="Times New Roman"/>
                <w:sz w:val="24"/>
                <w:szCs w:val="24"/>
              </w:rPr>
            </w:pPr>
          </w:p>
          <w:p w14:paraId="4E2D500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Borders>
              <w:top w:val="single" w:sz="4" w:space="0" w:color="000000"/>
              <w:left w:val="single" w:sz="4" w:space="0" w:color="000000"/>
              <w:bottom w:val="single" w:sz="4" w:space="0" w:color="000000"/>
              <w:right w:val="single" w:sz="4" w:space="0" w:color="000000"/>
            </w:tcBorders>
          </w:tcPr>
          <w:p w14:paraId="3B637D39"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2C7D06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construcție de infrastructură rutieră vor parcurge procedura evaluării impactului asupra mediului pentru construcția drumului și a infrastructurii aferente de încărcare și alimentare, în conformitate cu Directiva 92/2011, amendată conform Directivei 52/2014.</w:t>
            </w:r>
          </w:p>
          <w:p w14:paraId="7692809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6D5D03A3"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evitare/reducere a impactului propuse în documentațiile de execuție a lucrărilor</w:t>
            </w:r>
          </w:p>
          <w:p w14:paraId="2461871E"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Evitarea impactului:</w:t>
            </w:r>
          </w:p>
          <w:p w14:paraId="4C8949F6"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în apropierea cursurilor de apă și nici în apropierea zonelor de protecție sanitară a captărilor de apă și apeductelor;</w:t>
            </w:r>
          </w:p>
          <w:p w14:paraId="49E747D2"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 preveni infiltrarea substanțelor poluante și pentru a se evita formarea băltirilor, platformele de lucru sau de circulație, suprafețele de depozitare, zonele de stocare carburanți, zona </w:t>
            </w:r>
            <w:r>
              <w:rPr>
                <w:rFonts w:ascii="Times New Roman" w:eastAsia="Times New Roman" w:hAnsi="Times New Roman" w:cs="Times New Roman"/>
                <w:sz w:val="24"/>
                <w:szCs w:val="24"/>
              </w:rPr>
              <w:lastRenderedPageBreak/>
              <w:t>de întreținere echipamente, zona de amplasare a stației betoane și a stației de asfalt, vor fi amenajate şi impermeabilizate corespunzător;</w:t>
            </w:r>
          </w:p>
          <w:p w14:paraId="48BB1AE1"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spăla mijloacele şi utilajele de construcţie în apele de suprafaţă sau în interiorul ariilor naturale protejate Natura 2000;</w:t>
            </w:r>
          </w:p>
          <w:p w14:paraId="4D03108A" w14:textId="77777777" w:rsidR="0001312F" w:rsidRDefault="0067039D">
            <w:pPr>
              <w:numPr>
                <w:ilvl w:val="0"/>
                <w:numId w:val="25"/>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interzice depozitarea deșeurilor de construcții, a materialelor și staționarea utilajelor în albiile cursurilor de apa.</w:t>
            </w:r>
          </w:p>
          <w:p w14:paraId="099E6011" w14:textId="77777777" w:rsidR="0001312F" w:rsidRDefault="0001312F">
            <w:pPr>
              <w:tabs>
                <w:tab w:val="left" w:pos="1777"/>
              </w:tabs>
              <w:jc w:val="both"/>
              <w:rPr>
                <w:rFonts w:ascii="Times New Roman" w:eastAsia="Times New Roman" w:hAnsi="Times New Roman" w:cs="Times New Roman"/>
                <w:sz w:val="24"/>
                <w:szCs w:val="24"/>
              </w:rPr>
            </w:pPr>
          </w:p>
          <w:p w14:paraId="1BD82F2A" w14:textId="77777777" w:rsidR="0001312F" w:rsidRDefault="0067039D">
            <w:pPr>
              <w:tabs>
                <w:tab w:val="left" w:pos="1777"/>
              </w:tabs>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Reducerea impactului prin:</w:t>
            </w:r>
          </w:p>
          <w:p w14:paraId="4F962092"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de lucrări pentru reţinerea agenţilor poluanţi în perioada de exploatare (decantoare şi separatoare de produse petroliere), pentru epurarea apelor meteorice care spală platforma drumului înainte de a fi deversate într-un receptor natural, în reţeaua de canalizare sau în bazine de retenție;</w:t>
            </w:r>
          </w:p>
          <w:p w14:paraId="4D6C515D"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colectarea, epurarea şi evacuarea apelor pluviale de pe suprafaţa de rulare şi taluzuri, se va asigura întreţinerea şi funcţionarea sistemelor de drenaj (şanţurile pereate, şanţurile înierbate, rigolele de acostament, casiurile de descărcare, rigolele pereate pe bermele rambleelor înalte, podeţele de descărcare, bazinele decantoare, separatoarele de grăsimi, bazinele de dispersie);</w:t>
            </w:r>
          </w:p>
          <w:p w14:paraId="4F7A2BD5"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nămolul colectat din şanţuri şi decantoare va fi transportat la depozite de deşeuri sau staţii de epurare în vederea tratării şi eliminării;</w:t>
            </w:r>
          </w:p>
          <w:p w14:paraId="1CF07C6C"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curăţarea periodică a separatoarelor de produse petroliere pentru evitarea oricăror deversări/ poluări;</w:t>
            </w:r>
          </w:p>
          <w:p w14:paraId="50E2003E"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corespunzătoare a suprafeţei de rulare pentru evitarea apariţiei crăpăturilor şi fisurilor, prin care pot să apară infiltraţii în corpul rambleelor;</w:t>
            </w:r>
          </w:p>
          <w:p w14:paraId="09302F88" w14:textId="77777777" w:rsidR="0001312F" w:rsidRDefault="0067039D">
            <w:pPr>
              <w:numPr>
                <w:ilvl w:val="0"/>
                <w:numId w:val="24"/>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platforma aferentă dotarilor infrastructurii rutiere (spații de servicii, centre de intretinere CIC şi CIM) vor fi proiectate cu pante care sa asigure scurgerea și colectarea apelor meteorice, acestea fiind dirijate apoi către construcțiile de epurare;</w:t>
            </w:r>
          </w:p>
          <w:p w14:paraId="189C2231" w14:textId="77777777" w:rsidR="0001312F" w:rsidRDefault="0067039D">
            <w:pPr>
              <w:numPr>
                <w:ilvl w:val="0"/>
                <w:numId w:val="24"/>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verificarea periodică a funcționării stațiilor de alimentare cu carburanți și a rezervoarelor de combustibil prevăzute la spațiile de servicii, la centrul de întreținere și coordonare precum și la </w:t>
            </w:r>
            <w:r>
              <w:rPr>
                <w:rFonts w:ascii="Times New Roman" w:eastAsia="Times New Roman" w:hAnsi="Times New Roman" w:cs="Times New Roman"/>
                <w:sz w:val="24"/>
                <w:szCs w:val="24"/>
              </w:rPr>
              <w:lastRenderedPageBreak/>
              <w:t>centrul de întreținere și monitorizare. Apele pluviale colectate de pe platforma unde va fi montată stația vor fi descărcate într-un separator de hidrocarburi.</w:t>
            </w:r>
          </w:p>
          <w:p w14:paraId="38D8649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beneficiarul proiectului va stabili un plan de management de mediu care să cuprindă, printre altele, următoarele acţiuni:</w:t>
            </w:r>
          </w:p>
          <w:p w14:paraId="609847A1"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plan de alarmare şi intervenţie rapidă în cazul unor accidente cu deversare importantă de lichide poluante;</w:t>
            </w:r>
          </w:p>
          <w:p w14:paraId="4D00C39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mijloacele necesare pentru neutralizarea poluărilor accidentale datorate scurgerilor de compuşi lichizi toxici;</w:t>
            </w:r>
          </w:p>
          <w:p w14:paraId="315CDC2A" w14:textId="77777777" w:rsidR="0001312F" w:rsidRDefault="0067039D">
            <w:pPr>
              <w:numPr>
                <w:ilvl w:val="0"/>
                <w:numId w:val="23"/>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revizuirea, actualizarea şi întreţinerea corespunzătoare, conform noilor condiţii ale traficului pentru semnalizarea rutieră, menită să reducă riscul accidentelor;</w:t>
            </w:r>
          </w:p>
          <w:p w14:paraId="5276FC57" w14:textId="77777777" w:rsidR="0001312F" w:rsidRDefault="0067039D">
            <w:pPr>
              <w:numPr>
                <w:ilvl w:val="0"/>
                <w:numId w:val="23"/>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întreţinerea rigolelor de scurgere riverane drumului.</w:t>
            </w:r>
          </w:p>
          <w:p w14:paraId="6B81E90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20C10B3E" w14:textId="070FF6F1" w:rsidR="00C717A2" w:rsidRDefault="00FA4696"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Suplimentare faţă de măsurile menţionate anterior, în cadrul Raportului de mediu au fost propuse măsuri pentru reducerea şi evitarea alterărilor hidromorfologice, evitarea zonelor de protecţie şi evitarea poluărilor </w:t>
            </w:r>
            <w:r w:rsidR="00C717A2">
              <w:rPr>
                <w:rFonts w:ascii="Times New Roman" w:eastAsia="Times New Roman" w:hAnsi="Times New Roman" w:cs="Times New Roman"/>
                <w:sz w:val="24"/>
                <w:szCs w:val="24"/>
              </w:rPr>
              <w:t xml:space="preserve">accidentale. Măsurile prezentate în Raportul de mediu în urma realizării evaluării, sunt următoarele. </w:t>
            </w:r>
          </w:p>
          <w:p w14:paraId="28D8FBA7"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r>
              <w:rPr>
                <w:rFonts w:ascii="Times New Roman" w:eastAsia="Times New Roman" w:hAnsi="Times New Roman" w:cs="Times New Roman"/>
                <w:sz w:val="24"/>
                <w:szCs w:val="24"/>
              </w:rPr>
              <w:t>;</w:t>
            </w:r>
          </w:p>
          <w:p w14:paraId="273B0881"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 xml:space="preserve">În cadrul PT Ministerul Transporturilor va asigura elaborarea unor ghiduri tehnice care să evite apariţia unor impacturi semnificative, temporare sau permanente, asupra corpurilor de apă de suprafaţă. Ghidurile vor trebui să stea la baza dezvoltării noilor proiecte de infrastructură de </w:t>
            </w:r>
            <w:r w:rsidRPr="00FA132C">
              <w:rPr>
                <w:rFonts w:ascii="Times New Roman" w:eastAsia="Times New Roman" w:hAnsi="Times New Roman" w:cs="Times New Roman"/>
                <w:sz w:val="24"/>
                <w:szCs w:val="24"/>
              </w:rPr>
              <w:lastRenderedPageBreak/>
              <w:t>transport. Ghidurile vor avea în vedere cerinţele de bune practici ce se regăsesc în cele mai recente ghiduri elaborate la nivel european</w:t>
            </w:r>
            <w:r>
              <w:rPr>
                <w:rFonts w:ascii="Times New Roman" w:eastAsia="Times New Roman" w:hAnsi="Times New Roman" w:cs="Times New Roman"/>
                <w:sz w:val="24"/>
                <w:szCs w:val="24"/>
              </w:rPr>
              <w:t>;</w:t>
            </w:r>
          </w:p>
          <w:p w14:paraId="1EC1FBFE"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r>
              <w:rPr>
                <w:rFonts w:ascii="Times New Roman" w:eastAsia="Times New Roman" w:hAnsi="Times New Roman" w:cs="Times New Roman"/>
                <w:sz w:val="24"/>
                <w:szCs w:val="24"/>
              </w:rPr>
              <w:t>;</w:t>
            </w:r>
          </w:p>
          <w:p w14:paraId="12ED072C"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2A38CE2F" w14:textId="77777777" w:rsidR="00C717A2" w:rsidRDefault="00C717A2" w:rsidP="00C717A2">
            <w:pPr>
              <w:numPr>
                <w:ilvl w:val="0"/>
                <w:numId w:val="58"/>
              </w:numPr>
              <w:jc w:val="both"/>
              <w:rPr>
                <w:rFonts w:ascii="Times New Roman" w:eastAsia="Times New Roman" w:hAnsi="Times New Roman" w:cs="Times New Roman"/>
                <w:sz w:val="24"/>
                <w:szCs w:val="24"/>
              </w:rPr>
            </w:pPr>
            <w:r w:rsidRPr="00FA132C">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r>
              <w:rPr>
                <w:rFonts w:ascii="Times New Roman" w:eastAsia="Times New Roman" w:hAnsi="Times New Roman" w:cs="Times New Roman"/>
                <w:sz w:val="24"/>
                <w:szCs w:val="24"/>
              </w:rPr>
              <w:t>.</w:t>
            </w:r>
          </w:p>
          <w:p w14:paraId="39BB8194" w14:textId="604A9CD4" w:rsidR="00C717A2"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aspectele prezentate anterior, se consideră îndeplinit principiul DNSH pentru acest obiectiv de mediu.</w:t>
            </w:r>
          </w:p>
        </w:tc>
      </w:tr>
      <w:tr w:rsidR="0001312F" w14:paraId="1D71E303"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29E450EC"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70149E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477CC011" w14:textId="77777777" w:rsidR="0001312F" w:rsidRDefault="0001312F">
            <w:pPr>
              <w:tabs>
                <w:tab w:val="left" w:pos="1777"/>
              </w:tabs>
              <w:rPr>
                <w:rFonts w:ascii="Times New Roman" w:eastAsia="Times New Roman" w:hAnsi="Times New Roman" w:cs="Times New Roman"/>
                <w:sz w:val="24"/>
                <w:szCs w:val="24"/>
              </w:rPr>
            </w:pPr>
          </w:p>
          <w:p w14:paraId="17E118E8"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w:t>
            </w:r>
            <w:r>
              <w:rPr>
                <w:rFonts w:ascii="Times New Roman" w:eastAsia="Times New Roman" w:hAnsi="Times New Roman" w:cs="Times New Roman"/>
                <w:sz w:val="24"/>
                <w:szCs w:val="24"/>
              </w:rPr>
              <w:lastRenderedPageBreak/>
              <w:t xml:space="preserve">incinerării sau a eliminării deșeurilor, cu excepția incinerării deșeurilor periculoase nereciclabile sau </w:t>
            </w:r>
          </w:p>
          <w:p w14:paraId="31852FC2" w14:textId="77777777" w:rsidR="0001312F" w:rsidRDefault="0001312F">
            <w:pPr>
              <w:tabs>
                <w:tab w:val="left" w:pos="1777"/>
              </w:tabs>
              <w:rPr>
                <w:rFonts w:ascii="Times New Roman" w:eastAsia="Times New Roman" w:hAnsi="Times New Roman" w:cs="Times New Roman"/>
                <w:sz w:val="24"/>
                <w:szCs w:val="24"/>
              </w:rPr>
            </w:pPr>
          </w:p>
          <w:p w14:paraId="5D85F72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77674631" w14:textId="77777777" w:rsidR="0001312F" w:rsidRDefault="0001312F">
            <w:pPr>
              <w:tabs>
                <w:tab w:val="left" w:pos="1777"/>
              </w:tabs>
              <w:rPr>
                <w:rFonts w:ascii="Times New Roman" w:eastAsia="Times New Roman" w:hAnsi="Times New Roman" w:cs="Times New Roman"/>
                <w:sz w:val="24"/>
                <w:szCs w:val="24"/>
              </w:rPr>
            </w:pPr>
          </w:p>
          <w:p w14:paraId="4FFCBA6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Borders>
              <w:top w:val="single" w:sz="4" w:space="0" w:color="000000"/>
              <w:left w:val="single" w:sz="4" w:space="0" w:color="000000"/>
              <w:bottom w:val="single" w:sz="4" w:space="0" w:color="000000"/>
              <w:right w:val="single" w:sz="4" w:space="0" w:color="000000"/>
            </w:tcBorders>
          </w:tcPr>
          <w:p w14:paraId="2D875A1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3C97A39B" w14:textId="007E6C6C" w:rsidR="0001312F" w:rsidRDefault="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Acţiunile implementate prin PT sunt generatoare de deşeuri, însă nu în cantităţi semnificative, astfel încât să genereze un efect negativ semnificativ. Gestionarea deşeurilor rezultate în toate etapele construcției se va realiza în conformitate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06C52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7699F65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Deciziei nr. 532/2000, preluată în legislaţia naţională prin HG nr. 856/2002, cu modificările și completările ulterioare, lucrările de execuție și activitățile de întreținere și operare a infrastructurii rutiere, nu presupun utilizarea unor categorii de materiale care să poată fi încadrate în categoria substanțelor toxice și periculoase.</w:t>
            </w:r>
          </w:p>
          <w:p w14:paraId="0B8B7D7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w:t>
            </w:r>
          </w:p>
          <w:p w14:paraId="0157D6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21CBE74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26746A49"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Constructorul va limita generarea de deșeuri în procesele legate de construire şi demolare, în conformitate cu Protocolul UE de gestionare a deșeurilor din construcții și demolări, va lua în considerare cele mai </w:t>
            </w:r>
            <w:r>
              <w:rPr>
                <w:rFonts w:ascii="Times New Roman" w:eastAsia="Times New Roman" w:hAnsi="Times New Roman" w:cs="Times New Roman"/>
                <w:sz w:val="24"/>
                <w:szCs w:val="24"/>
              </w:rPr>
              <w:lastRenderedPageBreak/>
              <w:t>bune tehnici disponibile și va demola /sorta deşeurile în mod selectiv, pentru a permite îndepărtarea şi 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5B1E292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F1EA3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infrastructurii rutiere vor rezulta deșeuri de la parcări / spațiile de serviciu și de la celelalte activități care se vor desfășura pentru întreținerea și operarea infrastructurii rutiere.</w:t>
            </w:r>
          </w:p>
          <w:p w14:paraId="457F39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Deșeurile rezultate din activitățile de întreținere vor fi legate, în primul rând, de reparațiile curente la sistemul rutier, echipamentele de semnalizare și ITS vor fi gestionate similar cu deșeurile generate în perioada de construcție. Deşeurile de echipamente electrice și electronice, de exemplu echipamente informatice şi de telecomunicaţii de dimensiuni mici (nicio dimensiune externă mai mare de 50 cm), vor fi gestionate în conformitate cu Directiva 19/2012 privind deşeurile de echipamente electrice şi electronice (DEEE), transpusă în legislaţia naţională prin OUG 5/2015 privind deşeurile de echipamente electrice şi electronice. </w:t>
            </w:r>
          </w:p>
          <w:p w14:paraId="379CA5EA" w14:textId="77777777" w:rsidR="00C717A2"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deșeurile colectate din spațiile de servicii / parcări vor fi reciclate, recuperate sau eliminate la rampele municipale de deșeuri, urmând a fi încheiate contracte cu operatori de salubritate autorizați.</w:t>
            </w:r>
          </w:p>
          <w:p w14:paraId="1159F1A8"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privire la resursele naturale în Raportul de mediu a fost propusă următoarea măsură de reducere a efectul negativ „</w:t>
            </w:r>
            <w:r w:rsidRPr="000D713F">
              <w:rPr>
                <w:rFonts w:ascii="Times New Roman" w:eastAsia="Times New Roman" w:hAnsi="Times New Roman" w:cs="Times New Roman"/>
                <w:sz w:val="24"/>
                <w:szCs w:val="24"/>
              </w:rPr>
              <w:t>Soluţiile de valorificare/ depozitare a oricăror cantităţi de pământ excedentar ce rezultă din lucrările de execuţie vor fi analizate în cadrul RIM şi al Studiului EA pentru identificarea celor mai bune soluţii la nivel local şi evitarea impactului asupra ariilor naturale protejate, asupra corpurilor de apă de suprafaţă, precum şi evitarea afectării terenurilor cu fertilitate moderată şi ridicată.</w:t>
            </w:r>
            <w:r>
              <w:rPr>
                <w:rFonts w:ascii="Times New Roman" w:eastAsia="Times New Roman" w:hAnsi="Times New Roman" w:cs="Times New Roman"/>
                <w:sz w:val="24"/>
                <w:szCs w:val="24"/>
              </w:rPr>
              <w:t>”</w:t>
            </w:r>
          </w:p>
          <w:p w14:paraId="3CCCF222" w14:textId="42987AD8" w:rsidR="0001312F" w:rsidRDefault="00C717A2" w:rsidP="00C717A2">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aspectele prezentate anterior, se consideră îndeplinit principiul DNSH pentru acest obiectiv de mediu. </w:t>
            </w:r>
          </w:p>
        </w:tc>
      </w:tr>
      <w:tr w:rsidR="0001312F" w14:paraId="5FD1C0EB"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351EA9B4"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Borders>
              <w:top w:val="single" w:sz="4" w:space="0" w:color="000000"/>
              <w:left w:val="single" w:sz="4" w:space="0" w:color="000000"/>
              <w:bottom w:val="single" w:sz="4" w:space="0" w:color="000000"/>
              <w:right w:val="single" w:sz="4" w:space="0" w:color="000000"/>
            </w:tcBorders>
          </w:tcPr>
          <w:p w14:paraId="74614065"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51F053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și de operare proiectele de infrastructură rutieră vor genera și alte emisii de poluanți în aer, în afară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cum ar fi NOx, NMVOC, SO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și PM 2.5, dar se va asigura minimizarea impactului acestor emisii prin măsuri de protecție. </w:t>
            </w:r>
          </w:p>
          <w:p w14:paraId="0BAD585C"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Estimarea emisiilor de poluanți în aer va fi realizată în baza metodologiei ACB la nivelul fiecărui obiectiv de investiții. În termeni generali, estimarea emisiilor de poluanți în aer, la nivelul rețelei rutiere, pentru anul 2030, se prezintă astfel:</w:t>
            </w:r>
          </w:p>
          <w:tbl>
            <w:tblPr>
              <w:tblStyle w:val="a6"/>
              <w:tblW w:w="59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0"/>
              <w:gridCol w:w="1755"/>
              <w:gridCol w:w="1770"/>
            </w:tblGrid>
            <w:tr w:rsidR="0001312F" w14:paraId="301F1E37" w14:textId="77777777">
              <w:trPr>
                <w:jc w:val="center"/>
              </w:trPr>
              <w:tc>
                <w:tcPr>
                  <w:tcW w:w="2460" w:type="dxa"/>
                  <w:tcBorders>
                    <w:top w:val="single" w:sz="4" w:space="0" w:color="000000"/>
                    <w:left w:val="single" w:sz="4" w:space="0" w:color="000000"/>
                    <w:bottom w:val="single" w:sz="4" w:space="0" w:color="000000"/>
                    <w:right w:val="single" w:sz="4" w:space="0" w:color="000000"/>
                  </w:tcBorders>
                  <w:shd w:val="clear" w:color="auto" w:fill="D9EAD3"/>
                </w:tcPr>
                <w:p w14:paraId="142372B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Poluanți</w:t>
                  </w:r>
                </w:p>
              </w:tc>
              <w:tc>
                <w:tcPr>
                  <w:tcW w:w="1755" w:type="dxa"/>
                  <w:tcBorders>
                    <w:top w:val="single" w:sz="4" w:space="0" w:color="000000"/>
                    <w:left w:val="single" w:sz="4" w:space="0" w:color="000000"/>
                    <w:bottom w:val="single" w:sz="4" w:space="0" w:color="000000"/>
                    <w:right w:val="single" w:sz="4" w:space="0" w:color="000000"/>
                  </w:tcBorders>
                  <w:shd w:val="clear" w:color="auto" w:fill="D9EAD3"/>
                </w:tcPr>
                <w:p w14:paraId="2EF510F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w:t>
                  </w:r>
                </w:p>
              </w:tc>
              <w:tc>
                <w:tcPr>
                  <w:tcW w:w="1770" w:type="dxa"/>
                  <w:tcBorders>
                    <w:top w:val="single" w:sz="4" w:space="0" w:color="000000"/>
                    <w:left w:val="single" w:sz="4" w:space="0" w:color="000000"/>
                    <w:bottom w:val="single" w:sz="4" w:space="0" w:color="000000"/>
                    <w:right w:val="single" w:sz="4" w:space="0" w:color="000000"/>
                  </w:tcBorders>
                  <w:shd w:val="clear" w:color="auto" w:fill="D9EAD3"/>
                </w:tcPr>
                <w:p w14:paraId="0A9924A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Emisii generate</w:t>
                  </w:r>
                </w:p>
              </w:tc>
            </w:tr>
            <w:tr w:rsidR="0001312F" w14:paraId="3A252781"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4D6E2C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NOx</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2C681A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688E3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136.598</w:t>
                  </w:r>
                </w:p>
              </w:tc>
            </w:tr>
            <w:tr w:rsidR="0001312F" w14:paraId="39CBF465"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6950F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NMVOC</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952CF3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8E379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18.866</w:t>
                  </w:r>
                </w:p>
              </w:tc>
            </w:tr>
            <w:tr w:rsidR="0001312F" w14:paraId="5B190D2B"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06B887A"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5F9C9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70738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r>
            <w:tr w:rsidR="0001312F" w14:paraId="66A95C1D"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B1B0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PM 2.5</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7198DF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674405"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6.392</w:t>
                  </w:r>
                </w:p>
              </w:tc>
            </w:tr>
            <w:tr w:rsidR="0001312F" w14:paraId="570DAB12" w14:textId="77777777">
              <w:trPr>
                <w:jc w:val="center"/>
              </w:trPr>
              <w:tc>
                <w:tcPr>
                  <w:tcW w:w="24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3FBEB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CO2</w:t>
                  </w:r>
                </w:p>
              </w:tc>
              <w:tc>
                <w:tcPr>
                  <w:tcW w:w="175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8562A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tone</w:t>
                  </w:r>
                </w:p>
              </w:tc>
              <w:tc>
                <w:tcPr>
                  <w:tcW w:w="177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A27770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18.135.790</w:t>
                  </w:r>
                </w:p>
              </w:tc>
            </w:tr>
          </w:tbl>
          <w:p w14:paraId="4268AA7B" w14:textId="77777777" w:rsidR="0001312F" w:rsidRDefault="0001312F">
            <w:pPr>
              <w:tabs>
                <w:tab w:val="left" w:pos="1777"/>
              </w:tabs>
              <w:jc w:val="both"/>
              <w:rPr>
                <w:rFonts w:ascii="Times New Roman" w:eastAsia="Times New Roman" w:hAnsi="Times New Roman" w:cs="Times New Roman"/>
                <w:sz w:val="24"/>
                <w:szCs w:val="24"/>
              </w:rPr>
            </w:pPr>
          </w:p>
          <w:p w14:paraId="4460FB7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menționat faptul că prin construirea sectoarelor de drumuri noi se vor produce modificări în tiparele de emisii ale unor poluanți atmosferici, în sensul în care emisiile acestor poluanți nu se vor mai realiza în aglomerațiile urbane, acestea mutându-se în exteriorul orașelor, crescând, astfel, calitatea aerului în zonele urbane. </w:t>
            </w:r>
          </w:p>
          <w:p w14:paraId="579BC258"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de atenuare incluse în documentațiile de execuție a lucrărilor</w:t>
            </w:r>
          </w:p>
          <w:p w14:paraId="0D7B9A11"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Minimizarea impactului  se va realiza prin următoarele măsuri de protecție: </w:t>
            </w:r>
          </w:p>
          <w:p w14:paraId="59D2277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 perioada execuției lucrărilor:</w:t>
            </w:r>
          </w:p>
          <w:p w14:paraId="6E40B6E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lucrărilor eşalonat, conform unor grafice de execuţie;</w:t>
            </w:r>
          </w:p>
          <w:p w14:paraId="43B692DD"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utilajele de construcţie şi mijloacele de transport vor fi foarte bine întreţinute pentru a minimiza emisiile de gaze; acestea vor fi verificate periodic în ceea ce priveşte nivelul de monoxid de carbon şi concentrațiile de emisii în gazele de eşapament şi vor fi puse în funcțiune numai după remedierea eventualelor defecțiuni;</w:t>
            </w:r>
          </w:p>
          <w:p w14:paraId="4E2D105C"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timpului de mers în gol al motoarelor utilajelor şi mijloacelor de transport;</w:t>
            </w:r>
          </w:p>
          <w:p w14:paraId="31D97EBA"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încărcarea pământului excavat în mijloace de transport se va face astfel încât distanţa între cupa excavatorului şi bena autocamionului să fie cât mai mică pentru a evita astfel împrăştierea particulelor fine de pământ în zonele adiacente;</w:t>
            </w:r>
          </w:p>
          <w:p w14:paraId="7FDF6F3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viteza de circulaţie va fi restricţionată, iar suprafaţa drumurilor va fi stropită cu apă la intervale regulate de timp; </w:t>
            </w:r>
          </w:p>
          <w:p w14:paraId="39BACCC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alegerea de trasee optime din punct de vedere al protecţiei mediului pentru vehiculele care transportă materiale de construcţie ce pot elibera în atmosferă particule fine; transportul acestor materiale se va realiza cu vehicule acoperite cu prelate şi pe drumuri care vor fi umezite; transportul pământului şi al materialelor de construcţie se va face, pe cât posibil, pe trasee stabilite în afara zonelor locuite;</w:t>
            </w:r>
          </w:p>
          <w:p w14:paraId="4E4DC315"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tehnologice vor fi permanent întreţinute prin nivelare şi stropire cu apă pentru a se reduce praful; în cazul transportului de pământ se vor prevedea, pe cât posibil, trasee situate chiar pe corpul umpluturii, astfel încât, pe de o parte să se obţină o compactare suplimentară, iar pe de altă parte, pentru a restrânge aria de emisii de praf şi gaze de eşapament;</w:t>
            </w:r>
          </w:p>
          <w:p w14:paraId="1841D499"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stropirea agregatelor şi a incintei organizărilor de şantier, pentru a împiedica degajarea pulberilor;</w:t>
            </w:r>
          </w:p>
          <w:p w14:paraId="3085AE8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perioadele cu vânt puternic, depozitele de agregate vor fi stropite cu apă la intervale regulate și vor fi acoperite;</w:t>
            </w:r>
          </w:p>
          <w:p w14:paraId="138431D4"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vor fi amenajate puncte speciale pentru îndepărtarea manuala sau mecanizata de pe pneurile echipamentelor și utilajelor a reziduurilor, la ieșirea din șantier;</w:t>
            </w:r>
          </w:p>
          <w:p w14:paraId="517856E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sfârșitul perioadei de construcție, zonele afectate de lucrările de construcție (taluzuri, organizările de șantier, fronturi de lucru, drumuri de acces temporare, gropi de împrumut) vor fi reabilitate prin ecologizare, stabilizarea solului, așternerea de pământ vegetal, plantarea de vegetație specifica zonei;</w:t>
            </w:r>
          </w:p>
          <w:p w14:paraId="10A9A672"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stabilizarea solului și reducerea emisiilor de pulberi, la sfârșitul perioadei de construcție, se vor realiza amenajări peisagistice pentru sensuri giratorii, intersecții, spații pentru servicii și CIC-uri;</w:t>
            </w:r>
          </w:p>
          <w:p w14:paraId="57631970"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care au rol de a reține particulele și unele gaze emise de către vehiculele din trafic;</w:t>
            </w:r>
          </w:p>
          <w:p w14:paraId="0FD3B61B" w14:textId="77777777" w:rsidR="0001312F" w:rsidRDefault="0067039D">
            <w:pPr>
              <w:numPr>
                <w:ilvl w:val="0"/>
                <w:numId w:val="22"/>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și a spațiilor de servicii, centrelor de întreținere;</w:t>
            </w:r>
          </w:p>
          <w:p w14:paraId="47FDEA2C" w14:textId="77777777" w:rsidR="0001312F" w:rsidRDefault="0067039D">
            <w:pPr>
              <w:numPr>
                <w:ilvl w:val="0"/>
                <w:numId w:val="2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aer.</w:t>
            </w:r>
          </w:p>
          <w:p w14:paraId="730D74F2"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de funcționare a infrastructurii rutiere:</w:t>
            </w:r>
          </w:p>
          <w:p w14:paraId="664C5562"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amenajarea amplasamentelor de depozitare a deșeurilor și întreținerea sistemelor de colectare și evacuare a apelor uzate, care va conduce la evitarea emanațiilor de miros din zona parcărilor si a spaţiilor de servicii, centrelor de întreținere;</w:t>
            </w:r>
          </w:p>
          <w:p w14:paraId="197478FB"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locuitorilor, prin amplasarea de perdele forestiere, ce au rolul de a reține particulele și unele gaze emise de către vehiculele din trafic;</w:t>
            </w:r>
          </w:p>
          <w:p w14:paraId="2451E9A3" w14:textId="77777777" w:rsidR="0001312F" w:rsidRDefault="0067039D">
            <w:pPr>
              <w:numPr>
                <w:ilvl w:val="0"/>
                <w:numId w:val="2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unui sistem de marcaje şi de semnalizare prin care să se obţină o fluidizare bună a traficului, având ca efect reducerea emisiilor din arderea carburanţilor la opriri şi porniri.</w:t>
            </w:r>
          </w:p>
          <w:p w14:paraId="757CCB62" w14:textId="77777777" w:rsidR="0001312F" w:rsidRDefault="0001312F">
            <w:pPr>
              <w:tabs>
                <w:tab w:val="left" w:pos="1777"/>
              </w:tabs>
              <w:spacing w:after="0"/>
              <w:rPr>
                <w:rFonts w:ascii="Times New Roman" w:eastAsia="Times New Roman" w:hAnsi="Times New Roman" w:cs="Times New Roman"/>
                <w:sz w:val="24"/>
                <w:szCs w:val="24"/>
              </w:rPr>
            </w:pPr>
          </w:p>
          <w:p w14:paraId="4F935F25" w14:textId="77777777" w:rsidR="0001312F" w:rsidRDefault="0067039D">
            <w:p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următoarele măsuri aferente minimizării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vor contribui și la minimizarea poluării aerului:</w:t>
            </w:r>
          </w:p>
          <w:p w14:paraId="63B5E1AF"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Realizarea a 38 de puncte de încărcare electrică; se va urmări ca aceste puncte de încărcare să fie ultrarapide, cu încărcare în maxim 20 de minute;</w:t>
            </w:r>
          </w:p>
          <w:p w14:paraId="539FEF35" w14:textId="77777777" w:rsidR="0001312F" w:rsidRDefault="0067039D">
            <w:pPr>
              <w:numPr>
                <w:ilvl w:val="0"/>
                <w:numId w:val="21"/>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Împădurirea spațiilor de siguranță aferente sectarelor drumuri noi. </w:t>
            </w:r>
          </w:p>
          <w:p w14:paraId="39A8AF07" w14:textId="77777777" w:rsidR="0001312F" w:rsidRDefault="0001312F">
            <w:pPr>
              <w:tabs>
                <w:tab w:val="left" w:pos="1777"/>
              </w:tabs>
              <w:jc w:val="both"/>
              <w:rPr>
                <w:rFonts w:ascii="Times New Roman" w:eastAsia="Times New Roman" w:hAnsi="Times New Roman" w:cs="Times New Roman"/>
                <w:sz w:val="24"/>
                <w:szCs w:val="24"/>
              </w:rPr>
            </w:pPr>
          </w:p>
          <w:p w14:paraId="174F732A"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Complementar, în cadrul PNRR sunt prevăzute acțiuni privind împădurirea a 56.700  Ha de teren.</w:t>
            </w:r>
          </w:p>
          <w:p w14:paraId="5E01E102" w14:textId="446B366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plus, având în vedere faptul că elementul generator de emisii provine din tehnologia de propulsie a vehiculelor rutiere, prin măsuri privind taxarea vehiculelor rutiere grele și introducerea de stimulente </w:t>
            </w:r>
            <w:r>
              <w:rPr>
                <w:rFonts w:ascii="Times New Roman" w:eastAsia="Times New Roman" w:hAnsi="Times New Roman" w:cs="Times New Roman"/>
                <w:sz w:val="24"/>
                <w:szCs w:val="24"/>
              </w:rPr>
              <w:lastRenderedPageBreak/>
              <w:t>financiare/fiscale pentru achiziționarea unui autovehicul nepoluant, însoțite de măsurile de instalare a stațiilor de alimentare electrică, precum și de măsurile adiționale de creștere a tarifului de utilizare a drumurilor naționale pentru autovehiculele grele și considerând că la nivel național se are în vedere acordarea de stimulente pentru achiziționarea de vehicule cu emisii zero (</w:t>
            </w:r>
            <w:hyperlink r:id="rId15">
              <w:r>
                <w:rPr>
                  <w:rFonts w:ascii="Times New Roman" w:eastAsia="Times New Roman" w:hAnsi="Times New Roman" w:cs="Times New Roman"/>
                  <w:color w:val="0563C1"/>
                  <w:sz w:val="24"/>
                  <w:szCs w:val="24"/>
                  <w:u w:val="single"/>
                </w:rPr>
                <w:t>https://www.afm.ro/vehicule_electrice.php</w:t>
              </w:r>
            </w:hyperlink>
            <w:r>
              <w:rPr>
                <w:rFonts w:ascii="Times New Roman" w:eastAsia="Times New Roman" w:hAnsi="Times New Roman" w:cs="Times New Roman"/>
                <w:sz w:val="24"/>
                <w:szCs w:val="24"/>
              </w:rPr>
              <w:t>), se așteaptă un ritm mai rapid de schimbare a parcului de vehicule rutiere care să conducă la diminuarea progresivă a emisiilor de CO</w:t>
            </w:r>
            <w:r>
              <w:rPr>
                <w:rFonts w:ascii="Times New Roman" w:eastAsia="Times New Roman" w:hAnsi="Times New Roman" w:cs="Times New Roman"/>
                <w:sz w:val="24"/>
                <w:szCs w:val="24"/>
                <w:vertAlign w:val="subscript"/>
              </w:rPr>
              <w:t>2,</w:t>
            </w:r>
            <w:r>
              <w:rPr>
                <w:rFonts w:ascii="Times New Roman" w:eastAsia="Times New Roman" w:hAnsi="Times New Roman" w:cs="Times New Roman"/>
                <w:sz w:val="24"/>
                <w:szCs w:val="24"/>
              </w:rPr>
              <w:t xml:space="preserve"> până la atingerea dezideratului de neutralitate climatică.</w:t>
            </w:r>
          </w:p>
          <w:p w14:paraId="6012EC80" w14:textId="0E77B527" w:rsidR="00C717A2" w:rsidRDefault="00C717A2" w:rsidP="008F11C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suplimentar faţă de măsurile menţionate anterior, în cadrul Raportul de mediu a fost propusă următoarea măsură de reducere pentru zgomot şi calitatea aerului: „</w:t>
            </w:r>
            <w:r w:rsidRPr="00531673">
              <w:rPr>
                <w:rFonts w:ascii="Times New Roman" w:eastAsia="Times New Roman" w:hAnsi="Times New Roman" w:cs="Times New Roman"/>
                <w:sz w:val="24"/>
                <w:szCs w:val="24"/>
              </w:rPr>
              <w:t>Infrastructura de transport care intersectează zone de intravilan trebuie însoţită de măsuri de atenuare a zgomotelor prin implementarea unor soluţii la nivelul căilor de rulare sau pentru ecranarea undelor acustice. Acolo unde este posibil, este de preferat ca aceste infrastructuri să fie însoţite de coridoare verzi (cel puţin aliniamente de arbori şi arbuşti), care pot avea şi rol în reducerea poluanţilor atmosferici. De asemenea, aceste coridoare sunt benefice pentru fauna sălbatică din mediul urban şi menţinerea / dezvoltarea populaţiilor de polenizatori.</w:t>
            </w:r>
            <w:r>
              <w:rPr>
                <w:rFonts w:ascii="Times New Roman" w:eastAsia="Times New Roman" w:hAnsi="Times New Roman" w:cs="Times New Roman"/>
                <w:sz w:val="24"/>
                <w:szCs w:val="24"/>
              </w:rPr>
              <w:t>”</w:t>
            </w:r>
          </w:p>
          <w:p w14:paraId="0921DFE6" w14:textId="77777777" w:rsidR="0001312F" w:rsidRDefault="0067039D">
            <w:pPr>
              <w:tabs>
                <w:tab w:val="left" w:pos="177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Sol/Subsol</w:t>
            </w:r>
          </w:p>
          <w:p w14:paraId="739729AF"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poluarea solului în perioada de construcție și de operare a proiectelor de infrastructură rutieră, următoarele măsuri de prevenire a impactului vor fi avute în vedere:</w:t>
            </w:r>
          </w:p>
          <w:p w14:paraId="09270215" w14:textId="77777777" w:rsidR="0001312F" w:rsidRDefault="0067039D">
            <w:pPr>
              <w:tabs>
                <w:tab w:val="left" w:pos="1777"/>
              </w:tabs>
              <w:spacing w:after="0"/>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Pentru perioada construcției:</w:t>
            </w:r>
          </w:p>
          <w:p w14:paraId="38879B7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se vor realiza gropi de împrumut în interiorul ariilor naturale protejate;</w:t>
            </w:r>
          </w:p>
          <w:p w14:paraId="456535F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şantier nu se vor realiza reparaţii ale utilajelor şi autovehiculelor, pentru a preveni poluarea solului cu produse petroliere;</w:t>
            </w:r>
          </w:p>
          <w:p w14:paraId="56D54FD4"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organizările de șantier nu vor fi amplasate pe zonele unde au fost identificate alunecări de teren, zone umede, situri arheologice și nici în vecinătatea ariilor naturale protejate;</w:t>
            </w:r>
          </w:p>
          <w:p w14:paraId="506449D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preveni infiltrarea substanțelor poluante și pentru a se evita formarea băltirilor, platformele de lucru sau de circulație, suprafețele de depozitare, zonele de stocare carburanți, zona de întreținere echipamente, zona de amplasare a stației de betoane și a stației de asfalt vor fi betonate/ pietruite sau solul va fi stabilizat cu var.</w:t>
            </w:r>
          </w:p>
          <w:p w14:paraId="32717E1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delimitarea corectă a amprizelor, pentru ca suprafeţele scoase din circuitul agricol să fie cât mai reduse şi respectarea limitelor amplasamentului acestora;</w:t>
            </w:r>
          </w:p>
          <w:p w14:paraId="46FE3E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construcţii utilizate în şantier vor fi depozitate în locuri special amenajate şi nu direct pe sol, astfel încât să nu pună în pericol siguranţa angajaţilor şi calitatea mediului;</w:t>
            </w:r>
          </w:p>
          <w:p w14:paraId="22B1672F"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depozitarea provizorie a pământului excavat se va realiza pe suprafeţe cât mai reduse;</w:t>
            </w:r>
          </w:p>
          <w:p w14:paraId="0AD03B0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eventualele pierderi de carburanţi vor fi colectate rapid, pentru a preveni deversarea lor peste prag şi poluarea solului şi a apelor;</w:t>
            </w:r>
          </w:p>
          <w:p w14:paraId="717499C2"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de maşini/ utilaje aflate în stare optimă de funcţionare, pentru a evita scurgerile accidentale ale produselor petroliere sau a uleiurilor minerale provenite de la acestea;</w:t>
            </w:r>
          </w:p>
          <w:p w14:paraId="213BA61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unor zone de curățare a vehiculelor la punctele de intrare/ieșire din șantier în vederea minimizării cantității de sedimente transportate;</w:t>
            </w:r>
          </w:p>
          <w:p w14:paraId="086032C1"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colectarea selectivă a deşeurilor rezultate în urma lucrărilor; depozitarea şi eliminarea/ valorificarea în funcţie de natura acestora se va face prin firme specializate, pe bază de contract, conform prevederilor legale în vigoare;</w:t>
            </w:r>
          </w:p>
          <w:p w14:paraId="6D87BA87"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suprafeţele de teren contaminate accidental cu hidrocarburi în timpul execuţiei lucrărilor sau în cazul în care antreprenorii identifică soluri poluate cu hidrocarburi pe amplasamentul drumului, se va notifica autoritatea judeţeană pentru protecţia mediului şi va fi prezentată propunerea de remediere; în acest caz, investigarea şi evaluarea poluării solului şi subsolului şi desfăşurarea activităţilor de curăţare, remediere şi reconstrucţie ecologică se vor efectua în conformitate cu prevederile Legii nr. 74/2019;</w:t>
            </w:r>
          </w:p>
          <w:p w14:paraId="0B0BB186"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stratul vegetal decopertat se va depozita în afara ariilor naturale protejate Natura 2000 şi va fi folosit la refacerea suprafeţelor de teren afectate de proiect;</w:t>
            </w:r>
          </w:p>
          <w:p w14:paraId="5AA62B7C"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locațiile organizărilor de șantier vor fi împrejmuite, astfel încât sa nu se ocupe suprafețe suplimentare de teren;</w:t>
            </w:r>
          </w:p>
          <w:p w14:paraId="33DF0AAA"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platformele de lucru și suprafețele de depozitare vor fi prevăzute cu șanțuri și / sau rigole pereate pentru colectarea și evacuarea apelor pluviale; în vederea reducerii turbidității apelor de suprafața si pentru a evita ca particulele fine să fie evacuate pe terenurile din vecinătate și să influențeze morfologia terenurilor, apele pluviale colectate vor fi preepurate în bazine de sedimentare care vor fi periodic curățate, iar nămolul va fi transportat la cea mai apropiata stație de epurare;</w:t>
            </w:r>
          </w:p>
          <w:p w14:paraId="0EA8F4B3" w14:textId="77777777" w:rsidR="0001312F" w:rsidRDefault="0067039D">
            <w:pPr>
              <w:numPr>
                <w:ilvl w:val="0"/>
                <w:numId w:val="3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montarea rezervoarelor de carburant în cuve de beton; zonele de stocare carburanți, zona de întreținere echipamente, zona de amplasare a stației betoane și a stației de asfalt vor fi prevăzute cu șanțuri și rigole de reținere a scurgerilor accidentale și apelor pluviale; pentru a asigura sedimentarea particulelor solide și separarea produselor petroliere transportate de aceste ape colectate, ele vor fi preepurate în sisteme compuse din decantor si separator de produse petroliere; totodată, platformele trebuie prevăzute cu pante pentru a asigura colectarea scurgerilor accidentale de ape uzate, uleiuri, carburanți;</w:t>
            </w:r>
          </w:p>
          <w:p w14:paraId="02C041CF"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șanțurile și podețele vor fi curățate periodic pentru a se evita înfundarea;</w:t>
            </w:r>
          </w:p>
          <w:p w14:paraId="24A9605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montarea de toalete ecologice mobile, cu neutralizare chimică sau bazine etanșe și vidanjate periodic, la fronturile de lucru și organizările de șantier;</w:t>
            </w:r>
          </w:p>
          <w:p w14:paraId="10E0CD29"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apele menajere vor fi colectate într-un sistem de canalizare și stocate într-un bazin vidanjabil sau epurate într-o stație de epurare;</w:t>
            </w:r>
          </w:p>
          <w:p w14:paraId="1B2B5E3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silozurile de ciment și de var, buncărul de filer și instalația de preparare mixturi asfaltice trebuie să aibă montate sisteme de captare a poluanților;</w:t>
            </w:r>
          </w:p>
          <w:p w14:paraId="69C90511"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drumurile acces si drumurile de serviciu temporare trebuie sa fie pietruite;</w:t>
            </w:r>
          </w:p>
          <w:p w14:paraId="5FD44EC4"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reziduurile din șantier trebuie îndepărtate manual sau mecanizat de pe pneurile echipamentelor și utilajelor la ieșirea din șantier în puncte de curățire special amenajate;</w:t>
            </w:r>
          </w:p>
          <w:p w14:paraId="6EDE9D20" w14:textId="77777777" w:rsidR="0001312F" w:rsidRDefault="0067039D">
            <w:pPr>
              <w:numPr>
                <w:ilvl w:val="0"/>
                <w:numId w:val="29"/>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este obligatorie refacerea solului (reconstrucţie ecologică) în zonele unde acesta a fost afectat temporar prin lucrările de excavare, depozitare de materiale, staţionare de utilaje, în scopul redării în circuit, la categoria de folosinţă deţinută iniţial;</w:t>
            </w:r>
          </w:p>
          <w:p w14:paraId="3F5A81B8" w14:textId="5C89A129" w:rsidR="00C717A2" w:rsidRDefault="0067039D" w:rsidP="00C717A2">
            <w:pPr>
              <w:numPr>
                <w:ilvl w:val="0"/>
                <w:numId w:val="29"/>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monitoriza permanent activitatea, în perioada de execuţie a lucrărilor, din punct de vedere al protecţiei factorului de mediu sol.</w:t>
            </w:r>
          </w:p>
          <w:p w14:paraId="04823B5E" w14:textId="77777777" w:rsidR="00C717A2" w:rsidRDefault="00C717A2" w:rsidP="00C717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Suplimentar în Raportul de mediu a fost propusă următoarea măsură de evitare „</w:t>
            </w:r>
            <w:r w:rsidRPr="005C4929">
              <w:rPr>
                <w:rFonts w:ascii="Times New Roman" w:eastAsia="Times New Roman" w:hAnsi="Times New Roman" w:cs="Times New Roman"/>
                <w:sz w:val="24"/>
                <w:szCs w:val="24"/>
              </w:rPr>
              <w:t>La alegerea traseelor proiectelor noi de infrastructură de transport se va evita, pe cât posibil, ocuparea suprafeţelor de sol cu fertilitate moderată şi ridicată.”</w:t>
            </w:r>
          </w:p>
          <w:p w14:paraId="1E18BF1C" w14:textId="77777777" w:rsidR="0001312F" w:rsidRDefault="0067039D">
            <w:pPr>
              <w:tabs>
                <w:tab w:val="left" w:pos="1777"/>
              </w:tabs>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Apă</w:t>
            </w:r>
          </w:p>
          <w:p w14:paraId="366844C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construcţie a infrastructurii rutiere, impactul asupra apelor va fi generat de execuţia propriu-zisă a lucrărilor, traficul de şantier şi activităţile specifice organizărilor de şantier/ bazelor de producţie.</w:t>
            </w:r>
          </w:p>
          <w:p w14:paraId="592260B3"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Cantitățile de poluanți ce pot ajunge în apele de suprafață, în perioada de construcţie, nu afectează în mod semnificativ ecosistemele acvatice sau celelalte folosinţe ale apei în aval. Impactul asupra apelor în perioada de execuție este nesemnificativ, se manifestă local şi temporar.</w:t>
            </w:r>
          </w:p>
          <w:p w14:paraId="16E4A2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concluzie, lucrările de construcţie prevăzute în proiecte nu pot provoca un impact semnificativ asupra factorului de mediu apă, în măsura în care se vor respecta măsurile de protecție prevăzute.</w:t>
            </w:r>
          </w:p>
          <w:p w14:paraId="5C4A0C4C" w14:textId="77777777" w:rsidR="0001312F" w:rsidRDefault="0067039D">
            <w:pPr>
              <w:tabs>
                <w:tab w:val="left" w:pos="1777"/>
              </w:tabs>
              <w:spacing w:after="0"/>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În perioada de exploatare, impactul asupra apelor va fi generat de următoarele:</w:t>
            </w:r>
          </w:p>
          <w:p w14:paraId="1FC6A909"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deversarea sau infiltrarea apelor pluviale colectate de pe carosabilul contaminat cu produse petroliere scurse de la autovehicule, depuneri de pulberi provenite din arderea combustibilului, particule rezultate din uzura pneurilor sau din alte materii rezultate din trafic;</w:t>
            </w:r>
          </w:p>
          <w:p w14:paraId="234F878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lucrările de întreţinere a infrastructurii rutiere;</w:t>
            </w:r>
          </w:p>
          <w:p w14:paraId="3D0FF86D"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accidentele rutiere în care sunt implicate cisterne care transportă substanţe periculoase generează poluarea apelor de suprafaţă şi subterane;</w:t>
            </w:r>
          </w:p>
          <w:p w14:paraId="28BA3D06" w14:textId="77777777" w:rsidR="0001312F" w:rsidRDefault="0067039D">
            <w:pPr>
              <w:numPr>
                <w:ilvl w:val="0"/>
                <w:numId w:val="28"/>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funcţionarea defectuoasă a sistemului de colectare şi evacuare a apelor pluviale de pe suprafaţa carosabilă şi a sistemului de preepurare (decantor-separator de produse petroliere), respectiv a apelor uzate şi pluviale rezultate de la spaţiile de servicii.</w:t>
            </w:r>
          </w:p>
          <w:p w14:paraId="0BC3D757" w14:textId="77777777" w:rsidR="0001312F" w:rsidRDefault="0001312F">
            <w:pPr>
              <w:tabs>
                <w:tab w:val="left" w:pos="1777"/>
              </w:tabs>
              <w:spacing w:after="0"/>
              <w:jc w:val="both"/>
              <w:rPr>
                <w:rFonts w:ascii="Times New Roman" w:eastAsia="Times New Roman" w:hAnsi="Times New Roman" w:cs="Times New Roman"/>
                <w:sz w:val="24"/>
                <w:szCs w:val="24"/>
              </w:rPr>
            </w:pPr>
          </w:p>
          <w:p w14:paraId="7328D502"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apreciază că emisiile de substanţe poluante în perioada de exploatare, care ar putea ajunge direct sau indirect în apele de suprafață sau subterane nu sunt în cantități importante și nu modifică încadrarea în categoria de calitate a apei.</w:t>
            </w:r>
          </w:p>
          <w:p w14:paraId="0080949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condiţii normale de exploatare a infrastructurii rutiere, prin respectarea măsurilor de protecţie a mediului propuse, nu există evenimente care să producă un impact semnificativ asupra resurselor de apă.</w:t>
            </w:r>
          </w:p>
        </w:tc>
      </w:tr>
      <w:tr w:rsidR="0001312F" w14:paraId="29F29D9A" w14:textId="77777777">
        <w:trPr>
          <w:jc w:val="center"/>
        </w:trPr>
        <w:tc>
          <w:tcPr>
            <w:tcW w:w="3315" w:type="dxa"/>
            <w:tcBorders>
              <w:top w:val="single" w:sz="4" w:space="0" w:color="000000"/>
              <w:left w:val="single" w:sz="4" w:space="0" w:color="000000"/>
              <w:bottom w:val="single" w:sz="4" w:space="0" w:color="000000"/>
              <w:right w:val="single" w:sz="4" w:space="0" w:color="000000"/>
            </w:tcBorders>
          </w:tcPr>
          <w:p w14:paraId="0CE2E392"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w:t>
            </w:r>
            <w:r>
              <w:rPr>
                <w:rFonts w:ascii="Times New Roman" w:eastAsia="Times New Roman" w:hAnsi="Times New Roman" w:cs="Times New Roman"/>
                <w:i/>
                <w:sz w:val="24"/>
                <w:szCs w:val="24"/>
              </w:rPr>
              <w:lastRenderedPageBreak/>
              <w:t xml:space="preserve">ecosistemelor: </w:t>
            </w:r>
            <w:r>
              <w:rPr>
                <w:rFonts w:ascii="Times New Roman" w:eastAsia="Times New Roman" w:hAnsi="Times New Roman" w:cs="Times New Roman"/>
                <w:sz w:val="24"/>
                <w:szCs w:val="24"/>
              </w:rPr>
              <w:t>Se preconizează că măsura va fi:</w:t>
            </w:r>
          </w:p>
          <w:p w14:paraId="77412211"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18C4D1B3"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1AD8CAE" w14:textId="77777777" w:rsidR="0001312F" w:rsidRDefault="0067039D">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Borders>
              <w:top w:val="single" w:sz="4" w:space="0" w:color="000000"/>
              <w:left w:val="single" w:sz="4" w:space="0" w:color="000000"/>
              <w:bottom w:val="single" w:sz="4" w:space="0" w:color="000000"/>
              <w:right w:val="single" w:sz="4" w:space="0" w:color="000000"/>
            </w:tcBorders>
          </w:tcPr>
          <w:p w14:paraId="09FAC216" w14:textId="77777777" w:rsidR="0001312F" w:rsidRDefault="0067039D">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73F4756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sectoarele de drumuri noi incluse în cadrul acestei priorități, documentația aferentă evaluării impactului asupra mediului se află în diferite stadii de elaborare și etapele procesului de evaluare a impactului asupra mediului se derulează în conformitate cu prevederile Directivei 52/2014 de modificare </w:t>
            </w:r>
            <w:r>
              <w:rPr>
                <w:rFonts w:ascii="Times New Roman" w:eastAsia="Times New Roman" w:hAnsi="Times New Roman" w:cs="Times New Roman"/>
                <w:sz w:val="24"/>
                <w:szCs w:val="24"/>
              </w:rPr>
              <w:lastRenderedPageBreak/>
              <w:t xml:space="preserve">a Directivei 92/2011 privind evaluarea efectelor anumitor proiecte publice și private asupra mediului și ale Directivei 43/92 privind conservarea habitatelor naturale și a speciilor de faună și floră sălbatică. </w:t>
            </w:r>
          </w:p>
          <w:p w14:paraId="0449894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Autoritățile române vor aplica lecțiile învățate din evaluarea impactului de mediu al autostrăzii Sibiu-Pitești. Astfel, EIA și AA vor fi elaborate luând în considerare obiectivele specifice de conservare comunicate de ANANP. Evaluarea impactului de mediu și evaluarea adecvată, în cazul siturilor protejate, se va baza pe obiective specifice de conservare identificate, utilizând principiul precauției, pe baza ghidului metodologic al Comisiei Europene</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p>
          <w:p w14:paraId="14232E0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de infrastructură rutieră, încă de la faza analizei multicriteriale a aliniamentelor de traseu, se acordă o mare atenție siturilor Natura 2000. Pe cât posibil, se are în vedere evitarea acestora sau intersectarea marginală, acolo unde nu este posibilă evitarea acestora. La stabilirea variantei de traseu, se inițiază discuțiile cu Agenția Națională pentru Arii Naturale Protejate pentru stabilirea obiectivelor specifice de conservare (OSC), în cazul ariilor pentru care nu au fost încă stabilite OSC, înainte de a demara procedura de mediu. Acest proces este aplicat pentru toate proiectele derulate de CNAIR, în conformitate cu procedura aplicată deja la nivelul CNAIR. Inclusiv pentru proiectele pentru care este necesară revizuirea acordului de mediu, evaluarea adecvată se face ținând cont de obiectivele specifice de conservare. </w:t>
            </w:r>
          </w:p>
          <w:p w14:paraId="24A86FF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studiilor de fezabilitate / proiectelor tehnice au fost / vor fi propuse soluții tehnice astfel încât impactul asupra mediului să fie cât mai mic: au fost / vor fi alese materiale de construcție prietenoase cu mediul, deschiderile podurilor / viaductelor au fost / vor fi stabilite astfel încât să asigure permeabilitatea faunei și să nu fie executate lucrări în albiile minore ale râurilor (acolo unde este posibil), au fost / vor fi propuse subtraversări pentru fauna de dimensiune mică / medie, au fost / vor fi propuse garduri de protecție care să împiedice pătrunderea faunei la nivelul părții carosabile și au fost / vor fi propuse panouri fonoabsorbante astfel încât nivelul zgomotului să nu afecteze mediul. </w:t>
            </w:r>
          </w:p>
          <w:p w14:paraId="6CDD53BD"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cadrul acestei priorități a fost estimat un număr de 10 infrastructuri verzi, reprezentând 5ha, care vor beneficia de sprijin pentru alte scopuri decât adaptarea la schimbările climatice. </w:t>
            </w:r>
          </w:p>
          <w:p w14:paraId="01E26C28"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Studiile de evaluare adecvată au fost / vor fi elaborate ținând cont de prevederile Directivei Habitate, ale ghidurilor de evaluare a impactului asupra biodiversității și de experiența acumulată în cazul altor proiecte majore de infrastructură rutieră aprobate de Comisia Europeană. </w:t>
            </w:r>
          </w:p>
          <w:p w14:paraId="665BDC9F"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evaluarea impactului asupra biodiversității s-a făcut / se face ținând cont de obiectivele specifice de conservare, de fiecare parametru și valoare țintă stabilite pentru fiecare specie și fiecare habitat din cadrul acestor arii naturale protejate. Este prezentată localizarea proiectului în raport cu zonele de distribuție ale acestor specii și habitate și este evaluată posibilitatea de afectare a parametrilor și a valorilor țintă stabilite de ANANP. În cazul în care există posibilitatea de afectare a parametrilor, este evaluată magnitudinea impactului și sunt propuse măsuri adecvate astfel încât impactul rezidual să fie nesemnificativ. De asemenea, este evaluat impactul cumulat, ținând cont atât de presiunile existente (menționate în planurile de management, în formularele standard Natura 2000 sau în obiectivele specifice de conservare), cât și de proiectele existente sau propuse în zona de incidență a proiectelor și, în cazul în care există posibilitatea generării unui impact cumulat, sunt propuse măsuri adecvate, astfel încât impactul cumulat să nu fie semnificativ și să nu afecteze integritatea ariilor naturale protejate sau starea de conservare a acestora. </w:t>
            </w:r>
          </w:p>
          <w:p w14:paraId="6D2BB26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solicitată utilizarea speciilor din flora locală pentru amenajarea spațiilor afectate temporar de lucrări și pentru împăduriri. Puieții vor fi achiziționați de la centre specializate. Conform legislației în vigoare, în cazul în care va fi împădurită o suprafață pe care nu a existat anterior pădure, va fi analizată necesitatea parcurgerii procedurii EIA / EA. Nu vor fi realizate plantări în zone umede. De asemenea, în cadrul studiilor de evaluare adecvată a fost / va fi menționat că este strict interzisă utilizarea speciilor invazive pentru realizarea împăduririlor. </w:t>
            </w:r>
          </w:p>
          <w:p w14:paraId="406806D0"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studiilor de evaluare adecvată a fost / va fi propus un plan de monitorizare a factorilor de mediu, inclusiv a biodiversității, atât pentru perioada execuției lucrărilor de construcție, cât și pentru primii ani din perioada de operare. De asemenea, va fi monitorizată implementarea măsurilor de prevenire / reducere </w:t>
            </w:r>
            <w:r>
              <w:rPr>
                <w:rFonts w:ascii="Times New Roman" w:eastAsia="Times New Roman" w:hAnsi="Times New Roman" w:cs="Times New Roman"/>
                <w:sz w:val="24"/>
                <w:szCs w:val="24"/>
              </w:rPr>
              <w:lastRenderedPageBreak/>
              <w:t xml:space="preserve">a impactului asupra mediului, iar în cazul în care vor fi necesare măsuri suplimentare, vor fi propuse măsuri specifice în cadrul rapoartelor de monitorizare și va fi urmărită implementarea acestora. </w:t>
            </w:r>
          </w:p>
          <w:p w14:paraId="71DA3AE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Adițional, o atenție deosebită se acordă impactului proiectului asupra terenurilor arabile, în particular asupra terenurilor cu fertilitate medie/crescută, precum și asupra despăduririlor. În acest sens la faza de derulare a studiilor de fezabilitate, în cadrul analizei alternativelor de traseu, se iau în considerare la realizarea analizei multi-criteriale de selecție următoarele elemente:</w:t>
            </w:r>
          </w:p>
          <w:p w14:paraId="5C123B28"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limitarea suprafeței ocupate de proiectele de infrastructură rutieră la minimul necesar și propunerea de  soluții tehnice (precum viaducte), acolo unde este posibil din punct de vedere tehnic, astfel încât să fie afectate cât mai puțin terenurile arabile / zonele cu un nivel moderat / crescut al fertilității solului; </w:t>
            </w:r>
          </w:p>
          <w:p w14:paraId="427450F6"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selectarea variantei de traseu astfel încât să afecteze cât mai puțin terenurile naturale și să intersecteze, acolo unde este posibil, terenuri neproductive, terenuri antropizate; </w:t>
            </w:r>
          </w:p>
          <w:p w14:paraId="0352C8A2"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propunerea ca organizările de șantier și alte construcții temporare să fie amplasate în zone antropizate precum foste platforme industriale / platforme betonate, terenuri neproductive; </w:t>
            </w:r>
          </w:p>
          <w:p w14:paraId="19E7AB7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este interzisă amplasarea organizărilor de șantier și a altor construcții temporare în cadrul ariilor naturale protejate / în zonele împădurite / pe malul corpurilor de apă de suprafață sau în imediata vecinătate a acestora; </w:t>
            </w:r>
          </w:p>
          <w:p w14:paraId="67A9F269"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arii naturale protejate sau zone importante pentru biodiversitate (care reprezintă habitat pentru speciile periclitate, speciile menționate în Lista Roșie), iar acolo unde nu este posibilă evitarea acestor zone, sunt selectate alternative de traseu / constructive care să afecteze cât mai puțin ariile naturale protejate: intersectarea marginală a ariilor naturale protejate, propunerea de poduri / viaducte / tuneluri / ecoducte, etc. De asemenea, sunt propuse panouri fonoabsorbante, panouri anticoliziune, garduri ranforsate, subtraversări, etc; </w:t>
            </w:r>
          </w:p>
          <w:p w14:paraId="7DC5927D" w14:textId="77777777" w:rsidR="0001312F" w:rsidRDefault="0067039D">
            <w:pPr>
              <w:numPr>
                <w:ilvl w:val="0"/>
                <w:numId w:val="12"/>
              </w:num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alternativele de traseu sunt propuse și ulterior selectate astfel încât să nu afecteze terenuri din fondul forestier (terenuri împădurite sau terenuri neîmpădurite încă). Acolo unde nu există </w:t>
            </w:r>
            <w:r>
              <w:rPr>
                <w:rFonts w:ascii="Times New Roman" w:eastAsia="Times New Roman" w:hAnsi="Times New Roman" w:cs="Times New Roman"/>
                <w:sz w:val="24"/>
                <w:szCs w:val="24"/>
              </w:rPr>
              <w:lastRenderedPageBreak/>
              <w:t>posibilitatea evitării pădurii sunt propuse măsuri adecvate de reducere a impactului: panouri fonoabsorbante / subtraversări pentru fauna de dimensiuni mici / garduri (ranforsate sau simple) pentru a împiedica pătrunderea faunei la nivelul părții carosabile. Pe parcursul elaborării proiectului și realizării studiilor de mediu se asigură că structurile propuse asigură permeabilitate faunei;</w:t>
            </w:r>
          </w:p>
          <w:p w14:paraId="1F91B84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în cadrul etapelor procesului de evaluare a impactului asupra mediului, realizat în conformitate cu prevederile </w:t>
            </w:r>
            <w:r>
              <w:rPr>
                <w:rFonts w:ascii="Times New Roman" w:eastAsia="Times New Roman" w:hAnsi="Times New Roman" w:cs="Times New Roman"/>
                <w:i/>
                <w:sz w:val="24"/>
                <w:szCs w:val="24"/>
              </w:rPr>
              <w:t xml:space="preserve">Directivei 52/2014 de modificare a Directivei 92/2011privind evaluarea efectelor anumitor proiecte publice și private asupra mediului </w:t>
            </w:r>
            <w:r>
              <w:rPr>
                <w:rFonts w:ascii="Times New Roman" w:eastAsia="Times New Roman" w:hAnsi="Times New Roman" w:cs="Times New Roman"/>
                <w:sz w:val="24"/>
                <w:szCs w:val="24"/>
              </w:rPr>
              <w:t>și ale</w:t>
            </w:r>
            <w:r>
              <w:rPr>
                <w:rFonts w:ascii="Times New Roman" w:eastAsia="Times New Roman" w:hAnsi="Times New Roman" w:cs="Times New Roman"/>
                <w:i/>
                <w:sz w:val="24"/>
                <w:szCs w:val="24"/>
              </w:rPr>
              <w:t xml:space="preserve"> Directivei 43/92 privind conservarea habitatelor naturale și a speciilor de faună și floră sălbatică </w:t>
            </w:r>
            <w:r>
              <w:rPr>
                <w:rFonts w:ascii="Times New Roman" w:eastAsia="Times New Roman" w:hAnsi="Times New Roman" w:cs="Times New Roman"/>
                <w:sz w:val="24"/>
                <w:szCs w:val="24"/>
              </w:rPr>
              <w:t xml:space="preserve">sunt prevăzute derularea consultărilor publice cu privire la impactul proiectelor asupra comunităților locale. Solicitările comunităților locale, în special în ceea ce privește accesul la terenurile agricole, sunt luate în considerare la proiectarea soluțiilor tehnice. </w:t>
            </w:r>
          </w:p>
          <w:p w14:paraId="345740C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remarcat că în România comunitățile locale consideră că accesibilitatea oferită de construcția unei infrastructuri rutiere moderne asigură un impact pozitiv asupra gradului de utilizare și productivitate a  terenurilor agricole din zonele deservite. </w:t>
            </w:r>
          </w:p>
          <w:p w14:paraId="125DDD7B"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România, ca parte integrantă a UE, îşi propune alinierea la direcțiile propuse de către practicile europene, adoptând o strategie de susținere şi sprijinire financiară a fermierilor și producătorilor locali, încurajând practicile durabile și ecologice, investind în același timp și în dezvoltarea zonelor rurale.</w:t>
            </w:r>
          </w:p>
          <w:p w14:paraId="3606657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Industriile și serviciile legate de agricultură și produse alimentare asigură nenumărate locuri de muncă în România. Datorită climatului său, a solului fertil, a abilităților tehnice ale fermierilor și a calității produselor sale, România posedă un capital agricol deosebit de valoros.</w:t>
            </w:r>
          </w:p>
          <w:p w14:paraId="2E6F5F6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Starea precară a infrastructurii naționale și producerea de congestii în trafic reprezintă provocări din ce în ce mai semnificative pentru industria agricolă. Condițiile slabe de circulație contribuie la creșterea costurilor de exploatare, prin creșterea consumului de combustibil și a costurilor de întreținere a vehiculelor. Congestia rutieră atrage după sine costuri cu forța de muncă, combustibil, precum şi întârzieri ale livrărilor de produse, ducând la creșterea costurilor totale și la reducerea competitivității în domeniul agricol.</w:t>
            </w:r>
          </w:p>
          <w:p w14:paraId="01AB856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Prin intermediul noii Politici Agricole Comune (PAC), se dorește tranziția agriculturii UE spre strategii agro-ecologice. Există o necesitate de a reconecta fermierii cu consumatorii, în scopul construirii de economii alimentare locale și dinamice. Prin intermediul acestei politici, se dorește susținerea fermierilor, a producătorilor, a procesatorilor și a comercianților și construirea legăturilor puternice locale și regionale între aceștia, consumatori și operatori din sectorul alimentar. </w:t>
            </w:r>
          </w:p>
          <w:p w14:paraId="2C288BFE"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dezvoltării durabile a zonelor rurale și mediului implică şi asigurarea unei infrastructuri corespunzătoare, cu fonduri destinate și alocate în acest sens. Prin intermediul acesteia, se poate asigura un mediu stabil şi competent pentru a avea o producție de hrană de calitate bazată pe sisteme și practici durabile cum ar fi agricultura ecologică și alte practici agricole prietenoase, precum şi transportul eficient al produselor către consumatorii finali. Aceștia ar avea acces facil şi rapid la hrană produsă în mod ecologic de către producători specializați.</w:t>
            </w:r>
          </w:p>
          <w:p w14:paraId="2A8F5A21"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rețea de infrastructură eficientă asigură un mediu propice transferului de cunoștințe agro-ecologice, cooperării și inovațiilor în domeniu. Dintre externalităţile pozitive indirecte asociate ocupării de terenuri agricole pentru realizarea proiectelor de infrastructură, se pot menționa următoarele:</w:t>
            </w:r>
          </w:p>
          <w:p w14:paraId="58818013"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creșterea calității vieții, prin accesibilitate și conectivitate; </w:t>
            </w:r>
          </w:p>
          <w:p w14:paraId="7B1B3BCE"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economiei naționale şi asigurarea sustenabilității: scăzând costurile asociate transportului de mărfuri, producătorii pot absorbi fondurile destinate acestora şi le pot redirecționa spre creșterea calității produselor, achiziția de utilaje noi, performante, adoptarea de tehnologii mai eficiente, mai prietenoase cu mediul;</w:t>
            </w:r>
          </w:p>
          <w:p w14:paraId="5ED2450C"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creșterea capacității de exploatare a resurselor agricole, creșterea valorii de piață a terenurilor agricole și valorificarea eficientă a potențialului acestora;</w:t>
            </w:r>
          </w:p>
          <w:p w14:paraId="43AFB6E6"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susținerea agriculturii ecologice, a produselor de calitate, a cooperării dintre producători, dintre producători şi consumatori, precum şi acces facil la servicii de consultanță și inovații agro-ecologice;</w:t>
            </w:r>
          </w:p>
          <w:p w14:paraId="470871B7"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producție de hrană bazată pe strategiile agro-ecologice, prin dezvoltarea de lanțuri de aprovizionare coordonate de către comunități;</w:t>
            </w:r>
          </w:p>
          <w:p w14:paraId="29FF635B"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transfer de cunoștințe agro-ecologice şi tranziția facilă spre agro-ecologie, prin folosirea politicii agricole comune pentru construirea noilor sisteme alimentare;</w:t>
            </w:r>
          </w:p>
          <w:p w14:paraId="459366C9" w14:textId="77777777" w:rsidR="0001312F" w:rsidRDefault="0067039D">
            <w:pPr>
              <w:numPr>
                <w:ilvl w:val="1"/>
                <w:numId w:val="11"/>
              </w:numPr>
              <w:tabs>
                <w:tab w:val="left" w:pos="1777"/>
              </w:tabs>
              <w:spacing w:after="0"/>
              <w:ind w:left="7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prin creșterea capacității sistemului de transport, se va asigura o fluidizare și o creștere a competitivității în domeniu, cu rezultate benefice pentru consumator.</w:t>
            </w:r>
          </w:p>
          <w:p w14:paraId="42DB06DC" w14:textId="77777777" w:rsidR="0001312F" w:rsidRDefault="0001312F">
            <w:pPr>
              <w:tabs>
                <w:tab w:val="left" w:pos="1777"/>
              </w:tabs>
              <w:spacing w:after="0"/>
              <w:jc w:val="both"/>
              <w:rPr>
                <w:rFonts w:ascii="Times New Roman" w:eastAsia="Times New Roman" w:hAnsi="Times New Roman" w:cs="Times New Roman"/>
                <w:sz w:val="24"/>
                <w:szCs w:val="24"/>
              </w:rPr>
            </w:pPr>
          </w:p>
          <w:p w14:paraId="67A2F797"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în conformitate cu legislația națională OUG 38/2002, modificată și completată de Legea nr. 243/2011, pentru terenurile agricole afectate de activitățile de construcție a infrastructurii rutiere, cum ar fi: organizările de șantier, platformele de lucru, gropile de împrumut etc. se derulează studii pedologice pentru readucerea terenurilor agricole la stadiul inițial din punctul de vedere a proprietăților agrochimice.</w:t>
            </w:r>
          </w:p>
          <w:p w14:paraId="72015B9B" w14:textId="77777777" w:rsidR="0001312F" w:rsidRDefault="0067039D">
            <w:pPr>
              <w:tabs>
                <w:tab w:val="left" w:pos="1777"/>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de protejare a biodiversității incluse în documentațiile de achiziție publică pentru execuția lucrărilor</w:t>
            </w:r>
          </w:p>
          <w:p w14:paraId="39243DE6"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particular măsurile de protejare a biodiversității pentru perioada construcției și mai ales a operării infrastructurii rutiere vor  include:</w:t>
            </w:r>
          </w:p>
          <w:p w14:paraId="3E676C4F"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obiectivelor de conservare pentru speciile relevante de animale protejate enumerate în anexa IV la Directiva 43/92,</w:t>
            </w:r>
          </w:p>
          <w:p w14:paraId="20B2DEAE"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Măsurile de atenuare necesare pentru reducerea fragmentării și a degradării terenurilor, în special coridoarele verzi și alte măsuri de conectivitate a habitatelor, </w:t>
            </w:r>
          </w:p>
          <w:p w14:paraId="091573BC"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de conservare/refacere a habitatelor impactate de construcția infrastructurii rutiere,</w:t>
            </w:r>
          </w:p>
          <w:p w14:paraId="1705A175"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 în timpul exploatării pentru biodiversitate/arii naturale protejate</w:t>
            </w:r>
          </w:p>
          <w:p w14:paraId="4E0FB4C8"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evitarea producerii de boli sau pentru a nu împiedica dezvoltarea normală a vegetaţiei, şanţurile, bazinele vidanjabile, decantoarele şi separatoarele de produse petroliere vor fi întreţinute corespunzător de către administratorul infrastructurii;</w:t>
            </w:r>
          </w:p>
          <w:p w14:paraId="4B974E19"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obligarea beneficiarului de proiect de a planta arbori şi arbuşti în preajma podeţelor pentru a asigura circulaţia faunei existente – trecerea liberă a animalelor dintr-o parte în alta carosabilului;</w:t>
            </w:r>
          </w:p>
          <w:p w14:paraId="069BEF1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asigurarea trecerii libere a animalelor pe sub poduri şi pasaje; va fi interzisă desfăşurarea în aceste locuri a unor activităţi care ar putea afecta circulaţia faunei. </w:t>
            </w:r>
          </w:p>
          <w:p w14:paraId="272F6526"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construirea de subtraversări/ supratraversări (ecoducte) pentru faună la nivelul solului pentru conectivitatea speciilor terestre ce își au nișa ecologică în zona respectivă, </w:t>
            </w:r>
          </w:p>
          <w:p w14:paraId="604833F3"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instalarea de panouri fono-absorbante însoțite de mijloace de semnalizare pentru evitarea impactului speciilor zburătoare;</w:t>
            </w:r>
          </w:p>
          <w:p w14:paraId="4CFDE69D" w14:textId="77777777" w:rsidR="0001312F" w:rsidRDefault="0067039D">
            <w:pPr>
              <w:numPr>
                <w:ilvl w:val="0"/>
                <w:numId w:val="10"/>
              </w:numPr>
              <w:tabs>
                <w:tab w:val="left" w:pos="177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monitorizarea, în timpul fazei de exploatare, pentru ca în cazul în care se va constata că o zonă, care nu a fost descoperită în faza de construcție, este preferată de păsări pentru trecerea peste suprafața construită, aceasta să fie prevăzută cu panouri de protecție.</w:t>
            </w:r>
          </w:p>
          <w:p w14:paraId="4385001C" w14:textId="77777777" w:rsidR="0001312F" w:rsidRDefault="0001312F">
            <w:pPr>
              <w:tabs>
                <w:tab w:val="left" w:pos="1777"/>
              </w:tabs>
              <w:jc w:val="both"/>
              <w:rPr>
                <w:rFonts w:ascii="Times New Roman" w:eastAsia="Times New Roman" w:hAnsi="Times New Roman" w:cs="Times New Roman"/>
                <w:sz w:val="24"/>
                <w:szCs w:val="24"/>
              </w:rPr>
            </w:pPr>
          </w:p>
          <w:p w14:paraId="2C5BCDB4" w14:textId="77777777" w:rsidR="0001312F" w:rsidRDefault="0067039D">
            <w:pPr>
              <w:tabs>
                <w:tab w:val="left" w:pos="1777"/>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Costurile privind măsurile de atenuare și eventual măsurile de compensare vor fi incluse în bugetul aferente construcției infrastructurii rutiere. </w:t>
            </w:r>
          </w:p>
          <w:p w14:paraId="1A55B322" w14:textId="77777777" w:rsidR="00E94D40" w:rsidRDefault="00E94D40" w:rsidP="00E94D4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cadrul evaluării strategice de mediu, pentru Programul Transport 2021-2027 a fost realizat Studiul de Evaluare Adecvată. În urma evaluării tipurilor de acţiuni au fost identificate potenţiale efecte negative semnificative şi nesemnificative asupra obiectivului de mediu Biodiversitate. Însă au fost propuse următoarele măsuri de evitare şi reducere a efectelor negative. </w:t>
            </w:r>
          </w:p>
          <w:p w14:paraId="64C5CEA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vor include în analiza multicriterială cel puţin un subcriteriu referitor la intersectarea limitelor siturilor Natura 2000. Acesta trebuie să asigure ierarhizarea alternativelor de traseu astfel încât punctajul maxim să fie obţinut de proiectele ale căror limite şi zone de influenţă nu intersectează limitele siturilor Natura 2000.</w:t>
            </w:r>
          </w:p>
          <w:p w14:paraId="1394E7E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Modificarea măsurilor de evitare şi reducere a impactului ulterior emiterii Acordului de mediu pentru un proiect se va realiza doar în contextul revizuirii, după caz, a studiului de evaluare adecvată, a raportului privind impactul asupra mediului şi a studiului de evaluare a impactului asupra corpurilor de apă. </w:t>
            </w:r>
          </w:p>
          <w:p w14:paraId="52926F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încă nu a fost selectat traseul sau locaţiile de implementare vor include în analiza multicriterială cel puţin un subcriteriu referitor la intersectarea limitelor habitatelor prioritare şi a limitelor habitatelor speciilor prioritare. Acesta trebuie să asigure ierarhizarea alternativelor de traseu astfel încât proiectele ale căror limite şi zone de influenţă nu intersectează limitele habitatelor prioritare / habitatelor speciilor prioritare să fie favorizate.</w:t>
            </w:r>
          </w:p>
          <w:p w14:paraId="56CA6E6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nu pot evita intersectarea siturilor Natura 2000 trebuie să asigure că pierderile din oricare habitat / habitat al speciilor sunt nesemnificative.</w:t>
            </w:r>
          </w:p>
          <w:p w14:paraId="2EF99D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Toate proiectele finanţate prin PT, indiferent dacă intersectează sau nu situri Natura 2000, vor elabora un Plan de identificare şi control al speciilor invazive. Planul va acoperi toate etapele ciclului de viaţă al proiectului şi va include toate măsurile necesare pentru evitarea favorizării pătrunderii şi răspândirii speciilor invazive, precum şi controlul acestora în toate zonele de implementare a proiectului. Planul trebuie să asigure evitarea oricărui impact asupra habitatelor de interes comunitar şi habitatelor speciilor de interes comunitar.</w:t>
            </w:r>
          </w:p>
          <w:p w14:paraId="390D308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lucrările de plantare (ex: amenajarea taluzelor, lucrări de reabilitare, amenajări de spaţii verzi, înfiinţări de perdelele forestiere, etc.) prevăzute în PT vor fi realizate cu utilizarea speciilor vegetale native caracteristice zonei de implementare a proiectelor.</w:t>
            </w:r>
          </w:p>
          <w:p w14:paraId="4A0AD64C"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Pentru toate proiectele finanţate prin PT vor fi asigurate sisteme şi dotări adecvate pentru colectarea şi preepurarea apelor uzate şi a apelor pluviale potenţial impurificate, care să asigure retenţia poluanţilor şi evitarea poluărilor accidentale.</w:t>
            </w:r>
          </w:p>
          <w:p w14:paraId="1CCC111B"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finanţate prin PT vor asigura pe toată lungimea infrastructurii de transport şi în oricare din locaţiile proiectului un grad optim de permeabilitate pentru toată fauna sălbatică. Soluţiile pentru asigurarea permeabilităţii vor fi adaptate gradului de sensibilitate al zonelor intersectate (sensibilitate ridicată la intersectarea ariilor naturale protejate, a coridoarelor ecologice, a habitatelor favorabile speciilor de interes comunitar din afara ariilor protejate, etc.) şi cerinţelor particulare ale speciilor (ex: indicele de deschidere relativă în cazul mamiferelor, înălţimea pragurilor şi viteza apei în cazul speciilor acvatice, etc.).</w:t>
            </w:r>
          </w:p>
          <w:p w14:paraId="5BB8F71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Evaluarea potenţialului impact al proiectelor de infrastructură trebuie să includă o analiză de permeabilitate pentru întreg proiectul, care să identifice şi să ia în considerare şi alte bariere existente în zonă (inclusiv alte elemente de infrastructură de transport). Măsurile de menţinere a permeabilităţii stabilite pentru proiectul analizat trebuie să ia în considerare şi adresarea impactului cumulat al proiectului, împreună cu alte elemente de infrastructură existente. Măsurile implementate trebuie să asigure conectivitatea în lungul coridoarelor ecologice (inclusiv a cursurilor de apă) şi nu doar la nivelul proiectului.</w:t>
            </w:r>
          </w:p>
          <w:p w14:paraId="61EB6B91"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lastRenderedPageBreak/>
              <w:t>-</w:t>
            </w:r>
            <w:r w:rsidRPr="00AC6A89">
              <w:rPr>
                <w:rFonts w:ascii="Times New Roman" w:eastAsia="Times New Roman" w:hAnsi="Times New Roman" w:cs="Times New Roman"/>
                <w:sz w:val="24"/>
                <w:szCs w:val="24"/>
              </w:rPr>
              <w:tab/>
              <w:t>Toate proiectele de infrastructură propuse trebuie să includă o analiză a potenţialelor impacturi din zonele de influenţă directă şi indirectă, generate de modificările nivelului de trafic pe drumuri şi căi ferate adiacente. Pe baza rezultatelor acestei analize, trebuie să fie propuse măsuri de evitare şi reducere a impacturilor semnificative ce se pot produce la distanţă de proiect. Se va avea în vedere că implementarea măsurilor poate fi necesară la nivelul altor infrastructuri decât cele care fac obiectul proiectului.</w:t>
            </w:r>
          </w:p>
          <w:p w14:paraId="1F8A8773"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p>
          <w:p w14:paraId="207AFE3A"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toate zonele în care nivelul de zgomot poate conduce la îndepărtarea speciilor din habitatele lor favorabile, se vor implementa măsuri de ecranare care să asigure reducerea nivelului de zgomot funcţie de cerinţele parrticulare ale speciilor potenţial afectate. Prioritar, soluţiile de ecranare ale zgomotului vor include, acolo unde este posibil, perdele forestiere, panouri realizate din materiale naturale, panouri a căror arhitectură se integrează cu mediul natural al zonei.</w:t>
            </w:r>
          </w:p>
          <w:p w14:paraId="2977BA6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Proiectele care sunt în măsură să contribuie la creşterea nivelului de zgomot subacvatic trebuie să fie analizate din punct de vedere al riscului acestora de afectare a speciilor acvatice. Acestea trebuie să asigure măsuri adecvate pentru evitarea perturbării semnificative a speciilor acvatice.</w:t>
            </w:r>
          </w:p>
          <w:p w14:paraId="7137F31D"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p w14:paraId="0A76819F"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La nivelul infrastructurilor de transport trebuie implementate sisteme adecvate de colectare a deşeurilor care să asigure imposibilitatea accesibilizării lor de către fauna sălbatică.</w:t>
            </w:r>
          </w:p>
          <w:p w14:paraId="7F575B64" w14:textId="77777777" w:rsidR="00E94D40" w:rsidRPr="00AC6A89" w:rsidRDefault="00E94D40" w:rsidP="00E94D40">
            <w:pPr>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 xml:space="preserve">Reducerea mortalitaţii pentru toate grupele de faună trebuie să reprezinte o preocupare continuă în dezvoltarea, construcţia şi operarea infrastructurilor de transport (inclusiv în cazul modernizării / </w:t>
            </w:r>
            <w:r w:rsidRPr="00AC6A89">
              <w:rPr>
                <w:rFonts w:ascii="Times New Roman" w:eastAsia="Times New Roman" w:hAnsi="Times New Roman" w:cs="Times New Roman"/>
                <w:sz w:val="24"/>
                <w:szCs w:val="24"/>
              </w:rPr>
              <w:lastRenderedPageBreak/>
              <w:t>extinderii / reabilitării reţelei existente de drumuri). Soluţiile adoptate trebuie să asigure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trebuie adaptate particularităţilor speciilor potenţial afectate, prioritate acordându-se implementării soluţiilor pentru care poate fi documentată eficacitatea.</w:t>
            </w:r>
          </w:p>
          <w:p w14:paraId="6061FB4D" w14:textId="555A1917" w:rsidR="00E94D40" w:rsidRDefault="00E94D40" w:rsidP="00E94D40">
            <w:pPr>
              <w:tabs>
                <w:tab w:val="left" w:pos="1777"/>
              </w:tabs>
              <w:jc w:val="both"/>
              <w:rPr>
                <w:rFonts w:ascii="Times New Roman" w:eastAsia="Times New Roman" w:hAnsi="Times New Roman" w:cs="Times New Roman"/>
                <w:sz w:val="24"/>
                <w:szCs w:val="24"/>
              </w:rPr>
            </w:pPr>
            <w:r w:rsidRPr="00AC6A89">
              <w:rPr>
                <w:rFonts w:ascii="Times New Roman" w:eastAsia="Times New Roman" w:hAnsi="Times New Roman" w:cs="Times New Roman"/>
                <w:sz w:val="24"/>
                <w:szCs w:val="24"/>
              </w:rPr>
              <w:t>-</w:t>
            </w:r>
            <w:r w:rsidRPr="00AC6A89">
              <w:rPr>
                <w:rFonts w:ascii="Times New Roman" w:eastAsia="Times New Roman" w:hAnsi="Times New Roman" w:cs="Times New Roman"/>
                <w:sz w:val="24"/>
                <w:szCs w:val="24"/>
              </w:rPr>
              <w:tab/>
              <w:t>În scopul accesibilizării informaţiei pentru toate părţile interesate (inclusiv pentru dezvoltarea cunoaşterii şi îmbunătăţirea calităţii studiilor de mediu), toate datele şi informaţiile rezultate din aplicarea programelor de monitorizare (inclusiv verificarea eficacităţii măsurilor implementate pentru evitarea şi reducerea impactului) la nivelul fiecărui proiect vor fi publicate pe internet si disponibile pe toată perioada construcţiei şi cel puţin pentru primii 5 ani de operare.</w:t>
            </w:r>
          </w:p>
        </w:tc>
      </w:tr>
    </w:tbl>
    <w:p w14:paraId="5B94F49C" w14:textId="77777777" w:rsidR="0001312F" w:rsidRDefault="0001312F">
      <w:pPr>
        <w:tabs>
          <w:tab w:val="left" w:pos="1777"/>
        </w:tabs>
        <w:rPr>
          <w:rFonts w:ascii="Times New Roman" w:eastAsia="Times New Roman" w:hAnsi="Times New Roman" w:cs="Times New Roman"/>
          <w:b/>
          <w:sz w:val="24"/>
          <w:szCs w:val="24"/>
        </w:rPr>
      </w:pPr>
    </w:p>
    <w:p w14:paraId="7C78F270" w14:textId="77777777" w:rsidR="0001312F" w:rsidRDefault="0001312F">
      <w:pPr>
        <w:tabs>
          <w:tab w:val="left" w:pos="1777"/>
        </w:tabs>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46F9B6DC"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4" w:name="_Toc117679937"/>
      <w:r>
        <w:rPr>
          <w:rFonts w:ascii="Times New Roman" w:eastAsia="Times New Roman" w:hAnsi="Times New Roman" w:cs="Times New Roman"/>
          <w:sz w:val="24"/>
          <w:szCs w:val="24"/>
        </w:rPr>
        <w:lastRenderedPageBreak/>
        <w:t xml:space="preserve">2.3. </w:t>
      </w:r>
      <w:r>
        <w:rPr>
          <w:rFonts w:ascii="Times New Roman" w:eastAsia="Times New Roman" w:hAnsi="Times New Roman" w:cs="Times New Roman"/>
          <w:b/>
          <w:sz w:val="24"/>
          <w:szCs w:val="24"/>
        </w:rPr>
        <w:t>Prioritatea 3</w:t>
      </w:r>
      <w:r>
        <w:rPr>
          <w:rFonts w:ascii="Times New Roman" w:eastAsia="Times New Roman" w:hAnsi="Times New Roman" w:cs="Times New Roman"/>
          <w:sz w:val="24"/>
          <w:szCs w:val="24"/>
        </w:rPr>
        <w:t xml:space="preserve"> - Creșterea siguranței rutiere</w:t>
      </w:r>
      <w:bookmarkEnd w:id="14"/>
    </w:p>
    <w:p w14:paraId="74E8FFA5" w14:textId="77777777" w:rsidR="0001312F" w:rsidRDefault="0067039D">
      <w:pPr>
        <w:tabs>
          <w:tab w:val="left" w:pos="72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9A44219"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Autoritățile române, cu sprijinul Băncii Europene de Investiții (BEI), au elaborat o cartografiere a zonelor de risc situate pe rețeaua națională de transport rutier, însoțită de intervenții specifice. </w:t>
      </w:r>
    </w:p>
    <w:p w14:paraId="1D8874F4" w14:textId="77777777"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PNRR România și-a asumat elaborarea Strategiei Naţionale de Siguranţă Rutieră pentru perioada 2021-2030, ce urmărește implementarea normelor și liniilor directoare ale Uniunii Europene, așa cum sunt ele prezentate în documentul cadru de politici europene în domeniul siguranței rutiere „Vision Zero”, anume reducerea numărului de decedați în accidente rutiere până în anul 2050 până aproape de zero.</w:t>
      </w:r>
    </w:p>
    <w:p w14:paraId="16FB6D24" w14:textId="3BC0141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această prioritate PT urmărește finanțarea de operațiuni care să contribuie la îmbunătăţirea siguranței circulației rutiere, reducerea numărului de accidente rutiere, în particular la obiectivul intermediar de reducere a numărului de victime (răniți sau decedați) cu 50% față de anul 2019, până în anul 2030, precum și minimizarea efectelor economice cauzate de aceste accidente.</w:t>
      </w:r>
    </w:p>
    <w:p w14:paraId="4696AFE8" w14:textId="77777777" w:rsidR="0001312F" w:rsidRDefault="0001312F">
      <w:pPr>
        <w:tabs>
          <w:tab w:val="left" w:pos="720"/>
        </w:tabs>
        <w:rPr>
          <w:rFonts w:ascii="Times New Roman" w:eastAsia="Times New Roman" w:hAnsi="Times New Roman" w:cs="Times New Roman"/>
          <w:sz w:val="24"/>
          <w:szCs w:val="24"/>
        </w:rPr>
      </w:pPr>
    </w:p>
    <w:p w14:paraId="1DE7291B"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5" w:name="_Toc117679938"/>
      <w:r>
        <w:rPr>
          <w:rFonts w:ascii="Times New Roman" w:eastAsia="Times New Roman" w:hAnsi="Times New Roman" w:cs="Times New Roman"/>
        </w:rPr>
        <w:t>2.3.1. Descrierea investițiilor</w:t>
      </w:r>
      <w:bookmarkEnd w:id="15"/>
      <w:r>
        <w:rPr>
          <w:rFonts w:ascii="Times New Roman" w:eastAsia="Times New Roman" w:hAnsi="Times New Roman" w:cs="Times New Roman"/>
        </w:rPr>
        <w:t xml:space="preserve"> </w:t>
      </w:r>
    </w:p>
    <w:p w14:paraId="4820B1C5" w14:textId="77777777" w:rsidR="0001312F" w:rsidRDefault="0001312F">
      <w:pPr>
        <w:tabs>
          <w:tab w:val="left" w:pos="1777"/>
        </w:tabs>
        <w:rPr>
          <w:rFonts w:ascii="Times New Roman" w:eastAsia="Times New Roman" w:hAnsi="Times New Roman" w:cs="Times New Roman"/>
          <w:sz w:val="24"/>
          <w:szCs w:val="24"/>
        </w:rPr>
      </w:pPr>
    </w:p>
    <w:p w14:paraId="2950BEEA" w14:textId="52D021DB" w:rsidR="0001312F" w:rsidRDefault="0067039D">
      <w:pPr>
        <w:tabs>
          <w:tab w:val="left" w:pos="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finanțate  în cadrul PT sunt complementare atât cu cele finanțate din PNRR, cât și cu cele realizate cu finanțare BEI, având ca scop primar eliminarea tuturor punctelor negre identificate pe rețeaua rutieră națională.</w:t>
      </w:r>
    </w:p>
    <w:p w14:paraId="19B8E383" w14:textId="15AFA46E"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Proiectele de îmbunătățire a siguranței rutiere finanțabile din PT sunt următoarele:</w:t>
      </w:r>
    </w:p>
    <w:p w14:paraId="64FCDD86"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Contribuția la eliminarea a 92 puncte periculoase – SF+PT şi lucrări;</w:t>
      </w:r>
    </w:p>
    <w:p w14:paraId="53CB3BB7"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pentru parcările existente pe drumurile naționale și autostrăzi;</w:t>
      </w:r>
    </w:p>
    <w:p w14:paraId="36BEB3BF"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Îmbunătățirea condițiilor de siguranță prin realizarea de parcări noi pe drumurile naționale și autostrăzi;</w:t>
      </w:r>
    </w:p>
    <w:p w14:paraId="4D027F2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pe drumurile naționale prin eliminarea obstacolelor fizice și dotarea cu elemente pasive de siguranță pe sectoarele din afara localităților;</w:t>
      </w:r>
    </w:p>
    <w:p w14:paraId="73D5C48D"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Creșterea siguranței rutiere în zona trecerilor de pietoni prin îmbunătățirea rugozității și vizibilității prin covoare antiderapante și semnalizare verticală;</w:t>
      </w:r>
    </w:p>
    <w:p w14:paraId="6AE241F1"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Campanie de siguranță rutieră adresată categoriilor vulnerabile de participanți la trafic;</w:t>
      </w:r>
    </w:p>
    <w:p w14:paraId="0508A9F9"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Măsuri de schimbare a comportamentului neadecvat al șoferilor;</w:t>
      </w:r>
    </w:p>
    <w:p w14:paraId="386D6CD4"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pilot de siguranță rutieră;</w:t>
      </w:r>
    </w:p>
    <w:p w14:paraId="58F4E3C5" w14:textId="77777777" w:rsidR="0001312F" w:rsidRDefault="0067039D">
      <w:pPr>
        <w:spacing w:after="0"/>
        <w:ind w:left="117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Achiziţia de echipamente necesare pentru DRDP-urilor pentru intervenţii punctuale.</w:t>
      </w:r>
    </w:p>
    <w:p w14:paraId="45D2E5D7" w14:textId="77777777" w:rsidR="0001312F" w:rsidRDefault="0001312F">
      <w:pPr>
        <w:rPr>
          <w:rFonts w:ascii="Times New Roman" w:eastAsia="Times New Roman" w:hAnsi="Times New Roman" w:cs="Times New Roman"/>
          <w:sz w:val="24"/>
          <w:szCs w:val="24"/>
        </w:rPr>
      </w:pPr>
    </w:p>
    <w:p w14:paraId="46C84AD0" w14:textId="77777777" w:rsidR="0001312F" w:rsidRDefault="0001312F">
      <w:pPr>
        <w:rPr>
          <w:rFonts w:ascii="Times New Roman" w:eastAsia="Times New Roman" w:hAnsi="Times New Roman" w:cs="Times New Roman"/>
          <w:sz w:val="24"/>
          <w:szCs w:val="24"/>
        </w:rPr>
      </w:pPr>
    </w:p>
    <w:p w14:paraId="0CEAE203" w14:textId="77777777" w:rsidR="0001312F" w:rsidRDefault="0001312F">
      <w:pPr>
        <w:rPr>
          <w:rFonts w:ascii="Times New Roman" w:eastAsia="Times New Roman" w:hAnsi="Times New Roman" w:cs="Times New Roman"/>
          <w:sz w:val="24"/>
          <w:szCs w:val="24"/>
        </w:rPr>
      </w:pPr>
    </w:p>
    <w:p w14:paraId="29ED356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6" w:name="_Toc117679939"/>
      <w:r>
        <w:rPr>
          <w:rFonts w:ascii="Times New Roman" w:eastAsia="Times New Roman" w:hAnsi="Times New Roman" w:cs="Times New Roman"/>
        </w:rPr>
        <w:lastRenderedPageBreak/>
        <w:t>2.3.2. Acțiuni finanțate</w:t>
      </w:r>
      <w:bookmarkEnd w:id="16"/>
    </w:p>
    <w:p w14:paraId="0C267F9F" w14:textId="77777777" w:rsidR="0001312F" w:rsidRDefault="0001312F">
      <w:pPr>
        <w:rPr>
          <w:rFonts w:ascii="Times New Roman" w:eastAsia="Times New Roman" w:hAnsi="Times New Roman" w:cs="Times New Roman"/>
          <w:sz w:val="24"/>
          <w:szCs w:val="24"/>
        </w:rPr>
      </w:pPr>
    </w:p>
    <w:p w14:paraId="3BFAAA03"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Prin intermediul acestei priorități se vor finanța operațiuni ce vizează:</w:t>
      </w:r>
    </w:p>
    <w:p w14:paraId="1A591839"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Siguranţă pasivă: parapete rutiere cu rulouri, montarea de parapete rutiere cu cabluri la marginea părții carosabile, amplasarea atenuatoarelor de impact echipate cu sistem de detecție a accidentelor și monitorizare trafic, achiziționarea de sisteme pentru protejarea lucrătorilor, campanii de conștientizare etc;</w:t>
      </w:r>
    </w:p>
    <w:p w14:paraId="67030218"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Iluminat pe timp de noapte și dispozitive luminoase și reflectorizante;</w:t>
      </w:r>
    </w:p>
    <w:p w14:paraId="7974462E"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Separarea căilor de trafic auto și pietonal prin denivelarea acestora pentru evitarea congestiilor;</w:t>
      </w:r>
    </w:p>
    <w:p w14:paraId="7CB54F63"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Semnalizare, marcaje și amenajări rutiere;</w:t>
      </w:r>
    </w:p>
    <w:p w14:paraId="52B392C2"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Echipamente de intervenţie în condiţii meteo speciale;</w:t>
      </w:r>
    </w:p>
    <w:p w14:paraId="4E11F7D0" w14:textId="77777777" w:rsidR="0001312F" w:rsidRDefault="0067039D">
      <w:pPr>
        <w:numPr>
          <w:ilvl w:val="0"/>
          <w:numId w:val="37"/>
        </w:numPr>
        <w:pBdr>
          <w:top w:val="nil"/>
          <w:left w:val="nil"/>
          <w:bottom w:val="nil"/>
          <w:right w:val="nil"/>
          <w:between w:val="nil"/>
        </w:pBdr>
        <w:spacing w:after="0"/>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Digitalizarea elementelor de siguranţă a circulației;</w:t>
      </w:r>
    </w:p>
    <w:p w14:paraId="225CD083" w14:textId="77777777" w:rsidR="0001312F" w:rsidRDefault="0067039D">
      <w:pPr>
        <w:numPr>
          <w:ilvl w:val="0"/>
          <w:numId w:val="37"/>
        </w:numPr>
        <w:pBdr>
          <w:top w:val="nil"/>
          <w:left w:val="nil"/>
          <w:bottom w:val="nil"/>
          <w:right w:val="nil"/>
          <w:between w:val="nil"/>
        </w:pBdr>
        <w:ind w:left="1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strategice și de pregătire a proiectelor din aria de eligibilitate a axei.</w:t>
      </w:r>
    </w:p>
    <w:p w14:paraId="5DB80549"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vor fi finanțate măsuri de siguranță rutieră pe 460 km de drumuri.</w:t>
      </w:r>
    </w:p>
    <w:p w14:paraId="77AF973C" w14:textId="77777777" w:rsidR="0001312F" w:rsidRDefault="0001312F">
      <w:pPr>
        <w:rPr>
          <w:rFonts w:ascii="Times New Roman" w:eastAsia="Times New Roman" w:hAnsi="Times New Roman" w:cs="Times New Roman"/>
          <w:sz w:val="24"/>
          <w:szCs w:val="24"/>
        </w:rPr>
      </w:pPr>
    </w:p>
    <w:p w14:paraId="2649D135" w14:textId="77777777" w:rsidR="0001312F" w:rsidRDefault="0001312F">
      <w:pPr>
        <w:rPr>
          <w:rFonts w:ascii="Times New Roman" w:eastAsia="Times New Roman" w:hAnsi="Times New Roman" w:cs="Times New Roman"/>
          <w:sz w:val="24"/>
          <w:szCs w:val="24"/>
        </w:rPr>
      </w:pPr>
    </w:p>
    <w:p w14:paraId="78EBB432" w14:textId="77777777" w:rsidR="0001312F" w:rsidRDefault="0001312F">
      <w:pPr>
        <w:rPr>
          <w:rFonts w:ascii="Times New Roman" w:eastAsia="Times New Roman" w:hAnsi="Times New Roman" w:cs="Times New Roman"/>
          <w:sz w:val="24"/>
          <w:szCs w:val="24"/>
        </w:rPr>
      </w:pPr>
    </w:p>
    <w:p w14:paraId="056CC91F" w14:textId="77777777" w:rsidR="0001312F" w:rsidRDefault="0001312F">
      <w:pPr>
        <w:rPr>
          <w:rFonts w:ascii="Times New Roman" w:eastAsia="Times New Roman" w:hAnsi="Times New Roman" w:cs="Times New Roman"/>
          <w:sz w:val="24"/>
          <w:szCs w:val="24"/>
        </w:rPr>
      </w:pPr>
    </w:p>
    <w:p w14:paraId="396C4D8E" w14:textId="77777777" w:rsidR="0001312F" w:rsidRDefault="0001312F">
      <w:pPr>
        <w:rPr>
          <w:rFonts w:ascii="Times New Roman" w:eastAsia="Times New Roman" w:hAnsi="Times New Roman" w:cs="Times New Roman"/>
          <w:sz w:val="24"/>
          <w:szCs w:val="24"/>
        </w:rPr>
      </w:pPr>
    </w:p>
    <w:p w14:paraId="0AE80945" w14:textId="77777777" w:rsidR="0001312F" w:rsidRDefault="0001312F">
      <w:pPr>
        <w:rPr>
          <w:rFonts w:ascii="Times New Roman" w:eastAsia="Times New Roman" w:hAnsi="Times New Roman" w:cs="Times New Roman"/>
          <w:sz w:val="24"/>
          <w:szCs w:val="24"/>
        </w:rPr>
      </w:pPr>
    </w:p>
    <w:p w14:paraId="02B856E4" w14:textId="77777777" w:rsidR="0001312F" w:rsidRDefault="0001312F">
      <w:pPr>
        <w:rPr>
          <w:rFonts w:ascii="Times New Roman" w:eastAsia="Times New Roman" w:hAnsi="Times New Roman" w:cs="Times New Roman"/>
          <w:sz w:val="24"/>
          <w:szCs w:val="24"/>
        </w:rPr>
      </w:pPr>
    </w:p>
    <w:p w14:paraId="74EA0C7E" w14:textId="77777777" w:rsidR="0001312F" w:rsidRDefault="0001312F">
      <w:pPr>
        <w:rPr>
          <w:rFonts w:ascii="Times New Roman" w:eastAsia="Times New Roman" w:hAnsi="Times New Roman" w:cs="Times New Roman"/>
          <w:sz w:val="24"/>
          <w:szCs w:val="24"/>
        </w:rPr>
      </w:pPr>
    </w:p>
    <w:p w14:paraId="51EE294C" w14:textId="77777777" w:rsidR="0001312F" w:rsidRDefault="0001312F">
      <w:pPr>
        <w:rPr>
          <w:rFonts w:ascii="Times New Roman" w:eastAsia="Times New Roman" w:hAnsi="Times New Roman" w:cs="Times New Roman"/>
          <w:sz w:val="24"/>
          <w:szCs w:val="24"/>
        </w:rPr>
      </w:pPr>
    </w:p>
    <w:p w14:paraId="38B32C31" w14:textId="77777777" w:rsidR="0001312F" w:rsidRDefault="0001312F">
      <w:pPr>
        <w:rPr>
          <w:rFonts w:ascii="Times New Roman" w:eastAsia="Times New Roman" w:hAnsi="Times New Roman" w:cs="Times New Roman"/>
          <w:sz w:val="24"/>
          <w:szCs w:val="24"/>
        </w:rPr>
      </w:pPr>
    </w:p>
    <w:p w14:paraId="4CB316A3" w14:textId="77777777" w:rsidR="0001312F" w:rsidRDefault="0001312F">
      <w:pPr>
        <w:rPr>
          <w:rFonts w:ascii="Times New Roman" w:eastAsia="Times New Roman" w:hAnsi="Times New Roman" w:cs="Times New Roman"/>
          <w:sz w:val="24"/>
          <w:szCs w:val="24"/>
        </w:rPr>
        <w:sectPr w:rsidR="0001312F">
          <w:pgSz w:w="11906" w:h="16838"/>
          <w:pgMar w:top="1440" w:right="1440" w:bottom="1440" w:left="1440" w:header="706" w:footer="706" w:gutter="0"/>
          <w:cols w:space="708"/>
        </w:sectPr>
      </w:pPr>
    </w:p>
    <w:p w14:paraId="0D7845F5"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7"/>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00"/>
        <w:gridCol w:w="1395"/>
        <w:gridCol w:w="1095"/>
        <w:gridCol w:w="7320"/>
      </w:tblGrid>
      <w:tr w:rsidR="0001312F" w14:paraId="0AB94DD9" w14:textId="77777777">
        <w:trPr>
          <w:trHeight w:val="671"/>
          <w:jc w:val="center"/>
        </w:trPr>
        <w:tc>
          <w:tcPr>
            <w:tcW w:w="480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207A3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AFD11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997474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B97698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0EF2A4FD" w14:textId="77777777">
        <w:trPr>
          <w:trHeight w:val="885"/>
          <w:jc w:val="center"/>
        </w:trPr>
        <w:tc>
          <w:tcPr>
            <w:tcW w:w="4800" w:type="dxa"/>
            <w:tcBorders>
              <w:top w:val="single" w:sz="4" w:space="0" w:color="000000"/>
              <w:left w:val="single" w:sz="4" w:space="0" w:color="000000"/>
              <w:bottom w:val="single" w:sz="4" w:space="0" w:color="000000"/>
              <w:right w:val="single" w:sz="4" w:space="0" w:color="000000"/>
            </w:tcBorders>
          </w:tcPr>
          <w:p w14:paraId="01EC287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Borders>
              <w:top w:val="single" w:sz="4" w:space="0" w:color="000000"/>
              <w:left w:val="single" w:sz="4" w:space="0" w:color="000000"/>
              <w:bottom w:val="single" w:sz="4" w:space="0" w:color="000000"/>
              <w:right w:val="single" w:sz="4" w:space="0" w:color="000000"/>
            </w:tcBorders>
          </w:tcPr>
          <w:p w14:paraId="5BD944A1"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392AC7C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Borders>
              <w:top w:val="single" w:sz="4" w:space="0" w:color="000000"/>
              <w:left w:val="single" w:sz="4" w:space="0" w:color="000000"/>
              <w:bottom w:val="single" w:sz="4" w:space="0" w:color="000000"/>
              <w:right w:val="single" w:sz="4" w:space="0" w:color="000000"/>
            </w:tcBorders>
          </w:tcPr>
          <w:p w14:paraId="3940093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vor avea un impact semnificativ previzibil asupra obiectivului de mediu de atenuare a schimbărilor climatice, luȃnd în considerare efectele directe de pe parcursul implementării și efectele primare indirecte de pe parcursul duratei de viaţă a investiţiilor.</w:t>
            </w:r>
          </w:p>
          <w:p w14:paraId="68AE8BF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creștere a siguranței rutiere au ca obiectiv asigurarea unui transport rutier sigur și fluent, reducând posibilitatea accidentelor rutiere cu efect direct asupra întreruperii circulației normale, cu efecte asupra congestiei / duratelor rutelor și implicit asupra emisiilor de GES.</w:t>
            </w:r>
          </w:p>
          <w:p w14:paraId="0852FD54"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Mai mult, sunt propuse activităţi care utilizează energie verde (semnalizarea sectoarelor de drum periculoase cu surse de lumină ce utilizează energie verde) sau care promovează eficientizarea consumului de energie, prin instalarea sistemelor de telegestiune (optimizarea consumurilor la sistemele de iluminat existente prin echiparea cu sistem de telegestiune), cu impact pozitiv asupra acestui obiectiv de mediu.</w:t>
            </w:r>
          </w:p>
          <w:p w14:paraId="0B3BC49E" w14:textId="19362BBC" w:rsidR="007A39FD" w:rsidRPr="008F11C9" w:rsidRDefault="007A39FD">
            <w:pPr>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Prin implementarea măsurilor s</w:t>
            </w:r>
            <w:r w:rsidRPr="007A39FD">
              <w:rPr>
                <w:rFonts w:ascii="Times New Roman" w:eastAsia="Times New Roman" w:hAnsi="Times New Roman" w:cs="Times New Roman"/>
                <w:sz w:val="24"/>
                <w:szCs w:val="24"/>
              </w:rPr>
              <w:t>e reduc emisiile de poluanţi atmosferici prin evitarea congestiilor de trafic, precum şi a emisele GES.</w:t>
            </w:r>
          </w:p>
        </w:tc>
      </w:tr>
      <w:tr w:rsidR="0001312F" w14:paraId="5A1C63E8"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DB02B3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3A77BF3E"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1EF07F92"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14:paraId="0B5AD9E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3766794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siguranţa rutieră nu vor avea un impact semnificativ previzibil asupra obiectivului de mediu de adaptare la schimbările climatice, luȃnd în considerare efectele directe de pe parcursul implementării și efectele primare indirecte de pe parcursul duratei de viaţă a investiţiilor. </w:t>
            </w:r>
          </w:p>
          <w:p w14:paraId="7146F353"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Lucrările de implementare a măsurilor de siguranță rutieră sunt de amploare redusă și sunt țintite pe secțiunile de infrastructură rutieră cu risc crescut de accidente. Proiectarea și implementarea activităţilor vor ţine seama de necesitatea adaptării și asigurării rezistenței construcţiilor, instalaţiilor și dotărilor privind siguranţa rutieră la schimbările climatice și la alte dezastre naturale.</w:t>
            </w:r>
          </w:p>
          <w:p w14:paraId="49F1BE3F" w14:textId="42C5E64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implementarea activităţilor privind siguranţa rutieră va permite adaptarea circulaţiei vehiculelor la diferite fenomene asociate schimbărilor climatice, prin amplasarea atenuatoarelor de impact,  semnalizarea sectoarelor de drum periculoase cu surse de lumină ce utilizează energie verde etc.</w:t>
            </w:r>
            <w:r w:rsidR="00AA55B3">
              <w:rPr>
                <w:rFonts w:ascii="Times New Roman" w:eastAsia="Times New Roman" w:hAnsi="Times New Roman" w:cs="Times New Roman"/>
                <w:sz w:val="24"/>
                <w:szCs w:val="24"/>
              </w:rPr>
              <w:t xml:space="preserve">  De asemenea se oferă o</w:t>
            </w:r>
            <w:r w:rsidR="00AA55B3" w:rsidRPr="00AA55B3">
              <w:rPr>
                <w:rFonts w:ascii="Times New Roman" w:eastAsia="Times New Roman" w:hAnsi="Times New Roman" w:cs="Times New Roman"/>
                <w:sz w:val="24"/>
                <w:szCs w:val="24"/>
              </w:rPr>
              <w:t xml:space="preserve"> mai bună adaptare la schimbările climatice prin intervenţiile la condiții meteo speciale.</w:t>
            </w:r>
          </w:p>
        </w:tc>
      </w:tr>
      <w:tr w:rsidR="0001312F" w14:paraId="31D91EF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0E31A02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tcBorders>
              <w:top w:val="single" w:sz="4" w:space="0" w:color="000000"/>
              <w:left w:val="single" w:sz="4" w:space="0" w:color="000000"/>
              <w:bottom w:val="single" w:sz="4" w:space="0" w:color="000000"/>
              <w:right w:val="single" w:sz="4" w:space="0" w:color="000000"/>
            </w:tcBorders>
          </w:tcPr>
          <w:p w14:paraId="20D924ED"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456A532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1B046B0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au un impact previzibil semnificativ asupra obiectivului de mediu privind utilizarea sustenabilă şi protecţia apelor şi a resurselor marine, luȃnd în considerare efectele directe (de pe parcursul implementării) și efectele primare indirecte de pe parcursul exploatării.</w:t>
            </w:r>
          </w:p>
          <w:p w14:paraId="138A3140"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etapa de execuţie a lucrărilor, echipelor de construcții le vor fi impuse condiţii astfel încât să se excludă orice posibilitate de apariție a unor efecte negative asupra factorilor de mediu și, în special, asupra  apei, solului și subsolului, aerului. </w:t>
            </w:r>
          </w:p>
          <w:p w14:paraId="379031F4"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Adoptarea şi implementarea submăsurilor nu implică riscuri de degradare a mediului legate de păstrarea calității apei sau de accentuarea deficitului de apă. </w:t>
            </w:r>
          </w:p>
        </w:tc>
      </w:tr>
      <w:tr w:rsidR="0001312F" w14:paraId="2D1B913B"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718645A4"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472AA933"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4AA9F6D9"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756FBD31" w14:textId="77777777"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5ABA0340" w14:textId="77777777" w:rsidR="0001312F" w:rsidRDefault="0001312F">
            <w:pPr>
              <w:ind w:hanging="23"/>
              <w:jc w:val="both"/>
              <w:rPr>
                <w:rFonts w:ascii="Times New Roman" w:eastAsia="Times New Roman" w:hAnsi="Times New Roman" w:cs="Times New Roman"/>
                <w:sz w:val="24"/>
                <w:szCs w:val="24"/>
              </w:rPr>
            </w:pPr>
          </w:p>
        </w:tc>
      </w:tr>
      <w:tr w:rsidR="0001312F" w14:paraId="3C73463A"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159F5C41"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DA2D899" w14:textId="77777777" w:rsidR="0001312F" w:rsidRDefault="0001312F">
            <w:pPr>
              <w:ind w:firstLine="708"/>
              <w:rPr>
                <w:rFonts w:ascii="Times New Roman" w:eastAsia="Times New Roman" w:hAnsi="Times New Roman" w:cs="Times New Roman"/>
                <w:sz w:val="24"/>
                <w:szCs w:val="24"/>
              </w:rPr>
            </w:pPr>
          </w:p>
        </w:tc>
        <w:tc>
          <w:tcPr>
            <w:tcW w:w="1395" w:type="dxa"/>
            <w:tcBorders>
              <w:top w:val="single" w:sz="4" w:space="0" w:color="000000"/>
              <w:left w:val="single" w:sz="4" w:space="0" w:color="000000"/>
              <w:bottom w:val="single" w:sz="4" w:space="0" w:color="000000"/>
              <w:right w:val="single" w:sz="4" w:space="0" w:color="000000"/>
            </w:tcBorders>
          </w:tcPr>
          <w:p w14:paraId="0B5C14CA" w14:textId="77777777" w:rsidR="0001312F" w:rsidRDefault="0001312F">
            <w:pPr>
              <w:ind w:firstLine="708"/>
              <w:rPr>
                <w:rFonts w:ascii="Times New Roman" w:eastAsia="Times New Roman" w:hAnsi="Times New Roman" w:cs="Times New Roman"/>
                <w:sz w:val="24"/>
                <w:szCs w:val="24"/>
              </w:rPr>
            </w:pPr>
          </w:p>
        </w:tc>
        <w:tc>
          <w:tcPr>
            <w:tcW w:w="1095" w:type="dxa"/>
            <w:tcBorders>
              <w:top w:val="single" w:sz="4" w:space="0" w:color="000000"/>
              <w:left w:val="single" w:sz="4" w:space="0" w:color="000000"/>
              <w:bottom w:val="single" w:sz="4" w:space="0" w:color="000000"/>
              <w:right w:val="single" w:sz="4" w:space="0" w:color="000000"/>
            </w:tcBorders>
          </w:tcPr>
          <w:p w14:paraId="66964D7E"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Borders>
              <w:top w:val="single" w:sz="4" w:space="0" w:color="000000"/>
              <w:left w:val="single" w:sz="4" w:space="0" w:color="000000"/>
              <w:bottom w:val="single" w:sz="4" w:space="0" w:color="000000"/>
              <w:right w:val="single" w:sz="4" w:space="0" w:color="000000"/>
            </w:tcBorders>
          </w:tcPr>
          <w:p w14:paraId="2F27B8E2"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siguranţa rutieră nu au un impact previzibil semnificativ asupra obiectivului de mediu privind prevenirea și controlul poluării aerului, apei și solului, luȃnd în considerare efectele directe (de pe parcursul implementării) și efectele primare indirecte de pe parcursul exploatării, ţinȃnd seama și de amploarea redusă a lucrărilor.</w:t>
            </w:r>
          </w:p>
          <w:p w14:paraId="21EC9556" w14:textId="258C4878"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execuţie a lucrărilor, echipelor de construcție le vor fi impuse condiţii astfel încât să se excludă orice posibilitate de apariție a unor efecte negative asupra factorilor de mediu și, în special, asupra  apei, solului și subsolului, aerului.</w:t>
            </w:r>
          </w:p>
          <w:p w14:paraId="11C4F425" w14:textId="64EF528F" w:rsidR="00913845" w:rsidRDefault="00913845">
            <w:pPr>
              <w:ind w:hanging="23"/>
              <w:jc w:val="both"/>
              <w:rPr>
                <w:rFonts w:ascii="Times New Roman" w:eastAsia="Times New Roman" w:hAnsi="Times New Roman" w:cs="Times New Roman"/>
                <w:sz w:val="24"/>
                <w:szCs w:val="24"/>
              </w:rPr>
            </w:pPr>
            <w:r w:rsidRPr="00913845">
              <w:rPr>
                <w:rFonts w:ascii="Times New Roman" w:eastAsia="Times New Roman" w:hAnsi="Times New Roman" w:cs="Times New Roman"/>
                <w:sz w:val="24"/>
                <w:szCs w:val="24"/>
              </w:rPr>
              <w:t>Pentru apă şi sol se permite un mai bun control al poluanţilor în parcări şi de reducere a riscului de poluări accidentale</w:t>
            </w:r>
            <w:r>
              <w:rPr>
                <w:rFonts w:ascii="Times New Roman" w:eastAsia="Times New Roman" w:hAnsi="Times New Roman" w:cs="Times New Roman"/>
                <w:sz w:val="24"/>
                <w:szCs w:val="24"/>
              </w:rPr>
              <w:t>.</w:t>
            </w:r>
          </w:p>
          <w:p w14:paraId="08FBDF3E" w14:textId="77777777" w:rsidR="0001312F" w:rsidRDefault="0067039D">
            <w:pPr>
              <w:ind w:hanging="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 investiţiile propuse a fi realizate se estimează că numărul accidentelor rutiere se va reduce, și implicit eventualele scurgeri accidentale de uleiuri, combustibili, cu efect asupra reducerii poluării apelor de suprafață și de adâncime, a aerului şi a solului.</w:t>
            </w:r>
          </w:p>
          <w:p w14:paraId="0C29D8EA" w14:textId="73366634" w:rsidR="008B5370" w:rsidRDefault="008B5370">
            <w:pPr>
              <w:ind w:hanging="23"/>
              <w:jc w:val="both"/>
              <w:rPr>
                <w:rFonts w:ascii="Times New Roman" w:eastAsia="Times New Roman" w:hAnsi="Times New Roman" w:cs="Times New Roman"/>
                <w:sz w:val="24"/>
                <w:szCs w:val="24"/>
              </w:rPr>
            </w:pPr>
          </w:p>
        </w:tc>
      </w:tr>
      <w:tr w:rsidR="0001312F" w14:paraId="50B1BD61" w14:textId="77777777">
        <w:trPr>
          <w:jc w:val="center"/>
        </w:trPr>
        <w:tc>
          <w:tcPr>
            <w:tcW w:w="4800" w:type="dxa"/>
            <w:tcBorders>
              <w:top w:val="single" w:sz="4" w:space="0" w:color="000000"/>
              <w:left w:val="single" w:sz="4" w:space="0" w:color="000000"/>
              <w:bottom w:val="single" w:sz="4" w:space="0" w:color="000000"/>
              <w:right w:val="single" w:sz="4" w:space="0" w:color="000000"/>
            </w:tcBorders>
          </w:tcPr>
          <w:p w14:paraId="2D59E1E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Borders>
              <w:top w:val="single" w:sz="4" w:space="0" w:color="000000"/>
              <w:left w:val="single" w:sz="4" w:space="0" w:color="000000"/>
              <w:bottom w:val="single" w:sz="4" w:space="0" w:color="000000"/>
              <w:right w:val="single" w:sz="4" w:space="0" w:color="000000"/>
            </w:tcBorders>
          </w:tcPr>
          <w:p w14:paraId="6C3C5C04" w14:textId="5ED6B439"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8B5370">
              <w:rPr>
                <w:rFonts w:ascii="Times New Roman" w:eastAsia="Times New Roman" w:hAnsi="Times New Roman" w:cs="Times New Roman"/>
                <w:b/>
                <w:sz w:val="24"/>
                <w:szCs w:val="24"/>
              </w:rPr>
              <w:t>X</w:t>
            </w:r>
          </w:p>
        </w:tc>
        <w:tc>
          <w:tcPr>
            <w:tcW w:w="1095" w:type="dxa"/>
            <w:tcBorders>
              <w:top w:val="single" w:sz="4" w:space="0" w:color="000000"/>
              <w:left w:val="single" w:sz="4" w:space="0" w:color="000000"/>
              <w:bottom w:val="single" w:sz="4" w:space="0" w:color="000000"/>
              <w:right w:val="single" w:sz="4" w:space="0" w:color="000000"/>
            </w:tcBorders>
          </w:tcPr>
          <w:p w14:paraId="62A30461" w14:textId="0E43C996" w:rsidR="0001312F" w:rsidRDefault="0001312F">
            <w:pPr>
              <w:ind w:firstLine="708"/>
              <w:rPr>
                <w:rFonts w:ascii="Times New Roman" w:eastAsia="Times New Roman" w:hAnsi="Times New Roman" w:cs="Times New Roman"/>
                <w:sz w:val="24"/>
                <w:szCs w:val="24"/>
              </w:rPr>
            </w:pPr>
          </w:p>
        </w:tc>
        <w:tc>
          <w:tcPr>
            <w:tcW w:w="7320" w:type="dxa"/>
            <w:tcBorders>
              <w:top w:val="single" w:sz="4" w:space="0" w:color="000000"/>
              <w:left w:val="single" w:sz="4" w:space="0" w:color="000000"/>
              <w:bottom w:val="single" w:sz="4" w:space="0" w:color="000000"/>
              <w:right w:val="single" w:sz="4" w:space="0" w:color="000000"/>
            </w:tcBorders>
          </w:tcPr>
          <w:p w14:paraId="22EBF20E" w14:textId="71F13D69" w:rsidR="0001312F" w:rsidRDefault="0001312F">
            <w:pPr>
              <w:ind w:hanging="23"/>
              <w:jc w:val="both"/>
              <w:rPr>
                <w:rFonts w:ascii="Times New Roman" w:eastAsia="Times New Roman" w:hAnsi="Times New Roman" w:cs="Times New Roman"/>
                <w:sz w:val="24"/>
                <w:szCs w:val="24"/>
              </w:rPr>
            </w:pPr>
          </w:p>
        </w:tc>
      </w:tr>
    </w:tbl>
    <w:p w14:paraId="4DBB1837" w14:textId="77777777" w:rsidR="0001312F" w:rsidRDefault="0001312F">
      <w:pPr>
        <w:ind w:firstLine="708"/>
        <w:rPr>
          <w:rFonts w:ascii="Times New Roman" w:eastAsia="Times New Roman" w:hAnsi="Times New Roman" w:cs="Times New Roman"/>
          <w:b/>
          <w:sz w:val="24"/>
          <w:szCs w:val="24"/>
        </w:rPr>
      </w:pPr>
    </w:p>
    <w:p w14:paraId="1D9CD7FD" w14:textId="77777777" w:rsidR="0001312F" w:rsidRDefault="0001312F">
      <w:pPr>
        <w:ind w:firstLine="708"/>
        <w:rPr>
          <w:rFonts w:ascii="Times New Roman" w:eastAsia="Times New Roman" w:hAnsi="Times New Roman" w:cs="Times New Roman"/>
          <w:b/>
          <w:sz w:val="24"/>
          <w:szCs w:val="24"/>
        </w:rPr>
      </w:pPr>
    </w:p>
    <w:p w14:paraId="2516CEDE" w14:textId="77777777" w:rsidR="0001312F" w:rsidRDefault="0001312F">
      <w:pPr>
        <w:ind w:firstLine="708"/>
        <w:rPr>
          <w:rFonts w:ascii="Times New Roman" w:eastAsia="Times New Roman" w:hAnsi="Times New Roman" w:cs="Times New Roman"/>
          <w:b/>
          <w:sz w:val="24"/>
          <w:szCs w:val="24"/>
        </w:rPr>
      </w:pPr>
    </w:p>
    <w:p w14:paraId="770AD8D6" w14:textId="77777777" w:rsidR="0001312F" w:rsidRDefault="0001312F">
      <w:pPr>
        <w:ind w:firstLine="708"/>
        <w:rPr>
          <w:rFonts w:ascii="Times New Roman" w:eastAsia="Times New Roman" w:hAnsi="Times New Roman" w:cs="Times New Roman"/>
          <w:b/>
          <w:sz w:val="24"/>
          <w:szCs w:val="24"/>
        </w:rPr>
      </w:pPr>
    </w:p>
    <w:p w14:paraId="762D80C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8"/>
        <w:tblW w:w="14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791"/>
        <w:gridCol w:w="10260"/>
      </w:tblGrid>
      <w:tr w:rsidR="0001312F" w14:paraId="1E2E6259"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shd w:val="clear" w:color="auto" w:fill="D9EAD3"/>
          </w:tcPr>
          <w:p w14:paraId="4AB32A70"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Întrebarea</w:t>
            </w:r>
          </w:p>
        </w:tc>
        <w:tc>
          <w:tcPr>
            <w:tcW w:w="791" w:type="dxa"/>
            <w:tcBorders>
              <w:top w:val="single" w:sz="4" w:space="0" w:color="000000"/>
              <w:left w:val="single" w:sz="4" w:space="0" w:color="000000"/>
              <w:bottom w:val="single" w:sz="4" w:space="0" w:color="000000"/>
              <w:right w:val="single" w:sz="4" w:space="0" w:color="000000"/>
            </w:tcBorders>
            <w:shd w:val="clear" w:color="auto" w:fill="D9EAD3"/>
          </w:tcPr>
          <w:p w14:paraId="566FEF2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tcBorders>
              <w:top w:val="single" w:sz="4" w:space="0" w:color="000000"/>
              <w:left w:val="single" w:sz="4" w:space="0" w:color="000000"/>
              <w:bottom w:val="single" w:sz="4" w:space="0" w:color="000000"/>
              <w:right w:val="single" w:sz="4" w:space="0" w:color="000000"/>
            </w:tcBorders>
            <w:shd w:val="clear" w:color="auto" w:fill="D9EAD3"/>
          </w:tcPr>
          <w:p w14:paraId="1F370E5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17361C0" w14:textId="77777777" w:rsidTr="008F11C9">
        <w:trPr>
          <w:jc w:val="center"/>
        </w:trPr>
        <w:tc>
          <w:tcPr>
            <w:tcW w:w="3315" w:type="dxa"/>
            <w:tcBorders>
              <w:top w:val="single" w:sz="4" w:space="0" w:color="000000"/>
              <w:left w:val="single" w:sz="4" w:space="0" w:color="000000"/>
              <w:bottom w:val="single" w:sz="4" w:space="0" w:color="000000"/>
              <w:right w:val="single" w:sz="4" w:space="0" w:color="000000"/>
            </w:tcBorders>
          </w:tcPr>
          <w:p w14:paraId="747FA707"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037A84F"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5240C6C6" w14:textId="77777777" w:rsidR="0001312F" w:rsidRDefault="0001312F">
            <w:pPr>
              <w:ind w:firstLine="708"/>
              <w:rPr>
                <w:rFonts w:ascii="Times New Roman" w:eastAsia="Times New Roman" w:hAnsi="Times New Roman" w:cs="Times New Roman"/>
                <w:sz w:val="24"/>
                <w:szCs w:val="24"/>
              </w:rPr>
            </w:pPr>
          </w:p>
          <w:p w14:paraId="1A167F3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6C1BEA73" w14:textId="77777777" w:rsidR="0001312F" w:rsidRDefault="0001312F">
            <w:pPr>
              <w:ind w:firstLine="708"/>
              <w:rPr>
                <w:rFonts w:ascii="Times New Roman" w:eastAsia="Times New Roman" w:hAnsi="Times New Roman" w:cs="Times New Roman"/>
                <w:sz w:val="24"/>
                <w:szCs w:val="24"/>
              </w:rPr>
            </w:pPr>
          </w:p>
          <w:p w14:paraId="05FE2CD3"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030A55A0" w14:textId="77777777" w:rsidR="0001312F" w:rsidRDefault="0001312F">
            <w:pPr>
              <w:ind w:firstLine="708"/>
              <w:rPr>
                <w:rFonts w:ascii="Times New Roman" w:eastAsia="Times New Roman" w:hAnsi="Times New Roman" w:cs="Times New Roman"/>
                <w:sz w:val="24"/>
                <w:szCs w:val="24"/>
              </w:rPr>
            </w:pPr>
          </w:p>
          <w:p w14:paraId="3E838CBA"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791" w:type="dxa"/>
            <w:tcBorders>
              <w:top w:val="single" w:sz="4" w:space="0" w:color="000000"/>
              <w:left w:val="single" w:sz="4" w:space="0" w:color="000000"/>
              <w:bottom w:val="single" w:sz="4" w:space="0" w:color="000000"/>
              <w:right w:val="single" w:sz="4" w:space="0" w:color="000000"/>
            </w:tcBorders>
          </w:tcPr>
          <w:p w14:paraId="57BA9EDA" w14:textId="77777777" w:rsidR="0001312F" w:rsidRDefault="0067039D" w:rsidP="008F11C9">
            <w:pPr>
              <w:ind w:firstLine="11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Borders>
              <w:top w:val="single" w:sz="4" w:space="0" w:color="000000"/>
              <w:left w:val="single" w:sz="4" w:space="0" w:color="000000"/>
              <w:bottom w:val="single" w:sz="4" w:space="0" w:color="000000"/>
              <w:right w:val="single" w:sz="4" w:space="0" w:color="000000"/>
            </w:tcBorders>
          </w:tcPr>
          <w:p w14:paraId="2D6CF587"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toate etapele de realizare a investițiilor în siguranța rutieră (din timpul etapei de construcție, etapei de operare și de dezafectare) se va menţine evidenţa gestiunii deşeurilor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p>
          <w:p w14:paraId="4813F7D6"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4117A4A2"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echipamente electrice și electronice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4313B72A"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de construcţii (spre exemplu, pasaje, pasarele etc),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Astfel, în conformitate cu reglementările în vigoare, deşeurile rezultate vor fi colectate selectiv în funcţie de caracteristicile lor, transportate în depozite autorizate sau predate unor operatori economici autorizați în scopul valorificării lor.</w:t>
            </w:r>
          </w:p>
          <w:p w14:paraId="666697B4"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 asemenea, și în etapele de operare și dezafectare a lucrărilor, instalaţiilor și dotărilor se vor încheia contracte cu societăţi autorizate, ce vor asigura eliminarea/valorificarea tuturor tipurilor de deşeuri generate. </w:t>
            </w:r>
          </w:p>
          <w:p w14:paraId="08D6BF3E" w14:textId="77777777" w:rsidR="0001312F" w:rsidRDefault="0067039D">
            <w:pPr>
              <w:ind w:firstLine="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submăsurile nu vor afecta în mod semnificativ obiectivul de mediu privind tranziţia către o economie circulară, inclusiv prevenire și reciclarea, întrucȃt deșeurile generate vor fi în mare măsură sortate, reciclate și reutilizate, iar resursele naturale vor fi utilizate în mod eficient.</w:t>
            </w:r>
          </w:p>
        </w:tc>
      </w:tr>
      <w:tr w:rsidR="00DA7147" w14:paraId="653066DD" w14:textId="77777777" w:rsidTr="00DA59FE">
        <w:trPr>
          <w:jc w:val="center"/>
        </w:trPr>
        <w:tc>
          <w:tcPr>
            <w:tcW w:w="3315" w:type="dxa"/>
            <w:tcBorders>
              <w:top w:val="single" w:sz="4" w:space="0" w:color="000000"/>
              <w:left w:val="single" w:sz="4" w:space="0" w:color="000000"/>
              <w:bottom w:val="single" w:sz="4" w:space="0" w:color="000000"/>
              <w:right w:val="single" w:sz="4" w:space="0" w:color="000000"/>
            </w:tcBorders>
          </w:tcPr>
          <w:p w14:paraId="556D0AD7"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5345CF25" w14:textId="77777777" w:rsidR="00DA7147" w:rsidRDefault="00DA7147" w:rsidP="00DA7147">
            <w:pPr>
              <w:numPr>
                <w:ilvl w:val="0"/>
                <w:numId w:val="3"/>
              </w:numPr>
              <w:tabs>
                <w:tab w:val="left" w:pos="1777"/>
              </w:tabs>
              <w:ind w:left="0"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8288DA4" w14:textId="77777777" w:rsidR="00DA7147" w:rsidRDefault="00DA7147" w:rsidP="00DA7147">
            <w:pPr>
              <w:tabs>
                <w:tab w:val="left" w:pos="177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F399062" w14:textId="06CEA632" w:rsidR="00DA7147" w:rsidRDefault="00DA7147" w:rsidP="00DA7147">
            <w:pPr>
              <w:ind w:firstLine="708"/>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791" w:type="dxa"/>
            <w:tcBorders>
              <w:top w:val="single" w:sz="4" w:space="0" w:color="000000"/>
              <w:left w:val="single" w:sz="4" w:space="0" w:color="000000"/>
              <w:bottom w:val="single" w:sz="4" w:space="0" w:color="000000"/>
              <w:right w:val="single" w:sz="4" w:space="0" w:color="000000"/>
            </w:tcBorders>
          </w:tcPr>
          <w:p w14:paraId="1E64C403" w14:textId="05315E4A" w:rsidR="00DA7147" w:rsidRDefault="00A06522" w:rsidP="00DA59FE">
            <w:pPr>
              <w:ind w:firstLine="110"/>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10260" w:type="dxa"/>
            <w:tcBorders>
              <w:top w:val="single" w:sz="4" w:space="0" w:color="000000"/>
              <w:left w:val="single" w:sz="4" w:space="0" w:color="000000"/>
              <w:bottom w:val="single" w:sz="4" w:space="0" w:color="000000"/>
              <w:right w:val="single" w:sz="4" w:space="0" w:color="000000"/>
            </w:tcBorders>
          </w:tcPr>
          <w:p w14:paraId="7F6F9E08" w14:textId="35677A8F" w:rsidR="00DA7147" w:rsidRDefault="0045599A"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Asupra biodiversităţii se generează un potenţial efect negativ nesemnificativ, deoarece prin implementarea unor tipuri de acţiuni</w:t>
            </w:r>
            <w:r w:rsidR="001B05A1">
              <w:rPr>
                <w:rFonts w:ascii="Times New Roman" w:eastAsia="Times New Roman" w:hAnsi="Times New Roman" w:cs="Times New Roman"/>
                <w:sz w:val="24"/>
                <w:szCs w:val="24"/>
              </w:rPr>
              <w:t xml:space="preserve"> precum</w:t>
            </w:r>
            <w:r w:rsidR="009125E0">
              <w:rPr>
                <w:rFonts w:ascii="Times New Roman" w:eastAsia="Times New Roman" w:hAnsi="Times New Roman" w:cs="Times New Roman"/>
                <w:sz w:val="24"/>
                <w:szCs w:val="24"/>
              </w:rPr>
              <w:t xml:space="preserve"> montare parapete rutiere creşte riscul de fragmentare a habitatelor şi creste riscul de colizi</w:t>
            </w:r>
            <w:r w:rsidR="00963EAD">
              <w:rPr>
                <w:rFonts w:ascii="Times New Roman" w:eastAsia="Times New Roman" w:hAnsi="Times New Roman" w:cs="Times New Roman"/>
                <w:sz w:val="24"/>
                <w:szCs w:val="24"/>
              </w:rPr>
              <w:t xml:space="preserve">une. De asemenea prin utilizarea neadecvată a surselor de lumină, creste nivelul de poluare </w:t>
            </w:r>
            <w:r w:rsidR="00361AB9">
              <w:rPr>
                <w:rFonts w:ascii="Times New Roman" w:eastAsia="Times New Roman" w:hAnsi="Times New Roman" w:cs="Times New Roman"/>
                <w:sz w:val="24"/>
                <w:szCs w:val="24"/>
              </w:rPr>
              <w:t>luminoasă</w:t>
            </w:r>
            <w:r w:rsidR="00963EAD">
              <w:rPr>
                <w:rFonts w:ascii="Times New Roman" w:eastAsia="Times New Roman" w:hAnsi="Times New Roman" w:cs="Times New Roman"/>
                <w:sz w:val="24"/>
                <w:szCs w:val="24"/>
              </w:rPr>
              <w:t xml:space="preserve">. </w:t>
            </w:r>
          </w:p>
          <w:p w14:paraId="64DAE63B" w14:textId="5A010E10" w:rsidR="006418AD" w:rsidRDefault="00963EAD" w:rsidP="00963E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raportul de mediu au fost propuse</w:t>
            </w:r>
            <w:r w:rsidR="00DE57BE">
              <w:rPr>
                <w:rFonts w:ascii="Times New Roman" w:eastAsia="Times New Roman" w:hAnsi="Times New Roman" w:cs="Times New Roman"/>
                <w:sz w:val="24"/>
                <w:szCs w:val="24"/>
              </w:rPr>
              <w:t xml:space="preserve"> următoarele</w:t>
            </w:r>
            <w:r>
              <w:rPr>
                <w:rFonts w:ascii="Times New Roman" w:eastAsia="Times New Roman" w:hAnsi="Times New Roman" w:cs="Times New Roman"/>
                <w:sz w:val="24"/>
                <w:szCs w:val="24"/>
              </w:rPr>
              <w:t xml:space="preserve"> măsuri care să reducă efectele negative identificate, </w:t>
            </w:r>
            <w:r w:rsidR="00923677">
              <w:rPr>
                <w:rFonts w:ascii="Times New Roman" w:eastAsia="Times New Roman" w:hAnsi="Times New Roman" w:cs="Times New Roman"/>
                <w:sz w:val="24"/>
                <w:szCs w:val="24"/>
              </w:rPr>
              <w:t>asigurând</w:t>
            </w:r>
            <w:r w:rsidR="00D43C75">
              <w:rPr>
                <w:rFonts w:ascii="Times New Roman" w:eastAsia="Times New Roman" w:hAnsi="Times New Roman" w:cs="Times New Roman"/>
                <w:sz w:val="24"/>
                <w:szCs w:val="24"/>
              </w:rPr>
              <w:t xml:space="preserve"> astfel un efect rezidual nesemnificativ</w:t>
            </w:r>
            <w:r w:rsidR="00DE57BE">
              <w:rPr>
                <w:rFonts w:ascii="Times New Roman" w:eastAsia="Times New Roman" w:hAnsi="Times New Roman" w:cs="Times New Roman"/>
                <w:sz w:val="24"/>
                <w:szCs w:val="24"/>
              </w:rPr>
              <w:t>.</w:t>
            </w:r>
          </w:p>
          <w:p w14:paraId="168282C8" w14:textId="77777777" w:rsidR="006418AD" w:rsidRDefault="006418AD" w:rsidP="006418AD">
            <w:pPr>
              <w:pStyle w:val="ListParagraph"/>
              <w:numPr>
                <w:ilvl w:val="0"/>
                <w:numId w:val="64"/>
              </w:numPr>
              <w:jc w:val="both"/>
              <w:rPr>
                <w:rFonts w:ascii="Times New Roman" w:eastAsia="Times New Roman" w:hAnsi="Times New Roman" w:cs="Times New Roman"/>
                <w:sz w:val="24"/>
                <w:szCs w:val="24"/>
              </w:rPr>
            </w:pPr>
            <w:r w:rsidRPr="006418AD">
              <w:rPr>
                <w:rFonts w:ascii="Times New Roman" w:eastAsia="Times New Roman" w:hAnsi="Times New Roman" w:cs="Times New Roman"/>
                <w:sz w:val="24"/>
                <w:szCs w:val="24"/>
              </w:rPr>
              <w:t>Toate proiectele pentru care va fi prevăzută montarea de parapeţi mediani între sensurile de circulaţie trebuie sa asigure dotarea parapeţilor cu puncte de traversare pentru faună (întreruperi în parapet), pentru a evita apariţia unor capcane şi mortalitatea faunei</w:t>
            </w:r>
            <w:r>
              <w:rPr>
                <w:rFonts w:ascii="Times New Roman" w:eastAsia="Times New Roman" w:hAnsi="Times New Roman" w:cs="Times New Roman"/>
                <w:sz w:val="24"/>
                <w:szCs w:val="24"/>
              </w:rPr>
              <w:t>;</w:t>
            </w:r>
          </w:p>
          <w:p w14:paraId="1AC07AB6" w14:textId="598FE4C9" w:rsidR="006418AD" w:rsidRPr="008F11C9" w:rsidRDefault="004F2F6E" w:rsidP="008F11C9">
            <w:pPr>
              <w:pStyle w:val="ListParagraph"/>
              <w:numPr>
                <w:ilvl w:val="0"/>
                <w:numId w:val="64"/>
              </w:numPr>
              <w:jc w:val="both"/>
              <w:rPr>
                <w:rFonts w:ascii="Times New Roman" w:eastAsia="Times New Roman" w:hAnsi="Times New Roman" w:cs="Times New Roman"/>
                <w:sz w:val="24"/>
                <w:szCs w:val="24"/>
              </w:rPr>
            </w:pPr>
            <w:r w:rsidRPr="004F2F6E">
              <w:rPr>
                <w:rFonts w:ascii="Times New Roman" w:eastAsia="Times New Roman" w:hAnsi="Times New Roman" w:cs="Times New Roman"/>
                <w:sz w:val="24"/>
                <w:szCs w:val="24"/>
              </w:rPr>
              <w:t>Reducerea impactului poluării luminoase trebuie să reprezinte o preocupare constantă pentru toate proiectele PT. Acestea vor trebui să adapteze măsuri de evitare a iluminării excesive şi de adaptare a surselor de lumină la cerinţele speciilor de faună (din punct de vedere al tipului de lumină şi a orientării sursei de lumină), în principal în interiorul şi vecinătatea ariilor naturale protejate. O atenţie deosebită trebuie acordată evitării surselor de lumină care atrag speciile zburătoare în zonele cu risc de coliziune de la nivelul drumurilor şi căilor ferate.</w:t>
            </w:r>
          </w:p>
        </w:tc>
      </w:tr>
    </w:tbl>
    <w:p w14:paraId="3279CD61" w14:textId="77777777" w:rsidR="0001312F" w:rsidRDefault="0001312F">
      <w:pPr>
        <w:ind w:firstLine="708"/>
        <w:rPr>
          <w:rFonts w:ascii="Times New Roman" w:eastAsia="Times New Roman" w:hAnsi="Times New Roman" w:cs="Times New Roman"/>
          <w:b/>
          <w:sz w:val="24"/>
          <w:szCs w:val="24"/>
        </w:rPr>
      </w:pPr>
    </w:p>
    <w:p w14:paraId="05C8D8C9" w14:textId="77777777" w:rsidR="0001312F" w:rsidRDefault="0001312F">
      <w:pPr>
        <w:ind w:firstLine="708"/>
        <w:rPr>
          <w:rFonts w:ascii="Times New Roman" w:eastAsia="Times New Roman" w:hAnsi="Times New Roman" w:cs="Times New Roman"/>
          <w:b/>
          <w:sz w:val="24"/>
          <w:szCs w:val="24"/>
        </w:rPr>
        <w:sectPr w:rsidR="0001312F">
          <w:pgSz w:w="16838" w:h="11906" w:orient="landscape"/>
          <w:pgMar w:top="1440" w:right="1440" w:bottom="1440" w:left="1440" w:header="706" w:footer="706" w:gutter="0"/>
          <w:cols w:space="708"/>
        </w:sectPr>
      </w:pPr>
    </w:p>
    <w:p w14:paraId="053142A2"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17" w:name="_Toc117679940"/>
      <w:r>
        <w:rPr>
          <w:rFonts w:ascii="Times New Roman" w:eastAsia="Times New Roman" w:hAnsi="Times New Roman" w:cs="Times New Roman"/>
          <w:sz w:val="24"/>
          <w:szCs w:val="24"/>
        </w:rPr>
        <w:lastRenderedPageBreak/>
        <w:t xml:space="preserve">2.4. </w:t>
      </w:r>
      <w:r>
        <w:rPr>
          <w:rFonts w:ascii="Times New Roman" w:eastAsia="Times New Roman" w:hAnsi="Times New Roman" w:cs="Times New Roman"/>
          <w:b/>
          <w:sz w:val="24"/>
          <w:szCs w:val="24"/>
        </w:rPr>
        <w:t>Prioritatea 4</w:t>
      </w:r>
      <w:r>
        <w:rPr>
          <w:rFonts w:ascii="Times New Roman" w:eastAsia="Times New Roman" w:hAnsi="Times New Roman" w:cs="Times New Roman"/>
          <w:sz w:val="24"/>
          <w:szCs w:val="24"/>
        </w:rPr>
        <w:t xml:space="preserve"> - Creșterea eficienței căilor ferate române</w:t>
      </w:r>
      <w:bookmarkEnd w:id="17"/>
    </w:p>
    <w:p w14:paraId="4DD5E963" w14:textId="77777777" w:rsidR="0001312F" w:rsidRDefault="0001312F">
      <w:pPr>
        <w:ind w:firstLine="708"/>
        <w:jc w:val="both"/>
        <w:rPr>
          <w:rFonts w:ascii="Times New Roman" w:eastAsia="Times New Roman" w:hAnsi="Times New Roman" w:cs="Times New Roman"/>
          <w:sz w:val="24"/>
          <w:szCs w:val="24"/>
        </w:rPr>
      </w:pPr>
    </w:p>
    <w:p w14:paraId="22675F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în cadrul acestei priorități vor fi focalizate pe obiectivele strategice la nivel european și nivel național sintetizate în cadrul Programului Investițional, în particular continuarea modernizării rețelei primare de cale ferată a României care prevede secțiuni situate predominant pe rețeaua TEN-T centrală. În cadrul rețelei primare de cale ferată o atenție deosebită va fi acordată finalizării proiectelor demarate cu finanțare europeană în perioada 2014-2020.</w:t>
      </w:r>
    </w:p>
    <w:p w14:paraId="72B702CA" w14:textId="77777777" w:rsidR="0001312F" w:rsidRDefault="0001312F">
      <w:pPr>
        <w:jc w:val="both"/>
        <w:rPr>
          <w:rFonts w:ascii="Times New Roman" w:eastAsia="Times New Roman" w:hAnsi="Times New Roman" w:cs="Times New Roman"/>
          <w:sz w:val="24"/>
          <w:szCs w:val="24"/>
        </w:rPr>
      </w:pPr>
    </w:p>
    <w:p w14:paraId="71F2E3A2"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8" w:name="_Toc117679941"/>
      <w:r>
        <w:rPr>
          <w:rFonts w:ascii="Times New Roman" w:eastAsia="Times New Roman" w:hAnsi="Times New Roman" w:cs="Times New Roman"/>
        </w:rPr>
        <w:t>2.4.1. Descrierea investițiilor</w:t>
      </w:r>
      <w:bookmarkEnd w:id="18"/>
      <w:r>
        <w:rPr>
          <w:rFonts w:ascii="Times New Roman" w:eastAsia="Times New Roman" w:hAnsi="Times New Roman" w:cs="Times New Roman"/>
        </w:rPr>
        <w:t xml:space="preserve"> </w:t>
      </w:r>
    </w:p>
    <w:p w14:paraId="0E13BF8E" w14:textId="77777777" w:rsidR="0001312F" w:rsidRDefault="0001312F">
      <w:pPr>
        <w:rPr>
          <w:rFonts w:ascii="Times New Roman" w:eastAsia="Times New Roman" w:hAnsi="Times New Roman" w:cs="Times New Roman"/>
          <w:sz w:val="24"/>
          <w:szCs w:val="24"/>
        </w:rPr>
      </w:pPr>
    </w:p>
    <w:p w14:paraId="26A86E40" w14:textId="4ECDE964"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w:t>
      </w:r>
      <w:r w:rsidR="009C4062">
        <w:rPr>
          <w:rFonts w:ascii="Times New Roman" w:eastAsia="Times New Roman" w:hAnsi="Times New Roman" w:cs="Times New Roman"/>
          <w:sz w:val="24"/>
          <w:szCs w:val="24"/>
        </w:rPr>
        <w:t xml:space="preserve">PT </w:t>
      </w:r>
      <w:r>
        <w:rPr>
          <w:rFonts w:ascii="Times New Roman" w:eastAsia="Times New Roman" w:hAnsi="Times New Roman" w:cs="Times New Roman"/>
          <w:sz w:val="24"/>
          <w:szCs w:val="24"/>
        </w:rPr>
        <w:t xml:space="preserve">vor fi complementare cu cele din cadrul PNRR și cu investițiile propuse în cadrul CEF, fiind însoțite de măsuri de protecția naturii și a biodiversității (infrastructură verde) în legătură directă cu infrastructura de transport feroviară. </w:t>
      </w:r>
    </w:p>
    <w:p w14:paraId="269A418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așteaptă ca prin realizarea rețelei primare de infrastructură feroviară a României să se contribuie semnificativ la îmbunătățirea conectivității și mobilității europene, transfrontaliere și naționale, diminuarea disparităților regionale, creșterea siguranței feroviare, cu impact asupra creșteri numărului de utilizatori pentru transprtul de marfă și persoane.</w:t>
      </w:r>
    </w:p>
    <w:p w14:paraId="06D18FD3" w14:textId="4C7F9218"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corelarea cu investițiile aferente PNRR (modernizare completă, renewal, quick wins, centralizări) și CEF,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sunt propuse la finanțare proiecte situate exclusiv pe rețeaua TEN-T, după cum urmează:</w:t>
      </w:r>
    </w:p>
    <w:p w14:paraId="30873DB6"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fazate:</w:t>
      </w:r>
    </w:p>
    <w:p w14:paraId="4F574176" w14:textId="77777777" w:rsidR="0001312F" w:rsidRDefault="0067039D">
      <w:pPr>
        <w:ind w:firstLine="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Proiecte fazate care răspund condițiilor de eligibilitate ale acestei priorități</w:t>
      </w:r>
    </w:p>
    <w:p w14:paraId="61773D9B"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 de investiţii:</w:t>
      </w:r>
    </w:p>
    <w:p w14:paraId="3683592C"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Predeal – Brașov;</w:t>
      </w:r>
    </w:p>
    <w:p w14:paraId="6800BC1B"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Craiova - Dr. Tr. Severin – Caransebeș;</w:t>
      </w:r>
    </w:p>
    <w:p w14:paraId="7F3D50D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Teiuș - Cp. Turzii - Cluj-Napoca;</w:t>
      </w:r>
    </w:p>
    <w:p w14:paraId="6E52492D"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Port Constanța – Palas;</w:t>
      </w:r>
    </w:p>
    <w:p w14:paraId="65CE28E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Complexului feroviar București, inclusiv dimensiunea metropolitană;</w:t>
      </w:r>
    </w:p>
    <w:p w14:paraId="3102F80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Pașcani - Iași – Ungheni;</w:t>
      </w:r>
    </w:p>
    <w:p w14:paraId="59F14E6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Modernizarea secțiunii de cale ferată Ploiești Triaj – Focșani – Roman – Pașcani - Dărmănești - Vicșani Frontieră;</w:t>
      </w:r>
    </w:p>
    <w:p w14:paraId="19589710"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stații CF</w:t>
      </w:r>
    </w:p>
    <w:p w14:paraId="76A800A6"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reabilitare poduri, podețe, tuneluri</w:t>
      </w:r>
    </w:p>
    <w:p w14:paraId="262DD73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modernizare a trecerilor la nivel cu calea ferată</w:t>
      </w:r>
    </w:p>
    <w:p w14:paraId="47A63D02"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Proiect de creștere a vitezei peste 160 km/h pe sectoarele deja modernizate și unde parametrii tehnici și operaționali permit viteză crescută,</w:t>
      </w:r>
    </w:p>
    <w:p w14:paraId="4F7F625F"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Studiu pentru trenul de mare viteză (HSR)</w:t>
      </w:r>
    </w:p>
    <w:p w14:paraId="64EDBEE3" w14:textId="77777777" w:rsidR="0001312F" w:rsidRDefault="0001312F">
      <w:pPr>
        <w:ind w:firstLine="708"/>
        <w:rPr>
          <w:rFonts w:ascii="Times New Roman" w:eastAsia="Times New Roman" w:hAnsi="Times New Roman" w:cs="Times New Roman"/>
          <w:sz w:val="24"/>
          <w:szCs w:val="24"/>
        </w:rPr>
      </w:pPr>
    </w:p>
    <w:p w14:paraId="0FC0E548"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 de rezervă:</w:t>
      </w:r>
    </w:p>
    <w:p w14:paraId="7628B45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Craiova-București</w:t>
      </w:r>
    </w:p>
    <w:p w14:paraId="129AC4B3"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Craiova - Calafat</w:t>
      </w:r>
    </w:p>
    <w:p w14:paraId="5678B3E9"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Suceava - Ilva Mică;</w:t>
      </w:r>
    </w:p>
    <w:p w14:paraId="6F9AC3EA"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Ilva Mică – Apahida;</w:t>
      </w:r>
    </w:p>
    <w:p w14:paraId="1F5AD2C8" w14:textId="77777777" w:rsidR="0001312F" w:rsidRDefault="0067039D">
      <w:pPr>
        <w:spacing w:after="0"/>
        <w:ind w:left="108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Timișoara - Stamora Moravița frontieră.</w:t>
      </w:r>
    </w:p>
    <w:p w14:paraId="7A551659" w14:textId="77777777" w:rsidR="0001312F" w:rsidRDefault="0001312F">
      <w:pPr>
        <w:jc w:val="both"/>
        <w:rPr>
          <w:rFonts w:ascii="Times New Roman" w:eastAsia="Times New Roman" w:hAnsi="Times New Roman" w:cs="Times New Roman"/>
          <w:sz w:val="24"/>
          <w:szCs w:val="24"/>
        </w:rPr>
      </w:pPr>
    </w:p>
    <w:p w14:paraId="2D47506A"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experiențele trecutului, parametrii tehnici vizați de noile investiți în rețeaua primară sprijinite prin intermediul acestei priorități sunt aliniați cu cei prevăzuți pentru rețeaua TEN-T (centrală) în cadrul Regulamentului 1315/2013, în particular electrificare, ERTMS nivel 2, viteza liniei de 100 km/h, ecartament de 1435 mm, treceri la nivel cu bariere automate și posibilitatea circulației trenurilor de 740 m lungime. </w:t>
      </w:r>
    </w:p>
    <w:p w14:paraId="23E4C48E"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aceste considerente se încurajează utilizarea modernizării on-line cu condiția introducerii ERTMS și modernizării/reconstrucției structurilor necesare. În acest sens vor fi susținute acțiunile pentru achiziție de mijloacele de lucru (trenuri de lucru și echipamente) pentru asigurarea proceselor modernizare a infrastructurilor feroviare de către administratorul infrastructurii conform parametrilor tehnici menționați mai sus.</w:t>
      </w:r>
    </w:p>
    <w:p w14:paraId="1A555175" w14:textId="77777777" w:rsidR="0001312F" w:rsidRDefault="0001312F">
      <w:pPr>
        <w:rPr>
          <w:rFonts w:ascii="Times New Roman" w:eastAsia="Times New Roman" w:hAnsi="Times New Roman" w:cs="Times New Roman"/>
          <w:sz w:val="24"/>
          <w:szCs w:val="24"/>
        </w:rPr>
      </w:pPr>
    </w:p>
    <w:p w14:paraId="5622AF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19" w:name="_Toc117679942"/>
      <w:r>
        <w:rPr>
          <w:rFonts w:ascii="Times New Roman" w:eastAsia="Times New Roman" w:hAnsi="Times New Roman" w:cs="Times New Roman"/>
        </w:rPr>
        <w:t>2.4.2. Acțiuni finanțate</w:t>
      </w:r>
      <w:bookmarkEnd w:id="19"/>
    </w:p>
    <w:p w14:paraId="0BA52C41" w14:textId="77777777" w:rsidR="0001312F" w:rsidRDefault="0001312F">
      <w:pPr>
        <w:rPr>
          <w:rFonts w:ascii="Times New Roman" w:eastAsia="Times New Roman" w:hAnsi="Times New Roman" w:cs="Times New Roman"/>
          <w:sz w:val="24"/>
          <w:szCs w:val="24"/>
        </w:rPr>
      </w:pPr>
    </w:p>
    <w:p w14:paraId="5A9F73FB"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vederea atingerii standardelor impuse la nivel european, modul de abordare al proiectelor de modernizare,  prevăzut în cadrul Programul Investițional și consistent cu proiectele complementare incluse în cadrul PNRR, presupune utilizarea unor trenuri de lucru, a căror finanțare este susținută și prin această prioritate. </w:t>
      </w:r>
    </w:p>
    <w:p w14:paraId="32315121" w14:textId="77777777" w:rsidR="0001312F" w:rsidRDefault="0001312F">
      <w:pPr>
        <w:spacing w:after="0"/>
        <w:ind w:firstLine="708"/>
        <w:jc w:val="both"/>
        <w:rPr>
          <w:rFonts w:ascii="Times New Roman" w:eastAsia="Times New Roman" w:hAnsi="Times New Roman" w:cs="Times New Roman"/>
          <w:sz w:val="24"/>
          <w:szCs w:val="24"/>
        </w:rPr>
      </w:pPr>
    </w:p>
    <w:p w14:paraId="29023CE0"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această abordare pe faze, etapa 1 este complementară cu etapa a II-a, lucrările la infrastructura feroviară fiind stabilite integrat încă de la început.</w:t>
      </w:r>
    </w:p>
    <w:p w14:paraId="55E627B4" w14:textId="77777777" w:rsidR="0001312F" w:rsidRDefault="0001312F">
      <w:pPr>
        <w:spacing w:after="0"/>
        <w:ind w:firstLine="708"/>
        <w:jc w:val="both"/>
        <w:rPr>
          <w:rFonts w:ascii="Times New Roman" w:eastAsia="Times New Roman" w:hAnsi="Times New Roman" w:cs="Times New Roman"/>
          <w:sz w:val="24"/>
          <w:szCs w:val="24"/>
        </w:rPr>
      </w:pPr>
    </w:p>
    <w:p w14:paraId="798E056B" w14:textId="77777777" w:rsidR="0001312F" w:rsidRDefault="0067039D">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Modernizare completă în cadrul unui proiect integrat</w:t>
      </w:r>
    </w:p>
    <w:p w14:paraId="5872E2B0" w14:textId="77777777" w:rsidR="0001312F" w:rsidRDefault="0001312F">
      <w:pPr>
        <w:spacing w:after="0"/>
        <w:ind w:firstLine="708"/>
        <w:jc w:val="both"/>
        <w:rPr>
          <w:rFonts w:ascii="Times New Roman" w:eastAsia="Times New Roman" w:hAnsi="Times New Roman" w:cs="Times New Roman"/>
          <w:sz w:val="24"/>
          <w:szCs w:val="24"/>
        </w:rPr>
      </w:pPr>
    </w:p>
    <w:p w14:paraId="4A6F6DD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cadrul acestei priorități vor fi finanțate următoarele tipuri de acțiuni:</w:t>
      </w:r>
    </w:p>
    <w:p w14:paraId="2FD61DF6"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Construcție / reabilitare completă a căii ferate, pe o lungime de 316 km;</w:t>
      </w:r>
    </w:p>
    <w:p w14:paraId="44483112"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Instalarea și operaționalizarea sistemului ERTMS nivel 2, pe 360 km de cale ferată;</w:t>
      </w:r>
    </w:p>
    <w:p w14:paraId="208F5D0D"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tip reînnoire pe 44 de km, ce vizează lucrări de înlocuire de șină, traversă, piatră spartă, pe amplasamentul inițial al liniilor de cale ferată, realizate în scopul aducerii liniei la viteza constructivă.</w:t>
      </w:r>
    </w:p>
    <w:p w14:paraId="36F18993" w14:textId="77777777" w:rsidR="0001312F" w:rsidRDefault="0067039D">
      <w:pPr>
        <w:numPr>
          <w:ilvl w:val="0"/>
          <w:numId w:val="39"/>
        </w:numPr>
        <w:pBdr>
          <w:top w:val="nil"/>
          <w:left w:val="nil"/>
          <w:bottom w:val="nil"/>
          <w:right w:val="nil"/>
          <w:between w:val="nil"/>
        </w:pBdr>
        <w:spacing w:after="0"/>
        <w:jc w:val="both"/>
        <w:rPr>
          <w:rFonts w:ascii="Times New Roman" w:eastAsia="Times New Roman" w:hAnsi="Times New Roman" w:cs="Times New Roman"/>
          <w:color w:val="000000"/>
          <w:sz w:val="24"/>
          <w:szCs w:val="24"/>
        </w:rPr>
        <w:sectPr w:rsidR="0001312F">
          <w:pgSz w:w="11906" w:h="16838"/>
          <w:pgMar w:top="1440" w:right="1440" w:bottom="1440" w:left="1440" w:header="706" w:footer="706" w:gutter="0"/>
          <w:cols w:space="708"/>
        </w:sectPr>
      </w:pPr>
      <w:r>
        <w:rPr>
          <w:rFonts w:ascii="Times New Roman" w:eastAsia="Times New Roman" w:hAnsi="Times New Roman" w:cs="Times New Roman"/>
          <w:color w:val="000000"/>
          <w:sz w:val="24"/>
          <w:szCs w:val="24"/>
        </w:rPr>
        <w:t>17 gări și halte feroviare modernizate.</w:t>
      </w:r>
    </w:p>
    <w:p w14:paraId="6B379BAD"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9"/>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0"/>
        <w:gridCol w:w="2400"/>
        <w:gridCol w:w="1395"/>
        <w:gridCol w:w="1095"/>
        <w:gridCol w:w="7320"/>
      </w:tblGrid>
      <w:tr w:rsidR="0001312F" w14:paraId="5D13DACC" w14:textId="77777777">
        <w:trPr>
          <w:trHeight w:val="671"/>
          <w:jc w:val="center"/>
        </w:trPr>
        <w:tc>
          <w:tcPr>
            <w:tcW w:w="4800" w:type="dxa"/>
            <w:gridSpan w:val="2"/>
            <w:shd w:val="clear" w:color="auto" w:fill="BFBFBF"/>
            <w:vAlign w:val="center"/>
          </w:tcPr>
          <w:p w14:paraId="4F5C1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BBB870C"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04389E1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B15C42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4C8528B0" w14:textId="77777777">
        <w:trPr>
          <w:trHeight w:val="1474"/>
          <w:jc w:val="center"/>
        </w:trPr>
        <w:tc>
          <w:tcPr>
            <w:tcW w:w="2400" w:type="dxa"/>
            <w:vMerge w:val="restart"/>
          </w:tcPr>
          <w:p w14:paraId="5DBDA5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2400" w:type="dxa"/>
          </w:tcPr>
          <w:p w14:paraId="4F91F73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2DC6D014"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3F295ED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3128343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6E67570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0D8375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0739B94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4643468C" w14:textId="77777777">
        <w:trPr>
          <w:trHeight w:val="1474"/>
          <w:jc w:val="center"/>
        </w:trPr>
        <w:tc>
          <w:tcPr>
            <w:tcW w:w="2400" w:type="dxa"/>
            <w:vMerge/>
          </w:tcPr>
          <w:p w14:paraId="2B76D09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82DE75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tcPr>
          <w:p w14:paraId="64118378"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0EED84A3"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49062639"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de acest tip sunt eligibile în cadrul domeniului de intervenție 071 - Sistemul european de management al traficului feroviar (ERTMS) din anexa VI la Regulamentul (UE) nr. 2021/241, cu un coeficient de 40% pentru obiectivul privind schimbările climatice.</w:t>
            </w:r>
          </w:p>
          <w:p w14:paraId="0BF53DB7"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ERTMS este compus din două subsisteme bazate pe software: subsistemul de cale (la sol) și subsistemul de la bord, din care doar subsistemul de cale face obiectul prezentei sub-măsuri. Sistemul de cale și sistemul instalat la bordul vehiculelor vor face schimb de informații permițând supravegherea continuă a vitezei maxime admise pentru funcționare.</w:t>
            </w:r>
          </w:p>
          <w:p w14:paraId="5A4D4343"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afară de creșterea gradului de interoperabilitate la nivelul căilor ferate de la nivel european, ERTMS are potențialul de a îmbunătăți capacitatea, siguranţa și viteza transportului feroviar. În situaţia în care ar fi implementat integral, ERTMS ar ajuta transportul feroviar să devină mai competitiv comparativ cu alte moduri de transport, contribuind, astfel, la îndeplinirea obiectivelor de mediu ale UE.</w:t>
            </w:r>
          </w:p>
          <w:p w14:paraId="611A3A81"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avea un impact semnificativ previzibil asupra acestui obiectiv de mediu, luȃnd în considerare atȃt efectele directe de pe parcursul implementării, cȃt și efectele indirecte de pe parcursul duratei de viaţă a investiţiilor.</w:t>
            </w:r>
          </w:p>
        </w:tc>
      </w:tr>
      <w:tr w:rsidR="0001312F" w14:paraId="6B32B82C" w14:textId="77777777">
        <w:trPr>
          <w:trHeight w:val="1780"/>
          <w:jc w:val="center"/>
        </w:trPr>
        <w:tc>
          <w:tcPr>
            <w:tcW w:w="2400" w:type="dxa"/>
            <w:vMerge/>
          </w:tcPr>
          <w:p w14:paraId="1DF640FA"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0B2781A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05A68EEF"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61C62C6E"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0AA36E5A"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de acest tip nu vor avea un impact semnificativ previzibil asupra obiectivului de mediu privind atenuarea schimbărilor climatice, luȃnd în considerare atȃt efectele directe de pe parcursul implementării, </w:t>
            </w:r>
            <w:r>
              <w:rPr>
                <w:rFonts w:ascii="Times New Roman" w:eastAsia="Times New Roman" w:hAnsi="Times New Roman" w:cs="Times New Roman"/>
                <w:sz w:val="24"/>
                <w:szCs w:val="24"/>
              </w:rPr>
              <w:lastRenderedPageBreak/>
              <w:t>cȃt și efectele primare indirecte de pe parcursul duratei de viaţă a investiţiei.</w:t>
            </w:r>
          </w:p>
          <w:p w14:paraId="3ACD25DF"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Această submăsură este eligibilă în cadrul domeniului de intervenție 069a – Alte căi ferate reconstruite sau modernizate – cu emisii zero cu un coeficient de 100% pentru obiectivele privind schimbările climatice din anexa VI la Regulamentul (UE) nr. 2021/241. Infrastructura ce va fi reînnoită va fi utilizată pentru operarea materialului rulant cu emisii zero. </w:t>
            </w:r>
          </w:p>
        </w:tc>
      </w:tr>
      <w:tr w:rsidR="0001312F" w14:paraId="77EE06B0" w14:textId="77777777">
        <w:trPr>
          <w:jc w:val="center"/>
        </w:trPr>
        <w:tc>
          <w:tcPr>
            <w:tcW w:w="4800" w:type="dxa"/>
            <w:gridSpan w:val="2"/>
          </w:tcPr>
          <w:p w14:paraId="3B1419B9" w14:textId="55148AB8" w:rsidR="0001312F" w:rsidRDefault="0067039D" w:rsidP="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0D2BAF05" w14:textId="101A932F"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5FE5FA01" w14:textId="4A7BE81E" w:rsidR="0001312F" w:rsidRDefault="003F4620">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87654C7" w14:textId="603F2206" w:rsidR="0001312F" w:rsidRDefault="003F4620">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Implementarea tipurilor de acţiuni ce vizează creşterea eficienţei căilor ferate</w:t>
            </w:r>
            <w:r w:rsidR="009B5B3B">
              <w:rPr>
                <w:rFonts w:ascii="Times New Roman" w:eastAsia="Times New Roman" w:hAnsi="Times New Roman" w:cs="Times New Roman"/>
                <w:sz w:val="24"/>
                <w:szCs w:val="24"/>
              </w:rPr>
              <w:t xml:space="preserve"> române, nu sunt în măsura să genereze un efect negativ asupra procesului de adaptare la schimbările climatice. </w:t>
            </w:r>
          </w:p>
          <w:p w14:paraId="71093AAF" w14:textId="3DB7EDE8" w:rsidR="00830A9C" w:rsidRDefault="00830A9C">
            <w:pPr>
              <w:tabs>
                <w:tab w:val="left" w:pos="8460"/>
              </w:tabs>
              <w:spacing w:before="120" w:after="0" w:line="276" w:lineRule="auto"/>
              <w:ind w:right="360" w:hanging="2"/>
              <w:jc w:val="both"/>
              <w:rPr>
                <w:rFonts w:ascii="Times New Roman" w:eastAsia="Times New Roman" w:hAnsi="Times New Roman" w:cs="Times New Roman"/>
                <w:sz w:val="24"/>
                <w:szCs w:val="24"/>
              </w:rPr>
            </w:pPr>
            <w:r w:rsidRPr="00830A9C">
              <w:rPr>
                <w:rFonts w:ascii="Times New Roman" w:eastAsia="Times New Roman" w:hAnsi="Times New Roman" w:cs="Times New Roman"/>
                <w:sz w:val="24"/>
                <w:szCs w:val="24"/>
              </w:rPr>
              <w:t>Schimbările climatice pot genera o serie de schimbări ale condițiilor meteorologice care ar putea afecta atât activităţile de proiectare şi de construcție a liniei feroviare vizate, cât și activitățile de exploatare a acesteia.</w:t>
            </w:r>
          </w:p>
          <w:p w14:paraId="6C5474A8" w14:textId="2DA23F23" w:rsidR="00577543" w:rsidRDefault="0057754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investițiile se referă la construirea și modernizarea unor tronsoane de cale ferată, cu o durata de viață preconizată de peste 10 ani, localizate inclusiv în zone predispuse influențelor creșterii temperaturii, a creșterii incidenţei precipitațiilor abundente, a inundațiilor, a vitezei vântului, în cadrul studiului de fezabilitate și a  documentaţiei aferente evaluării de impact asupra mediului, se vor realiza evaluări ale riscurilor climatice și celorlalte vulnerabilități identificate, utilizȃndu-se proiecții climatice în cadrul unei serii de scenarii viitoare, ținând seama de durata de viață preconizată a construcțiilor și instalațiilor.</w:t>
            </w:r>
          </w:p>
          <w:p w14:paraId="6A4D912D" w14:textId="77777777" w:rsidR="00874C10" w:rsidRDefault="00577543"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 baza evaluărilor privind influența lucrărilor propuse a fi realizate asupra fenomenului schimbărilor climatice și, mai ales, a influenței efectelor schimbărilor climatice asupra proiectelor de investiții, vor fi luate măsuri speciale pentru a îmbunătăți aspectele structurale ale construcțiilor și funcționalitatea acestora. Aceste măsuri de adaptare vor contribui la sporirea rezistenței la schimbările climatice, la condițiile meteorologice extreme și la alte dezastre naturale.</w:t>
            </w:r>
          </w:p>
          <w:p w14:paraId="59CCAD53" w14:textId="74D35415" w:rsidR="006D333F" w:rsidRDefault="006D333F" w:rsidP="00874C10">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identificate în cadrul evaluării impactului asupra mediului vor fi luate în considerare la implementarea proiectelor. Astfel, spre exemplu, vor fi prevăzute structuri suplimentare în zonele inundabile, astfel încât să se asigure un nivel mai ridicat de protecție a terasamentului căii ferate la inundații, ceea ce va contribui la reducerea efectelor negative produse de inundații asupra transportului feroviar, dar şi asupra comunităților din apropiere.</w:t>
            </w:r>
          </w:p>
          <w:p w14:paraId="14B4D221" w14:textId="1C223B0C" w:rsidR="006D333F" w:rsidRDefault="006D333F" w:rsidP="006D333F">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Aşadar, se va urmări, inclusiv, ca soluțiile de adaptare să nu afecteze în mod negativ eforturile de adaptare sau nivelul de reziliență la riscurile fizice legate de climă specifice altor persoane, naturii, activelor și a altor activități economice și să fie în concordanță cu eforturile de adaptare de la nivel local.</w:t>
            </w:r>
          </w:p>
        </w:tc>
      </w:tr>
      <w:tr w:rsidR="0001312F" w14:paraId="1BCC5FF8" w14:textId="77777777">
        <w:trPr>
          <w:trHeight w:val="421"/>
          <w:jc w:val="center"/>
        </w:trPr>
        <w:tc>
          <w:tcPr>
            <w:tcW w:w="2400" w:type="dxa"/>
            <w:vMerge w:val="restart"/>
          </w:tcPr>
          <w:p w14:paraId="018391D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2400" w:type="dxa"/>
          </w:tcPr>
          <w:p w14:paraId="2F7DA66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0265FFCA"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E1287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vMerge w:val="restart"/>
          </w:tcPr>
          <w:p w14:paraId="47EE4B52"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238C66B0" w14:textId="77777777">
        <w:trPr>
          <w:trHeight w:val="421"/>
          <w:jc w:val="center"/>
        </w:trPr>
        <w:tc>
          <w:tcPr>
            <w:tcW w:w="2400" w:type="dxa"/>
            <w:vMerge/>
          </w:tcPr>
          <w:p w14:paraId="0A8A80B8"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7E78BB3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Sistemul european de management al traficului feroviar (ERTMS)</w:t>
            </w:r>
          </w:p>
        </w:tc>
        <w:tc>
          <w:tcPr>
            <w:tcW w:w="1395" w:type="dxa"/>
            <w:vMerge/>
            <w:vAlign w:val="center"/>
          </w:tcPr>
          <w:p w14:paraId="78B39C9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1D8B9597"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EF68D03"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63D5A917" w14:textId="77777777">
        <w:trPr>
          <w:trHeight w:val="421"/>
          <w:jc w:val="center"/>
        </w:trPr>
        <w:tc>
          <w:tcPr>
            <w:tcW w:w="2400" w:type="dxa"/>
            <w:vMerge/>
          </w:tcPr>
          <w:p w14:paraId="5C4C230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6FE9EE5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7C6924B1"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68B1973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0029E4E" w14:textId="668D197C"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privind reînnoirea liniei de cale ferată (înlocuirea cadrului de piatră spartă, traverse și prinderi, șina și aparatele de cale) nu au un impact previzibil semnificativ asupra obiectivului de mediu privind utilizarea sustenabilă şi protecţia apelor şi a resurselor marine, luȃnd în considerare efectele directe și efectele primare indirecte de pe parcursul implementării, intervenţiile propuse fiind realizate în </w:t>
            </w:r>
            <w:r w:rsidR="00E65E7F">
              <w:rPr>
                <w:rFonts w:ascii="Times New Roman" w:eastAsia="Times New Roman" w:hAnsi="Times New Roman" w:cs="Times New Roman"/>
                <w:sz w:val="24"/>
                <w:szCs w:val="24"/>
              </w:rPr>
              <w:t>amplasamentul</w:t>
            </w:r>
            <w:r>
              <w:rPr>
                <w:rFonts w:ascii="Times New Roman" w:eastAsia="Times New Roman" w:hAnsi="Times New Roman" w:cs="Times New Roman"/>
                <w:sz w:val="24"/>
                <w:szCs w:val="24"/>
              </w:rPr>
              <w:t xml:space="preserve"> iniţial al liniilor de cale ferată.</w:t>
            </w:r>
          </w:p>
          <w:p w14:paraId="7F7FC5D6" w14:textId="77777777" w:rsidR="0001312F" w:rsidRDefault="0067039D">
            <w:pPr>
              <w:tabs>
                <w:tab w:val="left" w:pos="2323"/>
              </w:tabs>
              <w:spacing w:before="120" w:after="0" w:line="276" w:lineRule="auto"/>
              <w:ind w:right="1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execuţie a lucrării, exchipelor de construcții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eliminarea efectelor negative menționate</w:t>
            </w:r>
          </w:p>
        </w:tc>
      </w:tr>
      <w:tr w:rsidR="0001312F" w14:paraId="3E5A783C" w14:textId="77777777">
        <w:trPr>
          <w:jc w:val="center"/>
        </w:trPr>
        <w:tc>
          <w:tcPr>
            <w:tcW w:w="4800" w:type="dxa"/>
            <w:gridSpan w:val="2"/>
          </w:tcPr>
          <w:p w14:paraId="16C4B2D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30DD9FE"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570B0B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1F38A60A"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B4698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213CC52" w14:textId="77777777">
        <w:trPr>
          <w:jc w:val="center"/>
        </w:trPr>
        <w:tc>
          <w:tcPr>
            <w:tcW w:w="4800" w:type="dxa"/>
            <w:gridSpan w:val="2"/>
          </w:tcPr>
          <w:p w14:paraId="2FC3798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91A00D0"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759E246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EE81CA0"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99EF46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EA2FFEB" w14:textId="77777777">
        <w:trPr>
          <w:trHeight w:val="421"/>
          <w:jc w:val="center"/>
        </w:trPr>
        <w:tc>
          <w:tcPr>
            <w:tcW w:w="2400" w:type="dxa"/>
            <w:vMerge w:val="restart"/>
          </w:tcPr>
          <w:p w14:paraId="6C922DA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2400" w:type="dxa"/>
          </w:tcPr>
          <w:p w14:paraId="3EEDF43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Construcția / reabilitarea de căi ferate</w:t>
            </w:r>
          </w:p>
        </w:tc>
        <w:tc>
          <w:tcPr>
            <w:tcW w:w="1395" w:type="dxa"/>
            <w:vMerge w:val="restart"/>
            <w:vAlign w:val="center"/>
          </w:tcPr>
          <w:p w14:paraId="49BE19A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vMerge w:val="restart"/>
          </w:tcPr>
          <w:p w14:paraId="1CEBD0D3"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vMerge w:val="restart"/>
          </w:tcPr>
          <w:p w14:paraId="1DB6F35D"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034E456E" w14:textId="77777777">
        <w:trPr>
          <w:trHeight w:val="421"/>
          <w:jc w:val="center"/>
        </w:trPr>
        <w:tc>
          <w:tcPr>
            <w:tcW w:w="2400" w:type="dxa"/>
            <w:vMerge/>
          </w:tcPr>
          <w:p w14:paraId="1E4098A4"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F2C7CE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Sistemul european de management al </w:t>
            </w:r>
            <w:r>
              <w:rPr>
                <w:rFonts w:ascii="Times New Roman" w:eastAsia="Times New Roman" w:hAnsi="Times New Roman" w:cs="Times New Roman"/>
                <w:sz w:val="24"/>
                <w:szCs w:val="24"/>
              </w:rPr>
              <w:lastRenderedPageBreak/>
              <w:t>traficului feroviar (ERTMS)</w:t>
            </w:r>
          </w:p>
        </w:tc>
        <w:tc>
          <w:tcPr>
            <w:tcW w:w="1395" w:type="dxa"/>
            <w:vMerge/>
            <w:vAlign w:val="center"/>
          </w:tcPr>
          <w:p w14:paraId="58BFB182"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1095" w:type="dxa"/>
            <w:vMerge/>
          </w:tcPr>
          <w:p w14:paraId="4D09A609"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7320" w:type="dxa"/>
            <w:vMerge/>
          </w:tcPr>
          <w:p w14:paraId="063390FF"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r>
      <w:tr w:rsidR="0001312F" w14:paraId="368C01D3" w14:textId="77777777">
        <w:trPr>
          <w:trHeight w:val="421"/>
          <w:jc w:val="center"/>
        </w:trPr>
        <w:tc>
          <w:tcPr>
            <w:tcW w:w="2400" w:type="dxa"/>
            <w:vMerge/>
          </w:tcPr>
          <w:p w14:paraId="6CCA48AD" w14:textId="77777777" w:rsidR="0001312F" w:rsidRDefault="0001312F">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2400" w:type="dxa"/>
          </w:tcPr>
          <w:p w14:paraId="27530C2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Lucrări de reînnoire a căii ferate</w:t>
            </w:r>
          </w:p>
        </w:tc>
        <w:tc>
          <w:tcPr>
            <w:tcW w:w="1395" w:type="dxa"/>
          </w:tcPr>
          <w:p w14:paraId="38056BDD"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b/>
                <w:sz w:val="24"/>
                <w:szCs w:val="24"/>
              </w:rPr>
            </w:pPr>
          </w:p>
        </w:tc>
        <w:tc>
          <w:tcPr>
            <w:tcW w:w="1095" w:type="dxa"/>
          </w:tcPr>
          <w:p w14:paraId="4307CC4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X</w:t>
            </w:r>
          </w:p>
        </w:tc>
        <w:tc>
          <w:tcPr>
            <w:tcW w:w="7320" w:type="dxa"/>
          </w:tcPr>
          <w:p w14:paraId="1D33EB0D"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reînnoirea liniei de cale ferată (înlocuirea cadrului de piatră spartă, traversele și prinderile, șina și aparatele de cale) nu au un impact previzibil semnificativ asupra obiectivului de mediu privind protecţia şi refacerea biodiversităţii şi ecosistemelor, luȃnd în considerare atȃt efectele directe și efectele primare indirecte de pe parcursul implementării, conform prevederilor din anexa 2 pct 13 lit a la Legea nr. 292/2018 privind evaluarea impactului anumitor proiecte publice şi private asupra mediului (inclusiv ale Directivei 2014/52/UE a Parlamentului European și a Consiliului, de modificare a Directivei 2011/92/UE privind evaluarea efectelor anumitor proiecte publice și private asupra mediului).</w:t>
            </w:r>
          </w:p>
          <w:p w14:paraId="6BCD1ADA" w14:textId="77777777" w:rsidR="0001312F" w:rsidRDefault="0067039D">
            <w:pPr>
              <w:tabs>
                <w:tab w:val="left" w:pos="8460"/>
              </w:tabs>
              <w:spacing w:before="120" w:after="0" w:line="276" w:lineRule="auto"/>
              <w:ind w:right="107"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Intervenţiile propuse sunt realizate în amplasamentul iniţial al liniilor de cale ferată, iar lucrările constau în înlocuirea unor elemente de cale existentă la parametrii tehnici identici, utilizându-se, în principal, utilaje ce folosesc calea ferată pentru deplasare.</w:t>
            </w:r>
          </w:p>
        </w:tc>
      </w:tr>
    </w:tbl>
    <w:p w14:paraId="342ED365" w14:textId="77777777" w:rsidR="0001312F" w:rsidRDefault="0001312F">
      <w:pPr>
        <w:ind w:firstLine="708"/>
        <w:rPr>
          <w:rFonts w:ascii="Times New Roman" w:eastAsia="Times New Roman" w:hAnsi="Times New Roman" w:cs="Times New Roman"/>
          <w:b/>
          <w:sz w:val="24"/>
          <w:szCs w:val="24"/>
        </w:rPr>
      </w:pPr>
    </w:p>
    <w:p w14:paraId="03709812" w14:textId="77777777" w:rsidR="0001312F" w:rsidRDefault="0001312F">
      <w:pPr>
        <w:ind w:firstLine="708"/>
        <w:rPr>
          <w:rFonts w:ascii="Times New Roman" w:eastAsia="Times New Roman" w:hAnsi="Times New Roman" w:cs="Times New Roman"/>
          <w:sz w:val="24"/>
          <w:szCs w:val="24"/>
        </w:rPr>
      </w:pPr>
    </w:p>
    <w:p w14:paraId="11869D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a"/>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2E101D19" w14:textId="77777777">
        <w:trPr>
          <w:jc w:val="center"/>
        </w:trPr>
        <w:tc>
          <w:tcPr>
            <w:tcW w:w="3315" w:type="dxa"/>
            <w:shd w:val="clear" w:color="auto" w:fill="D9EAD3"/>
          </w:tcPr>
          <w:p w14:paraId="7463116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179EBE3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3FF4D159"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493C5576" w14:textId="77777777">
        <w:trPr>
          <w:jc w:val="center"/>
        </w:trPr>
        <w:tc>
          <w:tcPr>
            <w:tcW w:w="3315" w:type="dxa"/>
          </w:tcPr>
          <w:p w14:paraId="567AB61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3CA7DDC8"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EF404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251B10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5301429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2648E04"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16A936A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74A165A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6EC6779C"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4EE78CE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14CBF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4CE2757D"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investițiile nu vor cuprinde lucrări de terasamente şi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26C20850"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5538E40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nici sistemele de canalizare a apelor uzate menajere din stațiile de cale ferată nu sunt de natură să afecteze apele de suprafaţă şi nici pe cele subterane, întrucât staţiile fie sunt prevăzute cu bazine subterane vidanjabile, cu senzor de nivel, fie sunt conectate la sistemul centralizat de canalizare.</w:t>
            </w:r>
          </w:p>
          <w:p w14:paraId="7CC5BEF9" w14:textId="3F479B0B" w:rsidR="005167BA" w:rsidRDefault="005167BA">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Raportul de mediu, ca şi în cazul proiectelor de infrastructură rutieră</w:t>
            </w:r>
            <w:r w:rsidR="006703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AD530F">
              <w:rPr>
                <w:rFonts w:ascii="Times New Roman" w:eastAsia="Times New Roman" w:hAnsi="Times New Roman" w:cs="Times New Roman"/>
                <w:sz w:val="24"/>
                <w:szCs w:val="24"/>
              </w:rPr>
              <w:t>s-a analizat potenţialul</w:t>
            </w:r>
            <w:r w:rsidR="00E07D7B">
              <w:rPr>
                <w:rFonts w:ascii="Times New Roman" w:eastAsia="Times New Roman" w:hAnsi="Times New Roman" w:cs="Times New Roman"/>
                <w:sz w:val="24"/>
                <w:szCs w:val="24"/>
              </w:rPr>
              <w:t xml:space="preserve"> efect al implementării proiectelor </w:t>
            </w:r>
            <w:r w:rsidR="00EA55FB">
              <w:rPr>
                <w:rFonts w:ascii="Times New Roman" w:eastAsia="Times New Roman" w:hAnsi="Times New Roman" w:cs="Times New Roman"/>
                <w:sz w:val="24"/>
                <w:szCs w:val="24"/>
              </w:rPr>
              <w:t>PT asupra obiectivului de mediu „apă”</w:t>
            </w:r>
            <w:r w:rsidR="00CB1B20">
              <w:rPr>
                <w:rFonts w:ascii="Times New Roman" w:eastAsia="Times New Roman" w:hAnsi="Times New Roman" w:cs="Times New Roman"/>
                <w:sz w:val="24"/>
                <w:szCs w:val="24"/>
              </w:rPr>
              <w:t xml:space="preserve"> în funcţie de numărul de intersecţii a corpurilor de apă şi de starea/potenţialul acestora.</w:t>
            </w:r>
            <w:r w:rsidR="00F04B2B">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 </w:t>
            </w:r>
            <w:r w:rsidR="00B340F8">
              <w:rPr>
                <w:rFonts w:ascii="Times New Roman" w:eastAsia="Times New Roman" w:hAnsi="Times New Roman" w:cs="Times New Roman"/>
                <w:sz w:val="24"/>
                <w:szCs w:val="24"/>
              </w:rPr>
              <w:t xml:space="preserve"> </w:t>
            </w:r>
          </w:p>
        </w:tc>
      </w:tr>
      <w:tr w:rsidR="0001312F" w14:paraId="08F12651" w14:textId="77777777">
        <w:trPr>
          <w:jc w:val="center"/>
        </w:trPr>
        <w:tc>
          <w:tcPr>
            <w:tcW w:w="3315" w:type="dxa"/>
          </w:tcPr>
          <w:p w14:paraId="2AA7653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2E29E2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ADB5B8B"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C53E8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9F9D446"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05158F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w:t>
            </w:r>
            <w:r>
              <w:rPr>
                <w:rFonts w:ascii="Times New Roman" w:eastAsia="Times New Roman" w:hAnsi="Times New Roman" w:cs="Times New Roman"/>
                <w:sz w:val="24"/>
                <w:szCs w:val="24"/>
              </w:rPr>
              <w:lastRenderedPageBreak/>
              <w:t xml:space="preserve">sunt reduse la minimum prin măsuri adecvate sau </w:t>
            </w:r>
          </w:p>
          <w:p w14:paraId="1BCE1BC0"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D0B547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46B335A9"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641E8097"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şi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805CA" w14:textId="4E1798B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provin din următoarele etape: din timpul etapei de construcție; din timpul  etapei de operare; după expirarea duratei de viaţă.</w:t>
            </w:r>
            <w:r w:rsidR="00306168">
              <w:rPr>
                <w:rFonts w:ascii="Times New Roman" w:eastAsia="Times New Roman" w:hAnsi="Times New Roman" w:cs="Times New Roman"/>
                <w:sz w:val="24"/>
                <w:szCs w:val="24"/>
              </w:rPr>
              <w:t xml:space="preserve"> Toate activităţile sunt generatoare de deşeuri, însă nu în cantităţi semnificative.</w:t>
            </w:r>
          </w:p>
          <w:p w14:paraId="5D42BD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461047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78F49A8C"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legislaţia naţională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5AD9E6D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7479BB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7D10298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se vor demonta linii de cale ferată ca urmare a înlocuirii căii ferate, a dezafectării unor segmente din tronson, a desființării unor stații și halte de mișcare etc.</w:t>
            </w:r>
          </w:p>
          <w:p w14:paraId="70155C3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cale rezultate de la lucrări vor fi gestionate în conformitate cu Norma tehnică feroviară NTF nr.71-002:2006 aprobată prin Ordinul MTCT nr.1403/2006 privind "Infrastructura feroviară. Reutilizarea materialelor de cale recuperate în urma lucrărilor de întreţinere şi reparaţie a căii." Norma tehnică feroviară se referă la următoarele componente ale căii ferate: şine, traverse din lemn şi beton, material mărunt de cale, aparate de cale şi piatra spartă. Totodată, norma stabileşte şi domeniul de reutilizare pentru fiecare dintre componentele căii în funcţie de starea lor.</w:t>
            </w:r>
          </w:p>
          <w:p w14:paraId="7E8034F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materialele extrase din cale vor fi colectate pe categorii de produse, verificate si repartizate în funcţie de rezultatul verificărilor:</w:t>
            </w:r>
          </w:p>
          <w:p w14:paraId="177C2F50"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semibune;</w:t>
            </w:r>
          </w:p>
          <w:p w14:paraId="122FCC3C"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uzate;</w:t>
            </w:r>
          </w:p>
          <w:p w14:paraId="4EBAC7CD" w14:textId="77777777" w:rsidR="0001312F" w:rsidRDefault="0067039D">
            <w:pPr>
              <w:numPr>
                <w:ilvl w:val="0"/>
                <w:numId w:val="4"/>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declasate.</w:t>
            </w:r>
          </w:p>
          <w:p w14:paraId="6E8FF18A"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33234D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58210F2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şinele de cale ferată semibune şi recondiţionate vor fi reutilizate pentru întreţinerea şi reparaţii la linii, iar şinele declasate sunt valorificate ca fier vechi;</w:t>
            </w:r>
          </w:p>
          <w:p w14:paraId="074FA4EA"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traversele de lemn semibune şi reparate se vor reutiliza în triaje şi ateliere, iar cele declasate se vor reutiliza pentru construcţii, se vor incinera la incineratoare autorizate (traversele impregnate cu creozot) sau valorificate energetic (excepţie fac cele impregnate cu creozot);</w:t>
            </w:r>
          </w:p>
          <w:p w14:paraId="157652A4"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 de beton semibune şi reparate se vor reutiliza pe liniile secundare, triaje si ateliere, iar traversele declasate se vor reutiliza pentru lucrări de consolidări, apărări de maluri, drumuri provizorii de acces, fundaţii;</w:t>
            </w:r>
          </w:p>
          <w:p w14:paraId="774D28CE"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aparatele de cale şi materialul mărunt de cale semibune şi recondiţionate se reutilizează, iar cel declasat se valorifică ca fier vechi;</w:t>
            </w:r>
          </w:p>
          <w:p w14:paraId="66234EC2" w14:textId="77777777" w:rsidR="0001312F" w:rsidRDefault="0067039D">
            <w:pPr>
              <w:numPr>
                <w:ilvl w:val="0"/>
                <w:numId w:val="19"/>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piatra spartă recuperată, curată se reintroduce în cale, iar deşeul de ciur se reutilizează ca material pentru substratul căii sau la alte construcţii.</w:t>
            </w:r>
          </w:p>
          <w:p w14:paraId="73916647" w14:textId="77777777" w:rsidR="0001312F" w:rsidRDefault="0001312F">
            <w:pPr>
              <w:tabs>
                <w:tab w:val="left" w:pos="1087"/>
              </w:tabs>
              <w:spacing w:after="240"/>
              <w:ind w:hanging="2"/>
              <w:jc w:val="both"/>
              <w:rPr>
                <w:rFonts w:ascii="Times New Roman" w:eastAsia="Times New Roman" w:hAnsi="Times New Roman" w:cs="Times New Roman"/>
                <w:sz w:val="24"/>
                <w:szCs w:val="24"/>
              </w:rPr>
            </w:pPr>
          </w:p>
          <w:p w14:paraId="2C0DB10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mai sus, pe lângă demontarea liniilor de cale ferată, vor rezulta deşeuri din dezafectări de clădiri (în staţii), rampe și platforme, după cum urmează:</w:t>
            </w:r>
          </w:p>
          <w:p w14:paraId="244CF724"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beton, cărămizi, sticlă şi materiale ceramice se vor colecta selectiv, se vor depozita pe suprafeţe betonate şi vor fi transportate la un depozit de deşeuri autorizat;</w:t>
            </w:r>
          </w:p>
          <w:p w14:paraId="37B1F041"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metalice se vor valorifica prin comercializare ca fier vechi;</w:t>
            </w:r>
          </w:p>
          <w:p w14:paraId="405AAEBA" w14:textId="77777777" w:rsidR="0001312F" w:rsidRDefault="0067039D">
            <w:pPr>
              <w:numPr>
                <w:ilvl w:val="0"/>
                <w:numId w:val="2"/>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lemn se vor valorifica energetic;</w:t>
            </w:r>
          </w:p>
          <w:p w14:paraId="71EDE97D" w14:textId="77777777" w:rsidR="0001312F" w:rsidRDefault="0067039D">
            <w:pPr>
              <w:numPr>
                <w:ilvl w:val="0"/>
                <w:numId w:val="2"/>
              </w:numPr>
              <w:tabs>
                <w:tab w:val="left" w:pos="1087"/>
              </w:tabs>
              <w:spacing w:after="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electrice şi electronice se vor preda la centre de colectare special organizate.</w:t>
            </w:r>
          </w:p>
          <w:p w14:paraId="4F234B08" w14:textId="77777777" w:rsidR="0001312F" w:rsidRDefault="0067039D">
            <w:pPr>
              <w:numPr>
                <w:ilvl w:val="0"/>
                <w:numId w:val="2"/>
              </w:numPr>
              <w:pBdr>
                <w:top w:val="nil"/>
                <w:left w:val="nil"/>
                <w:bottom w:val="nil"/>
                <w:right w:val="nil"/>
                <w:between w:val="nil"/>
              </w:pBdr>
              <w:tabs>
                <w:tab w:val="left" w:pos="1087"/>
              </w:tabs>
              <w:spacing w:after="2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 asemenea, vor fi respectate măsurile legale aplicabile privind gestionarea deşeurilor cu regim special: uleiuri uzate, baterii de acumulatori, anvelope uzate.</w:t>
            </w:r>
          </w:p>
          <w:p w14:paraId="18025E0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şi care respectă cerinţele de calitate va fi folosit la terasamente în corpul liniei de cale ferată.</w:t>
            </w:r>
          </w:p>
          <w:p w14:paraId="2DDE108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14:paraId="3B2BF6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208F5FC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rezultate din activitățile de întreținere și vor genera deșeuri, în cea mare parte de tip metalic, piatră spartă și lemn, care vor fi gestionate similar cu deşeurile generate în perioada de construcţie.</w:t>
            </w:r>
          </w:p>
          <w:p w14:paraId="375B44A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43661E0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cum s-a menţionat anterior, lucrările de reînnoire reprezintă prima etapă din implementarea fazată a proiectelor de infrastructură feroviară, a doua etapă fiind reprezentată de lucrările de modernizare completă, pe liniile directe și abătute, care prevăd reutilizarea în procente ridicate a elementelor schimbate în prima etapă (de reînnoire), la care se adaugă și introducerea sistemului ERTMS. Elementele care nu pot fi utilizate în cea de-a doua etapă vor fi reciclate, recuperate sau eliminate la rampele municipale de </w:t>
            </w:r>
            <w:r>
              <w:rPr>
                <w:rFonts w:ascii="Times New Roman" w:eastAsia="Times New Roman" w:hAnsi="Times New Roman" w:cs="Times New Roman"/>
                <w:sz w:val="24"/>
                <w:szCs w:val="24"/>
              </w:rPr>
              <w:lastRenderedPageBreak/>
              <w:t>deșeuri, urmând a fi încheiate contracte cu operatori de salubritate autorizați, în mod similar cu deşeurile din etapa de implementare şi operare.</w:t>
            </w:r>
          </w:p>
          <w:p w14:paraId="3F99C396"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sub-măsura nu va afecta în mod semnificativ obiectivul de mediu privind tranziţia către o economie circulară, inclusiv prevenirea și reciclarea, întrucȃt deșeurile generate vor fi în mare măsură sortate, reciclate și reutilizate, iar resursele naturale vor fi utilizate în mod eficient.</w:t>
            </w:r>
          </w:p>
        </w:tc>
      </w:tr>
      <w:tr w:rsidR="0001312F" w14:paraId="57538661" w14:textId="77777777">
        <w:trPr>
          <w:jc w:val="center"/>
        </w:trPr>
        <w:tc>
          <w:tcPr>
            <w:tcW w:w="3315" w:type="dxa"/>
          </w:tcPr>
          <w:p w14:paraId="2657963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092A9CF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D37EA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46AF845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5675FBF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operare a infrastructurii feroviare, singurele surse de poluanţi atmosferici ar putea fi reprezentate de emisiile utilajelor cu care se realizează activitățile de întreținere, însă amploarea acestora este neglijabilă.</w:t>
            </w:r>
          </w:p>
          <w:p w14:paraId="0750093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execuție, se estimează că emisiile de poluanţi atmosferici vor fi generate urmare a realizării lucrărilor necesare desfăşurării întregului proces de construcţie, începând cu săpături şi excavaţii şi continuând cu lucrările de umplutură, realizarea liniilor feroviare, realizarea lucrărilor de artă în zona fronturilor de lucru.</w:t>
            </w:r>
          </w:p>
          <w:p w14:paraId="247DB48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Activitatea de realizare a lucrărilor de construcţii include deopotrivă şi surse mobile de emisii, reprezentate de utilajele necesare desfăşurării lucrărilor de amenajare a terenului şi de construire a obiectivelor, de vehiculele care vor asigura transportul materialelor de construcţii, precum şi de aprovizionare cu materiale necesare lucrărilor de construcţie, dar şi de vehiculele necesare evacuării </w:t>
            </w:r>
            <w:r>
              <w:rPr>
                <w:rFonts w:ascii="Times New Roman" w:eastAsia="Times New Roman" w:hAnsi="Times New Roman" w:cs="Times New Roman"/>
                <w:sz w:val="24"/>
                <w:szCs w:val="24"/>
              </w:rPr>
              <w:lastRenderedPageBreak/>
              <w:t>deşeurilor de pe amplasament. Funcţionarea acestora va fi intermitentă, în funcţie de programul de lucru şi de graficul lucrărilor.</w:t>
            </w:r>
          </w:p>
          <w:p w14:paraId="0583986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247B71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cât posibil se vor lua măsuri de atenuare, astfel că lucrările aferente proiectului vor fi realizate cu utilaje moderne (excavator, buldozer, încărcător, instalaţie de foraj etc.).</w:t>
            </w:r>
          </w:p>
          <w:p w14:paraId="2EB774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sursele de impurificare a aerului vor fi similare cu cele din etapa de construcţie, lucrările fiind realizate cu aceleaşi tipuri de utilaje.</w:t>
            </w:r>
          </w:p>
          <w:p w14:paraId="4EF50D6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A0F1B8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întrucât noile structuri de poduri şi podeţe nu vor avea calea deschisă, eventualele produse petroliere (carburanți, uleiuri, etc.) care s-ar putea scurge accidental din trenurile în circulație, nu vor mai polua cursurile de apă traversate.</w:t>
            </w:r>
          </w:p>
          <w:p w14:paraId="20A0DD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întrucât o potenţială sursă de poluanţi o pot constitui şi apele uzate menajere provenite de la staţiile de cale ferată, se va asigura ca aceste ape să fie colectate în bazine vidanjabile sau dirijate în rețeaua de canalizare şi epurate în staţii mecano-biologice înainte de evacuarea în emisar. Pentru lucrările conexe organizării de şantier, se vor încheia contracte de servicii cu furnizori autorizaţi.</w:t>
            </w:r>
          </w:p>
          <w:p w14:paraId="566B7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referire la protecţia apelor subterane, vor fi prevăzute separatoare de hidrocarburi la punctele de descărcare a apelor pluviale din sistemul de drenaj al căii ferate, la poduri și podețe.</w:t>
            </w:r>
          </w:p>
          <w:p w14:paraId="73CE36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 parcursul etapei de execuţie, se vor lua măsurile necesare astfel încât deșeurile rezultate din demontări/demolări, precum și materialele necesare pentru construire, să fie corect depozitate pentru a se </w:t>
            </w:r>
            <w:r>
              <w:rPr>
                <w:rFonts w:ascii="Times New Roman" w:eastAsia="Times New Roman" w:hAnsi="Times New Roman" w:cs="Times New Roman"/>
                <w:sz w:val="24"/>
                <w:szCs w:val="24"/>
              </w:rPr>
              <w:lastRenderedPageBreak/>
              <w:t>evita infiltraţiile în stratul acvifer sau în apele de suprafaţă, urmare a antrenării acestora de către apele pluviale sau de către vânt.</w:t>
            </w:r>
          </w:p>
          <w:p w14:paraId="491063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14C3CF2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apei vor fi similare cu cele din etapa de construcţie, lucrările fiind realizate cu aceleaşi tipuri de utilaje.</w:t>
            </w:r>
          </w:p>
          <w:p w14:paraId="36EFC51E" w14:textId="47BC7721"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conduce la o creştere semnificativă a poluanţilor în apele de suprafaţă şi nici în cele subterane.</w:t>
            </w:r>
            <w:r w:rsidR="00AF34F1">
              <w:rPr>
                <w:rFonts w:ascii="Times New Roman" w:eastAsia="Times New Roman" w:hAnsi="Times New Roman" w:cs="Times New Roman"/>
                <w:sz w:val="24"/>
                <w:szCs w:val="24"/>
              </w:rPr>
              <w:t xml:space="preserve"> De asemenea vor fi implementate şi măsurile propuse în Raportul de mediu</w:t>
            </w:r>
            <w:r w:rsidR="001D1B6D">
              <w:rPr>
                <w:rFonts w:ascii="Times New Roman" w:eastAsia="Times New Roman" w:hAnsi="Times New Roman" w:cs="Times New Roman"/>
                <w:sz w:val="24"/>
                <w:szCs w:val="24"/>
              </w:rPr>
              <w:t>, şi prezentate în secţiunile anterioare.</w:t>
            </w:r>
          </w:p>
          <w:p w14:paraId="2769EC9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Sol şi subsol</w:t>
            </w:r>
          </w:p>
          <w:p w14:paraId="25A6046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finalizarea lucrărilor la obiectivul de investiție, constructorul are obligația de a reconstrui din punct de vedere ecologic terenurile ocupate sau afectate temporar. Astfel, toate suprafețele afectate de execuția lucrărilor vor fi reamenajate, în scopul reconstrucţiei ecologice, în scop peisagistic și pentru a menține curățenia mediului înconjurător. Zonele afectate vor fi reabilitate prin ecologizare, stabilizarea solului, aşternerea de pământ vegetal, plantare de vegetaţie autohtonă. Utilizarea plantelor nu va avea numai un scop estetic, ci şi de reconstrucţie a elementelor naturale.</w:t>
            </w:r>
          </w:p>
          <w:p w14:paraId="6D0453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construire, condițiile de contractare a lucrărilor vor include măsuri specifice pentru  gestionarea  deșeurilor generate la fața locului, pentru a evita poluarea solului. 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w:t>
            </w:r>
          </w:p>
          <w:p w14:paraId="59F55BF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subliniază faptul că betonul de ciment şi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34D7252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există riscuri reduse de producere a poluării solului cu vopsele, întrucât elementele metalice ale podurilor vor fi prefabricate și vor fi aduse în amplasament, de la fabricant, vopsite, nemaifiind necesară vopsirea acestora in situ.</w:t>
            </w:r>
          </w:p>
          <w:p w14:paraId="3CB9D32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în ultimul rând, daca va fi cazul, suprafețele de sol contaminat cu combustibil, anterior începerii lucrărilor, se vor decontamina, conform normelor în vigoare, prin excavare și tratare cu substanțe specifice, de către operatori autorizați, proiectul de investiţii contribuind la depoluarea acestuia.</w:t>
            </w:r>
          </w:p>
          <w:p w14:paraId="3FE6C55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solului/subsolului vor fi similare cu cele din etapa de construcţie, lucrările fiind realizate cu aceleaşi tipuri de utilaje.</w:t>
            </w:r>
          </w:p>
          <w:p w14:paraId="132DF86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din cadrul acestei priorități nu vor conduce la o creştere semnificativă a poluanţilor în sol/subsol.</w:t>
            </w:r>
          </w:p>
          <w:p w14:paraId="659F07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Poluarea fonică – zgomot şi vibraţii</w:t>
            </w:r>
          </w:p>
          <w:p w14:paraId="20E98DD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asigura confortul călătorilor, al personalului feroviar şi al populaţiei ce locuieşte în vecinătatea staţiilor, a depourilor sau a liniilor de cale ferată se impune ca nivelul zgomotului şi al vibraţiilor să fie cât mai redus.</w:t>
            </w:r>
          </w:p>
          <w:p w14:paraId="3AF346E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exploatare, datorită elementelor constitutive utilizate la structurile de pod și podeț proiectate (de exemplu, varianta constructivă pentru podurile de cale ferată: podurile cu cuvă de balast) se va reduce nivelul de vibrații și implicit de zgomot, generate de trecerea trenurilor.</w:t>
            </w:r>
          </w:p>
          <w:p w14:paraId="21F3BE9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vor amplasa panouri fonoabsorbante în zonele în care clădirile sunt situate la mai puțin de 50 ml față de linia de cale ferată, pentru a elimina riscul ca nivelul de zgomot maxim admis să fie depășit. </w:t>
            </w:r>
          </w:p>
          <w:p w14:paraId="1EE2B8C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reînnoirea liniei de cale ferată şi a materialului rulant, se vor reduce nivelurile de zgomot, în special a celor datorate infrastructurii învechite, dar şi a rulării garniturilor de tren de generaţie mai veche.</w:t>
            </w:r>
          </w:p>
          <w:p w14:paraId="7AD7D7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execuţie a lucrărilor proiectate, sursele potenţiale de zgomot vor fi:</w:t>
            </w:r>
          </w:p>
          <w:p w14:paraId="456E6E5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Lucrările de demolare în staţii;</w:t>
            </w:r>
          </w:p>
          <w:p w14:paraId="388BF22C"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Funcţionarea utilajelor;</w:t>
            </w:r>
          </w:p>
          <w:p w14:paraId="6BD65168" w14:textId="77777777" w:rsidR="0001312F" w:rsidRDefault="0067039D">
            <w:pPr>
              <w:numPr>
                <w:ilvl w:val="0"/>
                <w:numId w:val="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Traficul auto;</w:t>
            </w:r>
          </w:p>
          <w:p w14:paraId="17FDF14E" w14:textId="77777777" w:rsidR="0001312F" w:rsidRDefault="0067039D">
            <w:pPr>
              <w:numPr>
                <w:ilvl w:val="0"/>
                <w:numId w:val="6"/>
              </w:numPr>
              <w:pBdr>
                <w:top w:val="nil"/>
                <w:left w:val="nil"/>
                <w:bottom w:val="nil"/>
                <w:right w:val="nil"/>
                <w:between w:val="nil"/>
              </w:pBdr>
              <w:spacing w:after="24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Activitatea din fronturile de lucru ale căii ferate.</w:t>
            </w:r>
          </w:p>
          <w:p w14:paraId="041EED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3196326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6A18A4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la trecerea autobasculantelor prin localităţi pot apărea niveluri ale intensităţilor vibraţiilor peste cele admise de legislaţia aplicabilă (SR 12025:1994), precum şi niveluri ridicate de zgomot,  se vor lua măsuri ca traficul mediu din şantier să nu fie dirijat prin localităţi, în măsura în care este posibil.</w:t>
            </w:r>
          </w:p>
          <w:p w14:paraId="4E6DE7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se pot utiliza panourilor de absorbție a zgomotului în perioada de execuţie a lucrărilor.</w:t>
            </w:r>
          </w:p>
          <w:p w14:paraId="6958F1C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de zgomot și vibraţii vor fi similare cu cele din etapa de construcţie.</w:t>
            </w:r>
          </w:p>
          <w:p w14:paraId="143F315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Având cele de mai sus, se estimează că investițiile nu vor conduce la o creştere semnificativă a nivelului poluării fonice.</w:t>
            </w:r>
          </w:p>
        </w:tc>
      </w:tr>
      <w:tr w:rsidR="0001312F" w14:paraId="38EEFA12" w14:textId="77777777">
        <w:trPr>
          <w:jc w:val="center"/>
        </w:trPr>
        <w:tc>
          <w:tcPr>
            <w:tcW w:w="3315" w:type="dxa"/>
          </w:tcPr>
          <w:p w14:paraId="3A571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3A7BCF53"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3ACD773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776397E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2C75CB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753CFCF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studiilor de evaluare adecvată, conform procedurii existente în prezent la nivel național, se va analiza impactul asociat proiectelor de investiţii asupra fiecărui element/criteriu ce a stat la baza desemnării sitului, respectiv a sitului în sine (Ordinul nr. 19/2010 pentru aprobarea Ghidului metodologic privind evaluarea adecvată a efectelor potenţiale ale planurilor sau proiectelor asupra ariilor naturale protejate de interes comunitar - secţiunea 2.2/A/10 din Anexa - Ghid Metodologic).</w:t>
            </w:r>
          </w:p>
          <w:p w14:paraId="3FC0C4A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identificarea și evaluarea impactului, se va ține cont de intensitatea și extinderea activității generatoare de impact, cât și  de tipul de impact ce are loc în habitatul respectiv. Impactul asupra habitatelor, în speță asupra valorilor și funcțiilor acestora se poate încadra în patru categorii:</w:t>
            </w:r>
          </w:p>
          <w:p w14:paraId="6145148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fragmentarea habitatului;</w:t>
            </w:r>
          </w:p>
          <w:p w14:paraId="323090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reducerea habitatului;</w:t>
            </w:r>
          </w:p>
          <w:p w14:paraId="0C33A0F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degradarea habitatului;</w:t>
            </w:r>
          </w:p>
          <w:p w14:paraId="33B2322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distrugerea habitatului.</w:t>
            </w:r>
          </w:p>
          <w:p w14:paraId="563A5AD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Acolo unde vor fi necesare, structura drumurilor provizorii va fi alcătuită din balast și pietriș (materiale naturale ce nu vor fi aprovizionate din ariile naturale protejate). Nu se vor exploata resurse naturale din interiorul ariilor protejate. </w:t>
            </w:r>
          </w:p>
          <w:p w14:paraId="17BB695C"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faza de pregătire a proiectelor se vor realiza investigații referitoare la identificarea habitatului și determinarea indicatorilor ecologici referitori la biodiversitatea floristico-faunistică a suprafeței Siturilor Natura 2000 analizate. În paralel, va fi studiată literatură botanică și geografică referitoare la aceste teritorii și vor fi realizate fișe de lucru ce cuprind informații cu privire la condițiile de habitat în care se dezvoltă fitocenozele: solul, altitudinea, expoziția, înclinarea pantei, acoperirea vegetației, acoperirea stratului ierbos și lista speciilor identificate împreună cu caracteristicile lor structurale și data efectuării cercetării.</w:t>
            </w:r>
          </w:p>
          <w:p w14:paraId="72D1021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legale, organizările de şantier și bazele de producţie vor fi amplasate în afara ariei protejate Natura 2000. Nu se vor exploata resurse naturale din ariile protejate Natura 2000 și nici nu se vor amplasa depozite de materiale.</w:t>
            </w:r>
          </w:p>
          <w:p w14:paraId="203A86CB" w14:textId="77777777" w:rsidR="00075206" w:rsidRDefault="00075206">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lângă informaţiile prezentate mai sus, vor fi respectate şi măsurile propuse în Raportul de mediu cu privire la obiectivul de mediu biodiversitate</w:t>
            </w:r>
            <w:r w:rsidR="001D1B6D">
              <w:rPr>
                <w:rFonts w:ascii="Times New Roman" w:eastAsia="Times New Roman" w:hAnsi="Times New Roman" w:cs="Times New Roman"/>
                <w:sz w:val="24"/>
                <w:szCs w:val="24"/>
              </w:rPr>
              <w:t>, ce au fost prezentate în secţiunile anterioare.</w:t>
            </w:r>
          </w:p>
          <w:p w14:paraId="0BC5A8F2" w14:textId="7ACF6BFA" w:rsidR="001D1B6D" w:rsidRDefault="001D1B6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Ţinând cont de </w:t>
            </w:r>
            <w:r w:rsidR="00883A82">
              <w:rPr>
                <w:rFonts w:ascii="Times New Roman" w:eastAsia="Times New Roman" w:hAnsi="Times New Roman" w:cs="Times New Roman"/>
                <w:sz w:val="24"/>
                <w:szCs w:val="24"/>
              </w:rPr>
              <w:t xml:space="preserve">informaţiile prezentate </w:t>
            </w:r>
            <w:r w:rsidR="003F13E5">
              <w:rPr>
                <w:rFonts w:ascii="Times New Roman" w:eastAsia="Times New Roman" w:hAnsi="Times New Roman" w:cs="Times New Roman"/>
                <w:sz w:val="24"/>
                <w:szCs w:val="24"/>
              </w:rPr>
              <w:t>anterior</w:t>
            </w:r>
            <w:r w:rsidR="00883A82">
              <w:rPr>
                <w:rFonts w:ascii="Times New Roman" w:eastAsia="Times New Roman" w:hAnsi="Times New Roman" w:cs="Times New Roman"/>
                <w:sz w:val="24"/>
                <w:szCs w:val="24"/>
              </w:rPr>
              <w:t>, se consideră îndeplinit principiul DNSH pentru acest obiectiv de mediu.</w:t>
            </w:r>
          </w:p>
        </w:tc>
      </w:tr>
    </w:tbl>
    <w:p w14:paraId="42FC5A2F" w14:textId="77777777" w:rsidR="0001312F" w:rsidRDefault="0001312F">
      <w:pPr>
        <w:ind w:firstLine="708"/>
        <w:rPr>
          <w:rFonts w:ascii="Times New Roman" w:eastAsia="Times New Roman" w:hAnsi="Times New Roman" w:cs="Times New Roman"/>
          <w:sz w:val="24"/>
          <w:szCs w:val="24"/>
        </w:rPr>
        <w:sectPr w:rsidR="0001312F">
          <w:pgSz w:w="16838" w:h="11906" w:orient="landscape"/>
          <w:pgMar w:top="1440" w:right="1440" w:bottom="1440" w:left="1440" w:header="706" w:footer="706" w:gutter="0"/>
          <w:cols w:space="708"/>
        </w:sectPr>
      </w:pPr>
    </w:p>
    <w:p w14:paraId="661C882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0" w:name="_Toc117679943"/>
      <w:r>
        <w:rPr>
          <w:rFonts w:ascii="Times New Roman" w:eastAsia="Times New Roman" w:hAnsi="Times New Roman" w:cs="Times New Roman"/>
          <w:sz w:val="24"/>
          <w:szCs w:val="24"/>
        </w:rPr>
        <w:lastRenderedPageBreak/>
        <w:t xml:space="preserve">2.5. </w:t>
      </w:r>
      <w:r>
        <w:rPr>
          <w:rFonts w:ascii="Times New Roman" w:eastAsia="Times New Roman" w:hAnsi="Times New Roman" w:cs="Times New Roman"/>
          <w:b/>
          <w:sz w:val="24"/>
          <w:szCs w:val="24"/>
        </w:rPr>
        <w:t>Prioritatea 5</w:t>
      </w:r>
      <w:r>
        <w:rPr>
          <w:rFonts w:ascii="Times New Roman" w:eastAsia="Times New Roman" w:hAnsi="Times New Roman" w:cs="Times New Roman"/>
          <w:sz w:val="24"/>
          <w:szCs w:val="24"/>
        </w:rPr>
        <w:t xml:space="preserve"> - Creșterea atractivității transportului feroviar de călători</w:t>
      </w:r>
      <w:bookmarkEnd w:id="20"/>
    </w:p>
    <w:p w14:paraId="6FA01A27" w14:textId="77777777" w:rsidR="0001312F" w:rsidRDefault="0001312F">
      <w:pPr>
        <w:ind w:firstLine="708"/>
        <w:jc w:val="both"/>
        <w:rPr>
          <w:rFonts w:ascii="Times New Roman" w:eastAsia="Times New Roman" w:hAnsi="Times New Roman" w:cs="Times New Roman"/>
          <w:sz w:val="24"/>
          <w:szCs w:val="24"/>
        </w:rPr>
      </w:pPr>
    </w:p>
    <w:p w14:paraId="6C185023"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La nivel național cu sprijinul BEI a fost derulat un studiu de fezabilitate privind achiziția de material rulant. Conform acestui studiu RO are nevoie imediată de achiziția a 110 unități multiple de transport pe calea ferată. În plus parcul existent de rame, vagoane și locomotive trebuie reabilitate la standarde moderne de eficiență energetică și confort pentru pasageri.</w:t>
      </w:r>
    </w:p>
    <w:p w14:paraId="7BC74639" w14:textId="77777777" w:rsidR="0001312F" w:rsidRDefault="0001312F">
      <w:pPr>
        <w:rPr>
          <w:rFonts w:ascii="Times New Roman" w:eastAsia="Times New Roman" w:hAnsi="Times New Roman" w:cs="Times New Roman"/>
          <w:sz w:val="24"/>
          <w:szCs w:val="24"/>
          <w:highlight w:val="yellow"/>
        </w:rPr>
      </w:pPr>
    </w:p>
    <w:p w14:paraId="26DDEE1F"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1" w:name="_Toc117679944"/>
      <w:r>
        <w:rPr>
          <w:rFonts w:ascii="Times New Roman" w:eastAsia="Times New Roman" w:hAnsi="Times New Roman" w:cs="Times New Roman"/>
        </w:rPr>
        <w:t>2.5.1. Descrierea investițiilor</w:t>
      </w:r>
      <w:bookmarkEnd w:id="21"/>
      <w:r>
        <w:rPr>
          <w:rFonts w:ascii="Times New Roman" w:eastAsia="Times New Roman" w:hAnsi="Times New Roman" w:cs="Times New Roman"/>
        </w:rPr>
        <w:t xml:space="preserve"> </w:t>
      </w:r>
    </w:p>
    <w:p w14:paraId="2B04E704" w14:textId="77777777" w:rsidR="0001312F" w:rsidRDefault="0001312F">
      <w:pPr>
        <w:rPr>
          <w:rFonts w:ascii="Times New Roman" w:eastAsia="Times New Roman" w:hAnsi="Times New Roman" w:cs="Times New Roman"/>
          <w:sz w:val="24"/>
          <w:szCs w:val="24"/>
          <w:highlight w:val="yellow"/>
        </w:rPr>
      </w:pPr>
    </w:p>
    <w:p w14:paraId="761F506D"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Acțiunile prevăzute în această prioritare vor completa intervențiile prevăzute în PNRR și, în particular, vor viza achiziția de rame electrice/zero emisii noi în conformitate cu Studiul de fezabilitate pentru achiziționarea materialului rulant pentru călători.  </w:t>
      </w:r>
    </w:p>
    <w:p w14:paraId="2A5D6CD8"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Concret intervențiile vor viza continuarea achizițiilor demarate în perioada precedentă de programare și finanțarea unor achiziții noi pentru a contribui la atingerea țintei globale de 99 trenuri noi ecologice. Astfel, în cadrul acestei priorități se vor achiziționa 40 de trenuri electrice (EMU). </w:t>
      </w:r>
    </w:p>
    <w:p w14:paraId="5D256F10"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Materialul rulant achiziționat va trebui să fie nou, dotat cu echipament ERTMS (nivelul 2) și să contribuie la obiectivul de neutralitate față de carbon cuprins în cadrul Pactul Ecologic European. </w:t>
      </w:r>
    </w:p>
    <w:p w14:paraId="0022956E"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Achiziționarea de material rulant nou pentru transportul de pasageri se așteaptă să aibă un impact semnificativ asupra nivelului serviciilor și asupra costurilor și beneficiilor economice ale transportului feroviar de călători.</w:t>
      </w:r>
    </w:p>
    <w:p w14:paraId="49CB3D8E" w14:textId="77777777" w:rsidR="0001312F" w:rsidRDefault="0001312F">
      <w:pPr>
        <w:rPr>
          <w:rFonts w:ascii="Times New Roman" w:eastAsia="Times New Roman" w:hAnsi="Times New Roman" w:cs="Times New Roman"/>
          <w:sz w:val="24"/>
          <w:szCs w:val="24"/>
          <w:highlight w:val="yellow"/>
        </w:rPr>
      </w:pPr>
    </w:p>
    <w:p w14:paraId="15054AF4" w14:textId="77777777" w:rsidR="0001312F" w:rsidRDefault="0001312F">
      <w:pPr>
        <w:rPr>
          <w:rFonts w:ascii="Times New Roman" w:eastAsia="Times New Roman" w:hAnsi="Times New Roman" w:cs="Times New Roman"/>
          <w:sz w:val="24"/>
          <w:szCs w:val="24"/>
          <w:highlight w:val="yellow"/>
        </w:rPr>
      </w:pPr>
    </w:p>
    <w:p w14:paraId="071936C1" w14:textId="77777777" w:rsidR="0001312F" w:rsidRDefault="0001312F">
      <w:pPr>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6D5641D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b"/>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412113BE" w14:textId="77777777">
        <w:trPr>
          <w:trHeight w:val="671"/>
          <w:jc w:val="center"/>
        </w:trPr>
        <w:tc>
          <w:tcPr>
            <w:tcW w:w="4800" w:type="dxa"/>
            <w:shd w:val="clear" w:color="auto" w:fill="BFBFBF"/>
            <w:vAlign w:val="center"/>
          </w:tcPr>
          <w:p w14:paraId="2129742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4E59F74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6C7022F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24FAB5E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36BBA88D" w14:textId="77777777">
        <w:trPr>
          <w:trHeight w:val="885"/>
          <w:jc w:val="center"/>
        </w:trPr>
        <w:tc>
          <w:tcPr>
            <w:tcW w:w="4800" w:type="dxa"/>
          </w:tcPr>
          <w:p w14:paraId="2CFF3C09"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56AF0135"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2CE233A"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92A1ACD"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sprijinite prin această submăsură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 întrucȃt trenurile/automotoarele electrice reprezintă material rulant cu emisii zero.</w:t>
            </w:r>
          </w:p>
          <w:p w14:paraId="2F52DCD3"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18EE66E4"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Achiziţia de material rulant electric este eligibilă în cadrul domeniului de intervenție 072a - Active feroviare mobile cu emisii zero/electrice din anexa VI la Regulamentul (UE) nr. 2021/241, cu un coeficient de 100% pentru obiectivul privind schimbările climatice. Având în vedere faptul că submăsura sprijină cu un coeficient de 100% obiectivul privind atenuarea schimbărilor climatice, se consideră îndeplinit principiul DNSH pentru acest obiectiv de mediu, investiția sprijinind trecerea la o economie neutră din punct de vedere climatic.</w:t>
            </w:r>
          </w:p>
          <w:p w14:paraId="0CEE034F"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p w14:paraId="2201B64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asigurarea faptului că această opțiune de transport respectă mediul, la fel de importantă este și decarbonizarea producției de energie electrică, în linie cu obiectivele din Planul Național Integrat în domeniul Energiei și Schimbărilor Climatice 2021 – 2030 (PNIESC) – document aflat în proces de actualizare. Complementar, în PNRR sunt prevăzute o serie de măsuri </w:t>
            </w:r>
            <w:r>
              <w:rPr>
                <w:rFonts w:ascii="Times New Roman" w:eastAsia="Times New Roman" w:hAnsi="Times New Roman" w:cs="Times New Roman"/>
                <w:sz w:val="24"/>
                <w:szCs w:val="24"/>
              </w:rPr>
              <w:lastRenderedPageBreak/>
              <w:t>specifice de decarbonizare a producției de energie electrică, ce se regăsesc în componenta 6 - Energie din Pilonul I - Tranziția verde.</w:t>
            </w:r>
          </w:p>
        </w:tc>
      </w:tr>
      <w:tr w:rsidR="0001312F" w14:paraId="1F93C56A" w14:textId="77777777">
        <w:trPr>
          <w:jc w:val="center"/>
        </w:trPr>
        <w:tc>
          <w:tcPr>
            <w:tcW w:w="4800" w:type="dxa"/>
          </w:tcPr>
          <w:p w14:paraId="583DF75F"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5C47E2A8"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4CCF3D7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4576EB4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7E2D0132"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Investițiile privind achiziţia de material rulant electric nu au un impact previzibil semnificativ asupra obiectivului de mediu privind adaptarea la schimbările climatice, luȃnd în considerare efectele directe și efectele primare indirecte de pe parcursul implementării.</w:t>
            </w:r>
          </w:p>
        </w:tc>
      </w:tr>
      <w:tr w:rsidR="0001312F" w14:paraId="59E4A67A" w14:textId="77777777">
        <w:trPr>
          <w:jc w:val="center"/>
        </w:trPr>
        <w:tc>
          <w:tcPr>
            <w:tcW w:w="4800" w:type="dxa"/>
          </w:tcPr>
          <w:p w14:paraId="03093C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470BD7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4420FCCF"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408F70BC" w14:textId="77777777" w:rsidR="0001312F" w:rsidRDefault="0067039D">
            <w:pPr>
              <w:tabs>
                <w:tab w:val="left" w:pos="2323"/>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utilizarea sustenabilă  şi protecţia apelor şi a resurselor marine, luȃnd în considerare efectele directe și efectele primare indirecte de pe parcursul implementării.</w:t>
            </w:r>
          </w:p>
        </w:tc>
      </w:tr>
      <w:tr w:rsidR="0001312F" w14:paraId="4F636162" w14:textId="77777777">
        <w:trPr>
          <w:jc w:val="center"/>
        </w:trPr>
        <w:tc>
          <w:tcPr>
            <w:tcW w:w="4800" w:type="dxa"/>
          </w:tcPr>
          <w:p w14:paraId="33D369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507FF23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77BA7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3DE5422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1F27A7F7"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23F76DCD" w14:textId="77777777">
        <w:trPr>
          <w:jc w:val="center"/>
        </w:trPr>
        <w:tc>
          <w:tcPr>
            <w:tcW w:w="4800" w:type="dxa"/>
          </w:tcPr>
          <w:p w14:paraId="329BBE5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1BE23CB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513F1C6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7D318DE8"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7320" w:type="dxa"/>
          </w:tcPr>
          <w:p w14:paraId="711DEC1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prevenirea şi controlul poluării aerului, apei şi solului, luȃnd în considerare efectele directe și efectele primare indirecte de pe parcursul implementării.</w:t>
            </w:r>
          </w:p>
        </w:tc>
      </w:tr>
      <w:tr w:rsidR="0001312F" w14:paraId="5B5A7FCC" w14:textId="77777777">
        <w:trPr>
          <w:jc w:val="center"/>
        </w:trPr>
        <w:tc>
          <w:tcPr>
            <w:tcW w:w="4800" w:type="dxa"/>
          </w:tcPr>
          <w:p w14:paraId="663C088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2820A9B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081CB16C"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4FCF361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privind achiziţia de material rulant electric nu au un impact previzibil semnificativ asupra obiectivului de mediu privind protecţia şi refacerea biodiversităţii şi ecosistemelor, luȃnd în considerare efectele directe și efectele primare indirecte de pe parcursul implementării.</w:t>
            </w:r>
          </w:p>
        </w:tc>
      </w:tr>
    </w:tbl>
    <w:p w14:paraId="39E5897B" w14:textId="77777777" w:rsidR="0001312F" w:rsidRDefault="0001312F">
      <w:pPr>
        <w:ind w:firstLine="708"/>
        <w:rPr>
          <w:rFonts w:ascii="Times New Roman" w:eastAsia="Times New Roman" w:hAnsi="Times New Roman" w:cs="Times New Roman"/>
          <w:b/>
          <w:sz w:val="24"/>
          <w:szCs w:val="24"/>
        </w:rPr>
      </w:pPr>
    </w:p>
    <w:p w14:paraId="35D7FB64" w14:textId="77777777" w:rsidR="0001312F" w:rsidRDefault="0001312F">
      <w:pPr>
        <w:ind w:firstLine="708"/>
        <w:rPr>
          <w:rFonts w:ascii="Times New Roman" w:eastAsia="Times New Roman" w:hAnsi="Times New Roman" w:cs="Times New Roman"/>
          <w:b/>
          <w:sz w:val="24"/>
          <w:szCs w:val="24"/>
        </w:rPr>
      </w:pPr>
    </w:p>
    <w:p w14:paraId="39D3FEA6" w14:textId="77777777" w:rsidR="0001312F" w:rsidRDefault="0001312F">
      <w:pPr>
        <w:ind w:firstLine="708"/>
        <w:rPr>
          <w:rFonts w:ascii="Times New Roman" w:eastAsia="Times New Roman" w:hAnsi="Times New Roman" w:cs="Times New Roman"/>
          <w:b/>
          <w:sz w:val="24"/>
          <w:szCs w:val="24"/>
        </w:rPr>
      </w:pPr>
    </w:p>
    <w:p w14:paraId="14DCFF8C" w14:textId="77777777" w:rsidR="0001312F" w:rsidRDefault="0067039D">
      <w:pPr>
        <w:ind w:firstLine="708"/>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c"/>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6DEC74D2" w14:textId="77777777">
        <w:trPr>
          <w:jc w:val="center"/>
        </w:trPr>
        <w:tc>
          <w:tcPr>
            <w:tcW w:w="3315" w:type="dxa"/>
            <w:shd w:val="clear" w:color="auto" w:fill="D9EAD3"/>
          </w:tcPr>
          <w:p w14:paraId="7D445E2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2DCABCD"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26B7A2C7"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7A6F8862" w14:textId="77777777">
        <w:trPr>
          <w:jc w:val="center"/>
        </w:trPr>
        <w:tc>
          <w:tcPr>
            <w:tcW w:w="3315" w:type="dxa"/>
          </w:tcPr>
          <w:p w14:paraId="234A95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7F656AE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C2EB4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0C9924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4FFCCB1D"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008E8E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0DBFB9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50FFD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(iii) va cauza prejudicii semnificative și pe termen lung </w:t>
            </w:r>
            <w:r>
              <w:rPr>
                <w:rFonts w:ascii="Times New Roman" w:eastAsia="Times New Roman" w:hAnsi="Times New Roman" w:cs="Times New Roman"/>
                <w:sz w:val="24"/>
                <w:szCs w:val="24"/>
              </w:rPr>
              <w:lastRenderedPageBreak/>
              <w:t>mediului în ceea ce privește economia circulară?</w:t>
            </w:r>
          </w:p>
        </w:tc>
        <w:tc>
          <w:tcPr>
            <w:tcW w:w="870" w:type="dxa"/>
          </w:tcPr>
          <w:p w14:paraId="2872D4D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585BDC66"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investiției se va menţine evidenţa gestiunii deşeurilor conform Legii nr. 211/2011 privind regimul deşeurilor, cu modificările şi completările ulterioare, HG nr. 856/2002 (Directiva 2008/98/CE privind deșeurile și de abrogare a anumitor directive) şi respectiv Legea nr. 249/2015 privind modalitatea de gestionare a ambalajelor şi a deşeurilor de ambalaje, cu modificările şi completările ulterioare.</w:t>
            </w:r>
          </w:p>
          <w:p w14:paraId="572319E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8A5C5D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atât din faza de operare (întreținere/mentenanță), cât și cele rezultate la finalul duratei de viață a activelor mobile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0AA41D9B" w14:textId="77777777" w:rsidR="0001312F" w:rsidRDefault="0001312F">
            <w:pPr>
              <w:spacing w:after="0" w:line="276" w:lineRule="auto"/>
              <w:ind w:hanging="2"/>
              <w:jc w:val="both"/>
              <w:rPr>
                <w:rFonts w:ascii="Times New Roman" w:eastAsia="Times New Roman" w:hAnsi="Times New Roman" w:cs="Times New Roman"/>
                <w:sz w:val="24"/>
                <w:szCs w:val="24"/>
              </w:rPr>
            </w:pPr>
          </w:p>
          <w:p w14:paraId="55107BE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asigurarea mentenanţei materialului rulant se are în vedere încheierea de contracte cu firme specializate. Totodată, firmele specializate selectate vor gestiona şi deşeurile rezultate, în conformitate cu prevederile legale în vigoare.</w:t>
            </w:r>
          </w:p>
          <w:p w14:paraId="746D45E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1F564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Societăţile care vor presta aceste servicii au obligaţia legală de a respecta normele de protecţia mediului, inclusiv tranziţia către o economie circulară. Mai mult, activităţile de fabricaţie şi reparaţii ale materialului rulant sunt supuse procedurii de emitere a autorizaţiei de mediu (a se vedea OUG nr. 195/2005 şi Ordinul MMDD nr. 1798/2007), fiind analizate, de către autorităţile cu competenţe în domeniul protecţiei mediului, modul de gospodărire a deşeurilor şi a ambalajelor, modul de gospodărire a substanţelor şi preparatelor periculoase, programul de conformare - măsuri pentru reducerea efectelor prezente şi viitoare ale activităţilor etc.</w:t>
            </w:r>
          </w:p>
          <w:p w14:paraId="103CE364" w14:textId="77777777" w:rsidR="0001312F" w:rsidRDefault="0001312F">
            <w:pPr>
              <w:spacing w:after="0" w:line="276" w:lineRule="auto"/>
              <w:ind w:hanging="2"/>
              <w:jc w:val="both"/>
              <w:rPr>
                <w:rFonts w:ascii="Times New Roman" w:eastAsia="Times New Roman" w:hAnsi="Times New Roman" w:cs="Times New Roman"/>
                <w:sz w:val="24"/>
                <w:szCs w:val="24"/>
              </w:rPr>
            </w:pPr>
          </w:p>
          <w:p w14:paraId="0AEC3CC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Bateriile și acumulatorii industriali, ce includ bateriile și acumulatorii folosiți în trenuri, vor fi colectate, tratate, reciclate și eliminate în conformitate cu prevederile Directivei 2006/66/CE privind bateriile și acumulatorii și deșeurile de baterii și acumulatori și de abrogare a Directivei 91/157/CEE, transpusă în legislaţia naţională (de ex. Hotărârea de Guvern nr. 1132/2008, modificată prin Hotărârea de Guvern nr. 1079/2011).</w:t>
            </w:r>
          </w:p>
          <w:p w14:paraId="23E3B89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722E4C94"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echipamente electrice și electronice, de exemplu echipamente informatice şi de telecomunicaţii de dimensiuni mici (nicio dimensiune externă mai mare de 50 cm), vor fi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p>
          <w:p w14:paraId="753CB908"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935E12"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gestionarea deşeurilor menajare se vor încheia contracte cu firme autorizate. </w:t>
            </w:r>
          </w:p>
          <w:p w14:paraId="718C9D3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A79696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Anexei 1 la Hotărârea de Guvern nr. 2.139/2004, secţiunea 2.3.1 Mijloace de Transport Feroviare, durata de viaţă a locomotivelor, locotractoare şi automotoare de ecartament normal este între 12-18 ani.</w:t>
            </w:r>
          </w:p>
          <w:p w14:paraId="5ECC92DE"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92B265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Anexei 1 la Hotărârea de Guvern nr. 2.139/2004 (*actualizată*) pentru aprobarea Catalogului privind clasificarea şi duratele normale de funcţionare a mijloacelor fixe, menţinerea în funcţiune a mijloacelor fixe care pot afecta protecţia vieţii, a sănătăţii şi a mediului (mijloace de transport rutier, feroviar, aerian şi naval, maşini de construcţii şi de gospodărie comunală, maşini de ridicat etc.) după expirarea duratei normale de funcţionare, se va putea face numai pe baza unui raport tehnic întocmit de organisme de certificare sau organisme de inspecţie tehnică abilitate în domeniul de activitate al mijlocului fix.</w:t>
            </w:r>
          </w:p>
          <w:p w14:paraId="3769B8D5"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E4A13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condiţiile respectării prevederii legale de mai sus, se va evita scoaterea din folosință a materialului rulant cu care se poate presta în condiții bune serviciul de transport public de călători. Astfel, materialul rulant poate fi supus serviciilor de modernizare, reparații, schimbări de componente, astfel încȃt să se asigure o utilizare durabilă a resurselor.</w:t>
            </w:r>
          </w:p>
          <w:p w14:paraId="77089829"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FC2422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scoaterea din uz a materialului rulant, părțile componente vor fi dezmembrate, sortate şi pregătite pentru reutilizare.</w:t>
            </w:r>
          </w:p>
        </w:tc>
      </w:tr>
    </w:tbl>
    <w:p w14:paraId="23D011BD" w14:textId="77777777" w:rsidR="0001312F" w:rsidRDefault="0001312F">
      <w:pPr>
        <w:ind w:firstLine="708"/>
        <w:rPr>
          <w:rFonts w:ascii="Times New Roman" w:eastAsia="Times New Roman" w:hAnsi="Times New Roman" w:cs="Times New Roman"/>
          <w:b/>
          <w:sz w:val="24"/>
          <w:szCs w:val="24"/>
          <w:highlight w:val="yellow"/>
        </w:rPr>
      </w:pPr>
    </w:p>
    <w:p w14:paraId="00453623" w14:textId="77777777" w:rsidR="0001312F" w:rsidRDefault="0001312F">
      <w:pPr>
        <w:ind w:firstLine="708"/>
        <w:rPr>
          <w:rFonts w:ascii="Times New Roman" w:eastAsia="Times New Roman" w:hAnsi="Times New Roman" w:cs="Times New Roman"/>
          <w:b/>
          <w:sz w:val="24"/>
          <w:szCs w:val="24"/>
          <w:highlight w:val="yellow"/>
        </w:rPr>
        <w:sectPr w:rsidR="0001312F">
          <w:pgSz w:w="16838" w:h="11906" w:orient="landscape"/>
          <w:pgMar w:top="1440" w:right="1440" w:bottom="1440" w:left="1440" w:header="706" w:footer="706" w:gutter="0"/>
          <w:cols w:space="708"/>
        </w:sectPr>
      </w:pPr>
    </w:p>
    <w:p w14:paraId="7A3A9236"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2" w:name="_Toc117679945"/>
      <w:r>
        <w:rPr>
          <w:rFonts w:ascii="Times New Roman" w:eastAsia="Times New Roman" w:hAnsi="Times New Roman" w:cs="Times New Roman"/>
          <w:sz w:val="24"/>
          <w:szCs w:val="24"/>
        </w:rPr>
        <w:lastRenderedPageBreak/>
        <w:t xml:space="preserve">2.6. </w:t>
      </w:r>
      <w:r>
        <w:rPr>
          <w:rFonts w:ascii="Times New Roman" w:eastAsia="Times New Roman" w:hAnsi="Times New Roman" w:cs="Times New Roman"/>
          <w:b/>
          <w:sz w:val="24"/>
          <w:szCs w:val="24"/>
        </w:rPr>
        <w:t>Prioritatea 6</w:t>
      </w:r>
      <w:r>
        <w:rPr>
          <w:rFonts w:ascii="Times New Roman" w:eastAsia="Times New Roman" w:hAnsi="Times New Roman" w:cs="Times New Roman"/>
          <w:sz w:val="24"/>
          <w:szCs w:val="24"/>
        </w:rPr>
        <w:t xml:space="preserve"> - Dezvoltarea mobilității sustenabile în nodurile urbane</w:t>
      </w:r>
      <w:bookmarkEnd w:id="22"/>
    </w:p>
    <w:p w14:paraId="340815FC" w14:textId="77777777" w:rsidR="0001312F" w:rsidRDefault="0001312F">
      <w:pPr>
        <w:ind w:firstLine="708"/>
        <w:jc w:val="both"/>
        <w:rPr>
          <w:rFonts w:ascii="Times New Roman" w:eastAsia="Times New Roman" w:hAnsi="Times New Roman" w:cs="Times New Roman"/>
          <w:sz w:val="24"/>
          <w:szCs w:val="24"/>
        </w:rPr>
      </w:pPr>
    </w:p>
    <w:p w14:paraId="354029DB" w14:textId="7A4A892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asigurarea obiectivului de neutralitate climatică cuprins în Pactul Verde European, precum și pentru integrarea la nivel urban a serviciilor feroviare de transport de pasageri PT va sprijini prin intermediul acestei priorități, investiții de dezvoltare a sistemelor de cale ferată urbane pentru zonele metropolitane atât în ceea ce privește construcția/modernizarea infrastructurii, cât și achiziționarea de material rulant ecologic (rame metropolitane) necesare operării pe rețeaua feroviară pentru deplasările de scurt parcurs în regiunile metropolitane, inclusiv legătura feroviară la aeroportul care deservește zona metropolitană. </w:t>
      </w:r>
    </w:p>
    <w:p w14:paraId="7992911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se vor baza pe integrarea modurilor de transport urban în cadrul Planurilor de Mobilitate Urbană Durabilă (PMUD).</w:t>
      </w:r>
    </w:p>
    <w:p w14:paraId="06D44991" w14:textId="77777777" w:rsidR="0001312F" w:rsidRDefault="0001312F">
      <w:pPr>
        <w:ind w:firstLine="708"/>
        <w:rPr>
          <w:rFonts w:ascii="Times New Roman" w:eastAsia="Times New Roman" w:hAnsi="Times New Roman" w:cs="Times New Roman"/>
          <w:b/>
          <w:sz w:val="24"/>
          <w:szCs w:val="24"/>
        </w:rPr>
      </w:pPr>
    </w:p>
    <w:p w14:paraId="1916F40E"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3" w:name="_Toc117679946"/>
      <w:r>
        <w:rPr>
          <w:rFonts w:ascii="Times New Roman" w:eastAsia="Times New Roman" w:hAnsi="Times New Roman" w:cs="Times New Roman"/>
        </w:rPr>
        <w:t>2.6.1. Acțiuni finanțate</w:t>
      </w:r>
      <w:bookmarkEnd w:id="23"/>
    </w:p>
    <w:p w14:paraId="209D6F4A" w14:textId="77777777" w:rsidR="0001312F" w:rsidRDefault="0001312F">
      <w:pPr>
        <w:spacing w:after="0"/>
        <w:jc w:val="both"/>
        <w:rPr>
          <w:rFonts w:ascii="Times New Roman" w:eastAsia="Times New Roman" w:hAnsi="Times New Roman" w:cs="Times New Roman"/>
          <w:sz w:val="24"/>
          <w:szCs w:val="24"/>
        </w:rPr>
      </w:pPr>
    </w:p>
    <w:p w14:paraId="52C3382F"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finanțate prin intermediul acestei priorități vor viza:</w:t>
      </w:r>
    </w:p>
    <w:p w14:paraId="264F35CC" w14:textId="77777777" w:rsidR="0001312F" w:rsidRDefault="0001312F">
      <w:pPr>
        <w:spacing w:after="0"/>
        <w:jc w:val="both"/>
        <w:rPr>
          <w:rFonts w:ascii="Times New Roman" w:eastAsia="Times New Roman" w:hAnsi="Times New Roman" w:cs="Times New Roman"/>
          <w:sz w:val="24"/>
          <w:szCs w:val="24"/>
        </w:rPr>
      </w:pPr>
    </w:p>
    <w:p w14:paraId="47CF9AF7" w14:textId="77777777" w:rsidR="0001312F" w:rsidRDefault="0067039D">
      <w:pPr>
        <w:numPr>
          <w:ilvl w:val="0"/>
          <w:numId w:val="4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Pentru metroul București: </w:t>
      </w:r>
    </w:p>
    <w:p w14:paraId="0278D6FE" w14:textId="77777777" w:rsidR="0001312F" w:rsidRDefault="0001312F">
      <w:pPr>
        <w:pBdr>
          <w:top w:val="nil"/>
          <w:left w:val="nil"/>
          <w:bottom w:val="nil"/>
          <w:right w:val="nil"/>
          <w:between w:val="nil"/>
        </w:pBdr>
        <w:spacing w:after="0"/>
        <w:ind w:left="1068"/>
        <w:jc w:val="both"/>
        <w:rPr>
          <w:rFonts w:ascii="Times New Roman" w:eastAsia="Times New Roman" w:hAnsi="Times New Roman" w:cs="Times New Roman"/>
          <w:color w:val="000000"/>
          <w:sz w:val="24"/>
          <w:szCs w:val="24"/>
        </w:rPr>
      </w:pPr>
    </w:p>
    <w:p w14:paraId="70DC78E8"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 fazate:</w:t>
      </w:r>
    </w:p>
    <w:p w14:paraId="551743AF"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M2;</w:t>
      </w:r>
    </w:p>
    <w:p w14:paraId="788C749A" w14:textId="77777777" w:rsidR="0001312F" w:rsidRDefault="0067039D">
      <w:pPr>
        <w:numPr>
          <w:ilvl w:val="0"/>
          <w:numId w:val="51"/>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Magistrale M6 Sud 1 Mai – Tokyo.</w:t>
      </w:r>
    </w:p>
    <w:p w14:paraId="3F622497"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noi:</w:t>
      </w:r>
    </w:p>
    <w:p w14:paraId="33229D62"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M5: secțiunea Eroilor – Iancului;</w:t>
      </w:r>
    </w:p>
    <w:p w14:paraId="51FC7AFD"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Extensii magistrale metrou București (prioritizate în funcție de maturizarea acestora și corelate cu implementarea proiectelor Orbital București și centură feroviară București);</w:t>
      </w:r>
    </w:p>
    <w:p w14:paraId="5E071333" w14:textId="187DAEB6" w:rsidR="0001312F" w:rsidRDefault="004F140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Reabilitare</w:t>
      </w:r>
      <w:r w:rsidR="0067039D">
        <w:rPr>
          <w:rFonts w:ascii="Times New Roman" w:eastAsia="Times New Roman" w:hAnsi="Times New Roman" w:cs="Times New Roman"/>
          <w:color w:val="000000"/>
          <w:sz w:val="24"/>
          <w:szCs w:val="24"/>
        </w:rPr>
        <w:t xml:space="preserve"> stații de metrou București (în funcție de vechimea și necesitățile fiecărei stații);</w:t>
      </w:r>
    </w:p>
    <w:p w14:paraId="50787CD1" w14:textId="77777777" w:rsidR="0001312F" w:rsidRDefault="0067039D">
      <w:pPr>
        <w:numPr>
          <w:ilvl w:val="0"/>
          <w:numId w:val="50"/>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Achizitionarea de material rulant nou pentru metrou.</w:t>
      </w:r>
    </w:p>
    <w:p w14:paraId="39595058" w14:textId="77777777" w:rsidR="0001312F" w:rsidRDefault="0067039D">
      <w:pPr>
        <w:spacing w:after="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Proiecte de rezervă:</w:t>
      </w:r>
    </w:p>
    <w:p w14:paraId="326C0175"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M7 București;</w:t>
      </w:r>
    </w:p>
    <w:p w14:paraId="7480B5E6" w14:textId="77777777" w:rsidR="0001312F" w:rsidRDefault="0067039D">
      <w:pPr>
        <w:numPr>
          <w:ilvl w:val="0"/>
          <w:numId w:val="52"/>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Magistrala M8 București.</w:t>
      </w:r>
    </w:p>
    <w:p w14:paraId="08CF34F0" w14:textId="77777777" w:rsidR="0001312F" w:rsidRDefault="0001312F">
      <w:pPr>
        <w:spacing w:after="0"/>
        <w:jc w:val="both"/>
        <w:rPr>
          <w:rFonts w:ascii="Times New Roman" w:eastAsia="Times New Roman" w:hAnsi="Times New Roman" w:cs="Times New Roman"/>
          <w:sz w:val="24"/>
          <w:szCs w:val="24"/>
        </w:rPr>
      </w:pPr>
    </w:p>
    <w:p w14:paraId="102EA2BF" w14:textId="28A43F7B"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dezvoltarea transportului cu metroul în alte centre metropolitane se vor susține derularea studiilor de fezabilitate, daca analizele de prefezabilitate arată oportunitatea dezvoltă</w:t>
      </w:r>
      <w:r w:rsidR="004F140D">
        <w:rPr>
          <w:rFonts w:ascii="Times New Roman" w:eastAsia="Times New Roman" w:hAnsi="Times New Roman" w:cs="Times New Roman"/>
          <w:sz w:val="24"/>
          <w:szCs w:val="24"/>
        </w:rPr>
        <w:t>r</w:t>
      </w:r>
      <w:r>
        <w:rPr>
          <w:rFonts w:ascii="Times New Roman" w:eastAsia="Times New Roman" w:hAnsi="Times New Roman" w:cs="Times New Roman"/>
          <w:sz w:val="24"/>
          <w:szCs w:val="24"/>
        </w:rPr>
        <w:t>ii infrastructurii de metrou.</w:t>
      </w:r>
    </w:p>
    <w:p w14:paraId="68263EC5" w14:textId="77777777" w:rsidR="0001312F" w:rsidRDefault="0001312F">
      <w:pPr>
        <w:spacing w:after="0"/>
        <w:jc w:val="both"/>
        <w:rPr>
          <w:rFonts w:ascii="Times New Roman" w:eastAsia="Times New Roman" w:hAnsi="Times New Roman" w:cs="Times New Roman"/>
          <w:sz w:val="24"/>
          <w:szCs w:val="24"/>
        </w:rPr>
      </w:pPr>
    </w:p>
    <w:p w14:paraId="1E42ED0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sunt de 48 km de linii de metrou noi sau modernizate si 6 trenuri de metrou achiziționate.</w:t>
      </w:r>
    </w:p>
    <w:p w14:paraId="088CCB44" w14:textId="77777777" w:rsidR="0001312F" w:rsidRDefault="0001312F">
      <w:pPr>
        <w:spacing w:after="0"/>
        <w:jc w:val="both"/>
        <w:rPr>
          <w:rFonts w:ascii="Times New Roman" w:eastAsia="Times New Roman" w:hAnsi="Times New Roman" w:cs="Times New Roman"/>
          <w:sz w:val="24"/>
          <w:szCs w:val="24"/>
        </w:rPr>
      </w:pPr>
    </w:p>
    <w:p w14:paraId="1C5EA46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Pr>
          <w:rFonts w:ascii="Times New Roman" w:eastAsia="Times New Roman" w:hAnsi="Times New Roman" w:cs="Times New Roman"/>
          <w:sz w:val="24"/>
          <w:szCs w:val="24"/>
        </w:rPr>
        <w:tab/>
        <w:t xml:space="preserve">Pentru trenuri metropolitane: în funcție de prioritizarea prezentată și gradul de maturitate pe baza principiului ”primul venit, primul servit”. Pe lângă proiectul centurii feroviare București, finanțabil din Prioritatea 4, proiectele cu grad mare de certitudine sunt cele </w:t>
      </w:r>
      <w:r>
        <w:rPr>
          <w:rFonts w:ascii="Times New Roman" w:eastAsia="Times New Roman" w:hAnsi="Times New Roman" w:cs="Times New Roman"/>
          <w:sz w:val="24"/>
          <w:szCs w:val="24"/>
        </w:rPr>
        <w:lastRenderedPageBreak/>
        <w:t>aferente municipiilor Cluj-Napoca, Iași, Brașov și Timișoara. Astfel operațiunile urmărite vor consta în:</w:t>
      </w:r>
    </w:p>
    <w:p w14:paraId="75D4EB50"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Dezvoltare/modernizarea infrastructurii destinate transportului feroviar metropolitan;</w:t>
      </w:r>
    </w:p>
    <w:p w14:paraId="0454403F"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Achiziția de material rulant sustenabil pentru serviciile feroviare de transport metropolitan;</w:t>
      </w:r>
    </w:p>
    <w:p w14:paraId="2F315ED2"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 facilităților multimodale pentru transportul de pasageri cu metroul / trenul metropolitan;</w:t>
      </w:r>
    </w:p>
    <w:p w14:paraId="140F5F08" w14:textId="77777777" w:rsidR="0001312F" w:rsidRDefault="0067039D">
      <w:pPr>
        <w:numPr>
          <w:ilvl w:val="0"/>
          <w:numId w:val="43"/>
        </w:numPr>
        <w:pBdr>
          <w:top w:val="nil"/>
          <w:left w:val="nil"/>
          <w:bottom w:val="nil"/>
          <w:right w:val="nil"/>
          <w:between w:val="nil"/>
        </w:pBdr>
        <w:spacing w:after="0"/>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infrastructură de metrou și tren metropolitan din aria de eligibilitate a axei prioritare.</w:t>
      </w:r>
    </w:p>
    <w:p w14:paraId="2CBD66FC" w14:textId="77777777" w:rsidR="0001312F" w:rsidRDefault="0001312F">
      <w:pPr>
        <w:spacing w:after="0"/>
        <w:jc w:val="both"/>
        <w:rPr>
          <w:rFonts w:ascii="Times New Roman" w:eastAsia="Times New Roman" w:hAnsi="Times New Roman" w:cs="Times New Roman"/>
          <w:sz w:val="24"/>
          <w:szCs w:val="24"/>
        </w:rPr>
      </w:pPr>
    </w:p>
    <w:p w14:paraId="7924AA69"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Țintele stabilite în cadrul acestei priorități pentru liniile de cele ferata noi sau reabilitate sunt de 150 km, echipate cu ERTMS si 16 trenuri electrice achiziționate (EMU).</w:t>
      </w:r>
    </w:p>
    <w:p w14:paraId="0EAA6852" w14:textId="77777777" w:rsidR="0001312F" w:rsidRDefault="0001312F">
      <w:pPr>
        <w:ind w:firstLine="708"/>
        <w:rPr>
          <w:rFonts w:ascii="Times New Roman" w:eastAsia="Times New Roman" w:hAnsi="Times New Roman" w:cs="Times New Roman"/>
          <w:sz w:val="24"/>
          <w:szCs w:val="24"/>
          <w:highlight w:val="yellow"/>
        </w:rPr>
      </w:pPr>
    </w:p>
    <w:p w14:paraId="3A70D41A" w14:textId="77777777" w:rsidR="0001312F" w:rsidRDefault="0001312F">
      <w:pPr>
        <w:ind w:firstLine="708"/>
        <w:rPr>
          <w:rFonts w:ascii="Times New Roman" w:eastAsia="Times New Roman" w:hAnsi="Times New Roman" w:cs="Times New Roman"/>
          <w:sz w:val="24"/>
          <w:szCs w:val="24"/>
          <w:highlight w:val="yellow"/>
        </w:rPr>
      </w:pPr>
    </w:p>
    <w:p w14:paraId="1585B9C5" w14:textId="77777777" w:rsidR="0001312F" w:rsidRDefault="0001312F">
      <w:pPr>
        <w:ind w:firstLine="708"/>
        <w:rPr>
          <w:rFonts w:ascii="Times New Roman" w:eastAsia="Times New Roman" w:hAnsi="Times New Roman" w:cs="Times New Roman"/>
          <w:sz w:val="24"/>
          <w:szCs w:val="24"/>
          <w:highlight w:val="yellow"/>
        </w:rPr>
        <w:sectPr w:rsidR="0001312F">
          <w:pgSz w:w="11906" w:h="16838"/>
          <w:pgMar w:top="1440" w:right="1440" w:bottom="1440" w:left="1440" w:header="706" w:footer="706" w:gutter="0"/>
          <w:cols w:space="708"/>
        </w:sectPr>
      </w:pPr>
    </w:p>
    <w:p w14:paraId="4634899E" w14:textId="77777777" w:rsidR="0001312F" w:rsidRDefault="0001312F">
      <w:pPr>
        <w:spacing w:before="280"/>
        <w:ind w:hanging="2"/>
        <w:rPr>
          <w:rFonts w:ascii="Times New Roman" w:eastAsia="Times New Roman" w:hAnsi="Times New Roman" w:cs="Times New Roman"/>
          <w:b/>
          <w:color w:val="525252"/>
          <w:sz w:val="24"/>
          <w:szCs w:val="24"/>
        </w:rPr>
      </w:pPr>
    </w:p>
    <w:p w14:paraId="68903E1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metrou</w:t>
      </w:r>
    </w:p>
    <w:tbl>
      <w:tblPr>
        <w:tblStyle w:val="ad"/>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7F9F2C44" w14:textId="77777777">
        <w:trPr>
          <w:trHeight w:val="671"/>
          <w:jc w:val="center"/>
        </w:trPr>
        <w:tc>
          <w:tcPr>
            <w:tcW w:w="4800" w:type="dxa"/>
            <w:shd w:val="clear" w:color="auto" w:fill="BFBFBF"/>
            <w:vAlign w:val="center"/>
          </w:tcPr>
          <w:p w14:paraId="00AA4A4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FF0446F"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5F7E2A78"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0630224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9ED4E3F" w14:textId="77777777">
        <w:trPr>
          <w:trHeight w:val="885"/>
          <w:jc w:val="center"/>
        </w:trPr>
        <w:tc>
          <w:tcPr>
            <w:tcW w:w="4800" w:type="dxa"/>
          </w:tcPr>
          <w:p w14:paraId="18723B4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tc>
        <w:tc>
          <w:tcPr>
            <w:tcW w:w="1395" w:type="dxa"/>
          </w:tcPr>
          <w:p w14:paraId="71597932"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108B61E9"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E37ED1A"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în infrastructura de metrou sprijinite în cadrul acestei priorități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528FE6E5"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073 - Infrastructuri de transporturi urbane curate din anexa VI la Regulamentul (UE) nr. 2021/241, cu un coeficient de 100% pentru obiectivul privind schimbările climatice, întrucȃt infrastructura ce va fi construită permite exploatarea materialului rulant cu emisii zero. Având în vedere faptul că această prioritate sprijină cu un coeficient de 100% obiectivul privind atenuarea schimbărilor climatice, se consideră îndeplinit principiul DNSH pentru acest obiectiv de mediu.</w:t>
            </w:r>
          </w:p>
          <w:p w14:paraId="7599C0F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Infrastructura de metrou va contribui la atenuarea efectelor schimbărilor climatice prin oferirea unei opțiuni de transport  public care respectă mediul. Transportul cu metroul reprezintă o alternativă eficientă din punct de vedere ecologic, reducând la minimum emisiile de CO2 echivalent  din zona de influență a rutelor, fiind fiabilă și sigură în comparație cu traficul  rutier. Îmbunătățirea rețelei subterane de transport urban afectează în sens pozitiv nu numai eficienţa acestui sistem de transport în sine, ci și eficiența generală a transportului public, prin impactul asupra altor subsisteme de transport urban (tramvai, autobuz, troleibuz), ce se conectează la acest </w:t>
            </w:r>
            <w:r>
              <w:rPr>
                <w:rFonts w:ascii="Times New Roman" w:eastAsia="Times New Roman" w:hAnsi="Times New Roman" w:cs="Times New Roman"/>
                <w:sz w:val="24"/>
                <w:szCs w:val="24"/>
              </w:rPr>
              <w:lastRenderedPageBreak/>
              <w:t>sistem de tranzit de mare capacitate, cu efecte generalizate asupra reducerii emisiilor de CO2 echivalent din sectorul transporturilor, la nivel urban.</w:t>
            </w:r>
          </w:p>
          <w:p w14:paraId="268CEBD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această prioritate promovează utilizarea energiei electrice în sectorul transporturilor și, prin urmare, poate fi considerată o investiție care va sprijini trecerea la o economie neutră din punct de vedere climatic. </w:t>
            </w:r>
          </w:p>
          <w:p w14:paraId="07419492"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instalațiile de tracțiune electrică vor fi dimensionate și structurate pentru a asigura condiții optime pentru recuperarea energiei de frânare și injectarea acesteia înapoi în sistemul de transport cu metroul.</w:t>
            </w:r>
          </w:p>
        </w:tc>
      </w:tr>
      <w:tr w:rsidR="0001312F" w14:paraId="4105EF58" w14:textId="77777777">
        <w:trPr>
          <w:jc w:val="center"/>
        </w:trPr>
        <w:tc>
          <w:tcPr>
            <w:tcW w:w="4800" w:type="dxa"/>
          </w:tcPr>
          <w:p w14:paraId="1FDFC3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p w14:paraId="6655D591"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05EF0A46" w14:textId="40241079"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3E69D6CD" w14:textId="2D139A1D" w:rsidR="0001312F" w:rsidRDefault="009E588A">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4359B495" w14:textId="4132F2D1" w:rsidR="0001312F" w:rsidRDefault="007558C5">
            <w:pPr>
              <w:tabs>
                <w:tab w:val="left" w:pos="1019"/>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Tipurile de acţiuni propuse prin această prioritate nu sunt în măsură să </w:t>
            </w:r>
            <w:r w:rsidR="00945863">
              <w:rPr>
                <w:rFonts w:ascii="Times New Roman" w:eastAsia="Times New Roman" w:hAnsi="Times New Roman" w:cs="Times New Roman"/>
                <w:sz w:val="24"/>
                <w:szCs w:val="24"/>
              </w:rPr>
              <w:t xml:space="preserve">genereze un efect negativ asupra procesului de adaptare la schimbările climatice. Însă tipurile de acţiuni pot fi vulnerabile la efectele schimbărilor climatice. </w:t>
            </w:r>
          </w:p>
          <w:p w14:paraId="7D62593A" w14:textId="7F889444" w:rsidR="0061782E" w:rsidRDefault="0061782E" w:rsidP="008F11C9">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vizate au o durata de viață preconizată a activelor de 100 de ani, fiind localizate într-o zonă predispusă influențelor creșterii temperaturii, a creșterii incidenţei precipitațiilor  abundente, a inundațiilor, a vitezei vântului, dar și riscului seismic și altor riscuri geologice, în cadrul studiului de fezabilitate și documentaţiei aferente evaluării de impact asupra mediului, se va realiza și evaluarea riscurilor climatice și celorlalte vulnerabilități identificate, utilizȃndu-se proiecții climatice în cadrul unei serii de scenarii viitoare, ținând seama de durata de viață preconizată a construcțiilor și instalațiilor.</w:t>
            </w:r>
          </w:p>
        </w:tc>
      </w:tr>
      <w:tr w:rsidR="0001312F" w14:paraId="028409D0" w14:textId="77777777">
        <w:trPr>
          <w:jc w:val="center"/>
        </w:trPr>
        <w:tc>
          <w:tcPr>
            <w:tcW w:w="4800" w:type="dxa"/>
          </w:tcPr>
          <w:p w14:paraId="1BBBE4C1"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1243752A" w14:textId="4298D40A" w:rsidR="0001312F" w:rsidRDefault="002C3763">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r w:rsidDel="00636543">
              <w:rPr>
                <w:rFonts w:ascii="Times New Roman" w:eastAsia="Times New Roman" w:hAnsi="Times New Roman" w:cs="Times New Roman"/>
                <w:b/>
                <w:sz w:val="24"/>
                <w:szCs w:val="24"/>
              </w:rPr>
              <w:t xml:space="preserve"> </w:t>
            </w:r>
          </w:p>
        </w:tc>
        <w:tc>
          <w:tcPr>
            <w:tcW w:w="1095" w:type="dxa"/>
          </w:tcPr>
          <w:p w14:paraId="40F296D0" w14:textId="14174CF8"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35907923"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52F861A3" w14:textId="77777777">
        <w:trPr>
          <w:jc w:val="center"/>
        </w:trPr>
        <w:tc>
          <w:tcPr>
            <w:tcW w:w="4800" w:type="dxa"/>
          </w:tcPr>
          <w:p w14:paraId="26B658D6" w14:textId="7C0B548D"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3C7ADC3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05FE979"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0A8CB49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1742A5D8" w14:textId="77777777">
        <w:trPr>
          <w:jc w:val="center"/>
        </w:trPr>
        <w:tc>
          <w:tcPr>
            <w:tcW w:w="4800" w:type="dxa"/>
          </w:tcPr>
          <w:p w14:paraId="6762751D" w14:textId="59B7AC04" w:rsidR="0001312F" w:rsidRDefault="0067039D" w:rsidP="00E150E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Prevenirea și controlul poluării în aer, apă sau sol</w:t>
            </w:r>
          </w:p>
        </w:tc>
        <w:tc>
          <w:tcPr>
            <w:tcW w:w="1395" w:type="dxa"/>
          </w:tcPr>
          <w:p w14:paraId="4733C2A9" w14:textId="764F0CF6"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1095" w:type="dxa"/>
          </w:tcPr>
          <w:p w14:paraId="27BFA12B" w14:textId="152DD450"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36543">
              <w:rPr>
                <w:rFonts w:ascii="Times New Roman" w:eastAsia="Times New Roman" w:hAnsi="Times New Roman" w:cs="Times New Roman"/>
                <w:b/>
                <w:sz w:val="24"/>
                <w:szCs w:val="24"/>
              </w:rPr>
              <w:t>X</w:t>
            </w:r>
          </w:p>
        </w:tc>
        <w:tc>
          <w:tcPr>
            <w:tcW w:w="7320" w:type="dxa"/>
          </w:tcPr>
          <w:p w14:paraId="0CA2044B" w14:textId="6A5C0C62" w:rsidR="0001312F" w:rsidRDefault="004E2108">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Tipurile de acţiuni nu sunt generatoare de poluanţi</w:t>
            </w:r>
            <w:r w:rsidR="007B4D43">
              <w:rPr>
                <w:rFonts w:ascii="Times New Roman" w:eastAsia="Times New Roman" w:hAnsi="Times New Roman" w:cs="Times New Roman"/>
                <w:sz w:val="24"/>
                <w:szCs w:val="24"/>
              </w:rPr>
              <w:t xml:space="preserve"> pe termen lung</w:t>
            </w:r>
            <w:r>
              <w:rPr>
                <w:rFonts w:ascii="Times New Roman" w:eastAsia="Times New Roman" w:hAnsi="Times New Roman" w:cs="Times New Roman"/>
                <w:sz w:val="24"/>
                <w:szCs w:val="24"/>
              </w:rPr>
              <w:t xml:space="preserve"> în aer, apă sau so</w:t>
            </w:r>
            <w:r w:rsidR="007B4D43">
              <w:rPr>
                <w:rFonts w:ascii="Times New Roman" w:eastAsia="Times New Roman" w:hAnsi="Times New Roman" w:cs="Times New Roman"/>
                <w:sz w:val="24"/>
                <w:szCs w:val="24"/>
              </w:rPr>
              <w:t xml:space="preserve">l.  Pot fi generaţi poluanţi pe </w:t>
            </w:r>
            <w:r w:rsidR="00F45255">
              <w:rPr>
                <w:rFonts w:ascii="Times New Roman" w:eastAsia="Times New Roman" w:hAnsi="Times New Roman" w:cs="Times New Roman"/>
                <w:sz w:val="24"/>
                <w:szCs w:val="24"/>
              </w:rPr>
              <w:t>perioada</w:t>
            </w:r>
            <w:r w:rsidR="0085685D">
              <w:rPr>
                <w:rFonts w:ascii="Times New Roman" w:eastAsia="Times New Roman" w:hAnsi="Times New Roman" w:cs="Times New Roman"/>
                <w:sz w:val="24"/>
                <w:szCs w:val="24"/>
              </w:rPr>
              <w:t xml:space="preserve"> </w:t>
            </w:r>
            <w:r w:rsidR="00F45255">
              <w:rPr>
                <w:rFonts w:ascii="Times New Roman" w:eastAsia="Times New Roman" w:hAnsi="Times New Roman" w:cs="Times New Roman"/>
                <w:sz w:val="24"/>
                <w:szCs w:val="24"/>
              </w:rPr>
              <w:t xml:space="preserve">implementării proiectelor, însă acestea </w:t>
            </w:r>
            <w:r w:rsidR="0085685D">
              <w:rPr>
                <w:rFonts w:ascii="Times New Roman" w:eastAsia="Times New Roman" w:hAnsi="Times New Roman" w:cs="Times New Roman"/>
                <w:sz w:val="24"/>
                <w:szCs w:val="24"/>
              </w:rPr>
              <w:t xml:space="preserve">nu vor fi semnificative, de asemenea proiectele </w:t>
            </w:r>
            <w:r w:rsidR="00F45255">
              <w:rPr>
                <w:rFonts w:ascii="Times New Roman" w:eastAsia="Times New Roman" w:hAnsi="Times New Roman" w:cs="Times New Roman"/>
                <w:sz w:val="24"/>
                <w:szCs w:val="24"/>
              </w:rPr>
              <w:t>vor parcurge procedura de emitere a Acordului de mediu, în urma c</w:t>
            </w:r>
            <w:r w:rsidR="00506A0E">
              <w:rPr>
                <w:rFonts w:ascii="Times New Roman" w:eastAsia="Times New Roman" w:hAnsi="Times New Roman" w:cs="Times New Roman"/>
                <w:sz w:val="24"/>
                <w:szCs w:val="24"/>
              </w:rPr>
              <w:t>ăruia va fi analizat impactul negativ</w:t>
            </w:r>
            <w:r w:rsidR="00897129">
              <w:rPr>
                <w:rFonts w:ascii="Times New Roman" w:eastAsia="Times New Roman" w:hAnsi="Times New Roman" w:cs="Times New Roman"/>
                <w:sz w:val="24"/>
                <w:szCs w:val="24"/>
              </w:rPr>
              <w:t xml:space="preserve"> </w:t>
            </w:r>
            <w:r w:rsidR="00506A0E">
              <w:rPr>
                <w:rFonts w:ascii="Times New Roman" w:eastAsia="Times New Roman" w:hAnsi="Times New Roman" w:cs="Times New Roman"/>
                <w:sz w:val="24"/>
                <w:szCs w:val="24"/>
              </w:rPr>
              <w:t>asupra aspectelor de mediu şi propuse măsuri adecvate astfel încât să</w:t>
            </w:r>
            <w:r w:rsidR="007E17CC">
              <w:rPr>
                <w:rFonts w:ascii="Times New Roman" w:eastAsia="Times New Roman" w:hAnsi="Times New Roman" w:cs="Times New Roman"/>
                <w:sz w:val="24"/>
                <w:szCs w:val="24"/>
              </w:rPr>
              <w:t xml:space="preserve"> fie </w:t>
            </w:r>
            <w:r w:rsidR="000B5E14">
              <w:rPr>
                <w:rFonts w:ascii="Times New Roman" w:eastAsia="Times New Roman" w:hAnsi="Times New Roman" w:cs="Times New Roman"/>
                <w:sz w:val="24"/>
                <w:szCs w:val="24"/>
              </w:rPr>
              <w:t xml:space="preserve">evitat şi redus orice potenţial </w:t>
            </w:r>
            <w:r w:rsidR="00897129">
              <w:rPr>
                <w:rFonts w:ascii="Times New Roman" w:eastAsia="Times New Roman" w:hAnsi="Times New Roman" w:cs="Times New Roman"/>
                <w:sz w:val="24"/>
                <w:szCs w:val="24"/>
              </w:rPr>
              <w:t xml:space="preserve">impact negativ. </w:t>
            </w:r>
            <w:r w:rsidR="00E94062">
              <w:rPr>
                <w:rFonts w:ascii="Times New Roman" w:eastAsia="Times New Roman" w:hAnsi="Times New Roman" w:cs="Times New Roman"/>
                <w:sz w:val="24"/>
                <w:szCs w:val="24"/>
              </w:rPr>
              <w:t xml:space="preserve">Cu toate acestea nu se consideră a exista un potenţial de a fi generat un efect negativ semnificativ. </w:t>
            </w:r>
          </w:p>
          <w:p w14:paraId="7D96A4F1" w14:textId="555B8A4D" w:rsidR="00E94062" w:rsidRDefault="00E94062">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parcurgerea procedurii de mediu se consideră îndeplinit </w:t>
            </w:r>
            <w:r w:rsidR="00BF062A">
              <w:rPr>
                <w:rFonts w:ascii="Times New Roman" w:eastAsia="Times New Roman" w:hAnsi="Times New Roman" w:cs="Times New Roman"/>
                <w:sz w:val="24"/>
                <w:szCs w:val="24"/>
              </w:rPr>
              <w:t xml:space="preserve">principiul DNSH pentru acest obiectiv </w:t>
            </w:r>
            <w:r w:rsidR="00A14830">
              <w:rPr>
                <w:rFonts w:ascii="Times New Roman" w:eastAsia="Times New Roman" w:hAnsi="Times New Roman" w:cs="Times New Roman"/>
                <w:sz w:val="24"/>
                <w:szCs w:val="24"/>
              </w:rPr>
              <w:t xml:space="preserve">de mediu. </w:t>
            </w:r>
          </w:p>
        </w:tc>
      </w:tr>
      <w:tr w:rsidR="0001312F" w14:paraId="6F2A32C2" w14:textId="77777777">
        <w:trPr>
          <w:jc w:val="center"/>
        </w:trPr>
        <w:tc>
          <w:tcPr>
            <w:tcW w:w="4800" w:type="dxa"/>
          </w:tcPr>
          <w:p w14:paraId="72E0FF58"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tcPr>
          <w:p w14:paraId="3CB0D5C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6706AC47"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060C10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de metrou nu au un impact semnificativ previzibil asupra acestui obiectiv de mediu, luând în considerare atât efectele directe, cât și pe cele primare indirecte, de pe parcursul duratei de viață a investițiilor. </w:t>
            </w:r>
          </w:p>
          <w:p w14:paraId="17DB8657"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specifică submăsurii este localizată în zona centrală a Municipiului București și nu se suprapune cu zone sensibile din punctul de vedere al biodiversității sau în apropierea acestora (inclusiv rețeaua de arii protejate Natura 2000, siturile naturale înscrise pe Lista patrimoniului mondial UNESCO și principalele zone de biodiversitate, precum și alte zone protejate).</w:t>
            </w:r>
          </w:p>
          <w:p w14:paraId="5BBD7BF0"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Urmare a parcurgerii etapelor procesului de evaluare a impactului asupra mediului, pentru acele proiecte pentru care pregătirea a fost finalizată, realizat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w:t>
            </w:r>
            <w:r>
              <w:rPr>
                <w:rFonts w:ascii="Times New Roman" w:eastAsia="Times New Roman" w:hAnsi="Times New Roman" w:cs="Times New Roman"/>
                <w:sz w:val="24"/>
                <w:szCs w:val="24"/>
              </w:rPr>
              <w:lastRenderedPageBreak/>
              <w:t>faună și floră sălbatică, s-a concluzionat că nu se preconizează niciun efect semnificativ asupra acestui obiectiv.</w:t>
            </w:r>
          </w:p>
          <w:p w14:paraId="0F48993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spațiile verzi din zona șantierului lucrării, acestea vor fi refăcute imediat după finalizarea lucrărilor, indiferent de locul în care au fost afectate, iar în timpul perioadei de exploatare a infrastructurii, vegetația nu va fi afectată din cauza funcționării metroului.</w:t>
            </w:r>
          </w:p>
        </w:tc>
      </w:tr>
    </w:tbl>
    <w:p w14:paraId="40EA38A2" w14:textId="77777777" w:rsidR="0001312F" w:rsidRDefault="0001312F">
      <w:pPr>
        <w:spacing w:after="0"/>
        <w:ind w:hanging="2"/>
        <w:rPr>
          <w:rFonts w:ascii="Times New Roman" w:eastAsia="Times New Roman" w:hAnsi="Times New Roman" w:cs="Times New Roman"/>
          <w:sz w:val="24"/>
          <w:szCs w:val="24"/>
        </w:rPr>
      </w:pPr>
    </w:p>
    <w:p w14:paraId="748B77F0" w14:textId="77777777" w:rsidR="0001312F" w:rsidRDefault="0067039D">
      <w:pPr>
        <w:tabs>
          <w:tab w:val="left" w:pos="856"/>
        </w:tabs>
        <w:spacing w:after="0"/>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5853145" w14:textId="77777777" w:rsidR="0001312F" w:rsidRDefault="0001312F">
      <w:pPr>
        <w:spacing w:after="0"/>
        <w:ind w:hanging="2"/>
        <w:rPr>
          <w:rFonts w:ascii="Times New Roman" w:eastAsia="Times New Roman" w:hAnsi="Times New Roman" w:cs="Times New Roman"/>
          <w:sz w:val="24"/>
          <w:szCs w:val="24"/>
        </w:rPr>
      </w:pPr>
    </w:p>
    <w:p w14:paraId="01BFD9F2"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metrou</w:t>
      </w:r>
    </w:p>
    <w:tbl>
      <w:tblPr>
        <w:tblStyle w:val="ae"/>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4199848" w14:textId="77777777">
        <w:trPr>
          <w:jc w:val="center"/>
        </w:trPr>
        <w:tc>
          <w:tcPr>
            <w:tcW w:w="3315" w:type="dxa"/>
            <w:shd w:val="clear" w:color="auto" w:fill="D9EAD3"/>
          </w:tcPr>
          <w:p w14:paraId="3818BD08"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2818A484"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546C26C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432DFE6" w14:textId="77777777">
        <w:trPr>
          <w:jc w:val="center"/>
        </w:trPr>
        <w:tc>
          <w:tcPr>
            <w:tcW w:w="3315" w:type="dxa"/>
          </w:tcPr>
          <w:p w14:paraId="50FE37D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43B1343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002CADD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D151F9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3E69B69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788E220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7FBB8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aceste investiții va fi demarat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57A4A7F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impactului asupra mediului va include și o evaluare a impactului asupra resurselor de apă, în conformitate cu prevederile Directivei 2000/60/CE privind stabilirea unui cadru de politică comunitară în domeniul apei, cu modificările ulterioare și ale Directivei 2006/118/CE privind protecția apelor subterane împotriva poluării și a deteriorării, transpuse în legislația națională prin HG nr. 449/2013 privind modificarea şi completarea anexei la Hotărârea Guvernului nr. 53/2009 pentru aprobarea Planului naţional de protecţie a apelor subterane împotriva poluării şi deteriorării și Ordinul nr. 621 din 7 iulie 2014 privind aprobarea valorilor de prag pentru apele subterane din România.</w:t>
            </w:r>
          </w:p>
          <w:p w14:paraId="62CCC5B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competente pentru protecția mediului, care vor monitoriza interacțiunea procesului de realizare a construcțiilor subterane cu factorii de mediu. Astfel, organizarea activității va fi aprobată și controlată  din punctul de vedere al protecției mediului.</w:t>
            </w:r>
          </w:p>
          <w:p w14:paraId="64C9B12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În ceea ce privește apele subterane, având în vedere că nivelul apei freatice este situat deasupra nivelului de excavare, pentru etapa de implementare va fi necesară proiectarea unor sisteme de drenaj capabile să reducă nivelul piezometric al acviferului și presiunea hidrostatică, astfel încât să se asigure condiții de execuție sigure și uscate. </w:t>
            </w:r>
          </w:p>
          <w:p w14:paraId="289F184A"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Astfel, în timpul executării unor structuri ale metroului, este posibil ca nivelul apei subterane să fie influențat de lucrările de drenaj, respectiv acest nivel va scădea, astfel încât să se asigure condițiile necesare pentru execuție. Sistemele de drenare vor funcționa gravitațional, fără a fi necesare alte instalații. </w:t>
            </w:r>
          </w:p>
          <w:p w14:paraId="7A739BE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Însă această situație are caracter temporar, nivelul apei freatice va fi restabilit după finalizarea lucrărilor, nefiind afectată dinamica, cantitatea și calitatea apelor freatice. </w:t>
            </w:r>
          </w:p>
          <w:p w14:paraId="403108F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că de-a lungul rutelor de metrou executate sub protecția lucrărilor de drenaj nu au fost evidențiate fenomene negative, se estimează că lucrările viitoare de drenaj vor asigura reducerea nivelului apelor subterane fără evenimente negative semnificative. Investițiile nu au impact asupra straturilor acvifere adânci sau de adâncime medie.</w:t>
            </w:r>
          </w:p>
        </w:tc>
      </w:tr>
      <w:tr w:rsidR="0001312F" w14:paraId="76B8F8C7" w14:textId="77777777">
        <w:trPr>
          <w:jc w:val="center"/>
        </w:trPr>
        <w:tc>
          <w:tcPr>
            <w:tcW w:w="3315" w:type="dxa"/>
          </w:tcPr>
          <w:p w14:paraId="1EC45C6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6E1A0A8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812A379"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E164F4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w:t>
            </w:r>
            <w:r>
              <w:rPr>
                <w:rFonts w:ascii="Times New Roman" w:eastAsia="Times New Roman" w:hAnsi="Times New Roman" w:cs="Times New Roman"/>
                <w:sz w:val="24"/>
                <w:szCs w:val="24"/>
              </w:rPr>
              <w:lastRenderedPageBreak/>
              <w:t xml:space="preserve">incinerării deșeurilor periculoase nereciclabile sau </w:t>
            </w:r>
          </w:p>
          <w:p w14:paraId="38EBDCB7"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4B7F19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ciclului său de viață, care nu sunt reduse la minimum prin măsuri adecvate sau </w:t>
            </w:r>
          </w:p>
          <w:p w14:paraId="65FFF065"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6B6458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399743E2"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7B14132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de metrou provin din următoarele două etape:</w:t>
            </w:r>
          </w:p>
          <w:p w14:paraId="4C2EFDFB"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construcție;</w:t>
            </w:r>
          </w:p>
          <w:p w14:paraId="41D25F20" w14:textId="77777777" w:rsidR="0001312F" w:rsidRDefault="0067039D">
            <w:pPr>
              <w:numPr>
                <w:ilvl w:val="0"/>
                <w:numId w:val="17"/>
              </w:numPr>
              <w:tabs>
                <w:tab w:val="left" w:pos="1087"/>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din timpul  etapei de operare.</w:t>
            </w:r>
          </w:p>
          <w:p w14:paraId="3E98196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6C1368E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3FAC094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Ţinând seama de prevederile Deciziei nr. 2000/532/CE a Comisiei, preluată în legislaţia naţională prin HG nr. 856/2002, cu modificările și completările ulterioare, pe baza proiectelor derulate anterior, se poate concluziona că din lucrările de construcție a infrastructurii de metrou nu va rezulta niciun deșeu periculos. De asemenea, în timpul perioadei de execuție nu vor fi utilizate substanțe toxice și periculoase care să necesite un tratament și un regim speciale.</w:t>
            </w:r>
          </w:p>
          <w:p w14:paraId="45ED052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plus, se estimează că deșeurile rezultate din lucrările aferente acestor investiții nu necesită tratare.</w:t>
            </w:r>
          </w:p>
          <w:p w14:paraId="30EC1FAF"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construcție,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Antreprenorul are obligaţia, conform HG nr. 856/2002, cu modificările și completările ulterioare, să ţină evidenţa lunară a colectării, stocării provizorii şi eliminării deşeurilor către depozitele autorizate.</w:t>
            </w:r>
          </w:p>
          <w:p w14:paraId="6D8846F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constructorii se vor asigura că o parte din deșeurile nepericuloase rezultate din construcții și demolări vor fi sortate pentru a facilita reutilizarea și reciclarea. Astfel, constructorii se vor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pentru reutilizare, reciclare și alte operațiuni de valorificare materială, inclusiv operațiuni de umplere care utilizează deșeuri pentru a înlocui alte materiale.</w:t>
            </w:r>
          </w:p>
          <w:p w14:paraId="2017CCD3"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Pământul şi pietrişul rezultate din săpătură şi care nu se vor recupera la lucrare vor fi reutilizate la drumuri locale sau se vor depozita în locuri acceptate de autorităţile locale.</w:t>
            </w:r>
          </w:p>
          <w:p w14:paraId="4C1972A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Raportarea la autorităţile de mediu se va face în conformitate cu prevederile legislaţiei specifice.</w:t>
            </w:r>
          </w:p>
          <w:p w14:paraId="074F31E8"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Pentru etapa de operare, nu se estimează că activităţile vor conduce la o creștere semnificativă în ceea ce privește generarea, incinerarea sau eliminarea deșeurilor, precum și nici în ceea ce privește eventuale efecte negative privind utilizarea durabilă a resurselor naturale și economia circulară.</w:t>
            </w:r>
          </w:p>
          <w:p w14:paraId="043A333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etapei de exploatare a liniilor de metrou, deșeurile rezultate din înlocuirea liniei sau din eliminarea vechilor instalații sau mașini vor fi depozitate în spații special amenajate în subteran, pentru a fi apoi predate spre recuperare unor unități specializate (materialele declasate vor fi valorificate ca fier vechi). De asemenea, deșeurile rezultate din activitățile care urmează să fie desfășurate în stațiile de transformare și în tuneluri necesită depozitarea temporară în vederea reciclării și recuperării sau eliminării la rampele municipale de  deșeuri.</w:t>
            </w:r>
          </w:p>
          <w:p w14:paraId="47CBF66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de tip menajer din staţii vor fi eliminate prin contracte cu operatori de salubritate autorizați.</w:t>
            </w:r>
          </w:p>
        </w:tc>
      </w:tr>
    </w:tbl>
    <w:p w14:paraId="38864E40" w14:textId="77777777" w:rsidR="0001312F" w:rsidRDefault="0001312F">
      <w:pPr>
        <w:spacing w:before="280" w:after="280"/>
        <w:ind w:hanging="2"/>
        <w:rPr>
          <w:rFonts w:ascii="Times New Roman" w:eastAsia="Times New Roman" w:hAnsi="Times New Roman" w:cs="Times New Roman"/>
          <w:b/>
          <w:color w:val="525252"/>
          <w:sz w:val="24"/>
          <w:szCs w:val="24"/>
        </w:rPr>
      </w:pPr>
    </w:p>
    <w:p w14:paraId="538077F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1 a listei de verificare – infrastructura de tren metropolitan</w:t>
      </w:r>
    </w:p>
    <w:tbl>
      <w:tblPr>
        <w:tblStyle w:val="af"/>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555C9614" w14:textId="77777777">
        <w:trPr>
          <w:trHeight w:val="671"/>
          <w:jc w:val="center"/>
        </w:trPr>
        <w:tc>
          <w:tcPr>
            <w:tcW w:w="4800" w:type="dxa"/>
            <w:shd w:val="clear" w:color="auto" w:fill="BFBFBF"/>
            <w:vAlign w:val="center"/>
          </w:tcPr>
          <w:p w14:paraId="0287D83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307F5FE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218EB5D4"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AE24421"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6972897" w14:textId="77777777">
        <w:trPr>
          <w:trHeight w:val="1474"/>
          <w:jc w:val="center"/>
        </w:trPr>
        <w:tc>
          <w:tcPr>
            <w:tcW w:w="4800" w:type="dxa"/>
          </w:tcPr>
          <w:p w14:paraId="5BF67347"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w:t>
            </w:r>
          </w:p>
          <w:p w14:paraId="18B147DB"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Construcția / reabilitarea de căi ferate </w:t>
            </w:r>
          </w:p>
        </w:tc>
        <w:tc>
          <w:tcPr>
            <w:tcW w:w="1395" w:type="dxa"/>
          </w:tcPr>
          <w:p w14:paraId="641E66F6" w14:textId="77777777" w:rsidR="0001312F" w:rsidRDefault="0001312F">
            <w:pPr>
              <w:tabs>
                <w:tab w:val="left" w:pos="8460"/>
              </w:tabs>
              <w:spacing w:before="120" w:after="0" w:line="276" w:lineRule="auto"/>
              <w:ind w:right="45" w:hanging="2"/>
              <w:jc w:val="center"/>
              <w:rPr>
                <w:rFonts w:ascii="Times New Roman" w:eastAsia="Times New Roman" w:hAnsi="Times New Roman" w:cs="Times New Roman"/>
                <w:sz w:val="24"/>
                <w:szCs w:val="24"/>
              </w:rPr>
            </w:pPr>
          </w:p>
        </w:tc>
        <w:tc>
          <w:tcPr>
            <w:tcW w:w="1095" w:type="dxa"/>
          </w:tcPr>
          <w:p w14:paraId="7D60D35D"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7320" w:type="dxa"/>
          </w:tcPr>
          <w:p w14:paraId="06999B7D"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4DEEB1E6"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w:t>
            </w:r>
            <w:r>
              <w:rPr>
                <w:rFonts w:ascii="Times New Roman" w:eastAsia="Times New Roman" w:hAnsi="Times New Roman" w:cs="Times New Roman"/>
                <w:sz w:val="24"/>
                <w:szCs w:val="24"/>
              </w:rPr>
              <w:lastRenderedPageBreak/>
              <w:t>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592B93D4" w14:textId="77777777" w:rsidR="0001312F" w:rsidRDefault="0067039D">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Modernizarea liniilor de cale ferată va contribui la atenuarea efectelor schimbărilor climatice prin oferirea unei alternative de transport  care respectă mediul. </w:t>
            </w:r>
          </w:p>
          <w:p w14:paraId="77D30C98"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în infrastructura feroviară promovează utilizarea energiei electrice în sectorul transporturilor și, prin urmare, pot fi considerate investiții ce vor sprijini trecerea la o economie neutră din punct de vedere climatic. </w:t>
            </w:r>
          </w:p>
        </w:tc>
      </w:tr>
      <w:tr w:rsidR="0001312F" w14:paraId="37B1DFD2" w14:textId="77777777">
        <w:trPr>
          <w:jc w:val="center"/>
        </w:trPr>
        <w:tc>
          <w:tcPr>
            <w:tcW w:w="4800" w:type="dxa"/>
          </w:tcPr>
          <w:p w14:paraId="4A34A333" w14:textId="51B12EB4"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Adaptarea la schimbările climatice</w:t>
            </w:r>
          </w:p>
        </w:tc>
        <w:tc>
          <w:tcPr>
            <w:tcW w:w="1395" w:type="dxa"/>
          </w:tcPr>
          <w:p w14:paraId="6065CA92" w14:textId="15599A9E"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tc>
        <w:tc>
          <w:tcPr>
            <w:tcW w:w="1095" w:type="dxa"/>
          </w:tcPr>
          <w:p w14:paraId="3C192439" w14:textId="657DBCA5" w:rsidR="0001312F" w:rsidRDefault="00E801F4">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7320" w:type="dxa"/>
          </w:tcPr>
          <w:p w14:paraId="6E8FF4A7"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nu vor avea un impact semnificativ previzibil asupra obiectivului de mediu privind atenuarea schimbărilor climatice, luȃnd în considerare atȃt efectele directe de pe parcursul implementării, cȃt și efectele primare indirecte de pe parcursul duratei de viaţă a investiţiei.</w:t>
            </w:r>
          </w:p>
          <w:p w14:paraId="23A9A241"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Aceste investiții sunt eligibile în cadrul domeniului de intervenție 064 - Căi ferate nou construite sau reabilitate – rețeaua centrală TEN-T  din anexa VI la Regulamentul (UE) nr. 2021/241, cu un coeficient de 100% pentru obiectivul privind schimbările climatice, întrucȃt infrastructura ce va fi construită permite exploatarea materialului rulant cu emisii zero. Având în vedere faptul că măsurile sprijină cu un coeficient de 100% obiectivul privind atenuarea schimbărilor climatice, se consideră îndeplinit principiul DNSH pentru acest obiectiv de mediu.</w:t>
            </w:r>
          </w:p>
          <w:p w14:paraId="3DC26D8E" w14:textId="77777777" w:rsidR="00614CB3" w:rsidRDefault="00614CB3" w:rsidP="00614CB3">
            <w:pPr>
              <w:tabs>
                <w:tab w:val="left" w:pos="8460"/>
              </w:tabs>
              <w:spacing w:before="120" w:after="240" w:line="276" w:lineRule="auto"/>
              <w:ind w:right="45"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Modernizarea liniilor de cale ferată va contribui la atenuarea efectelor schimbărilor climatice prin oferirea unei alternative de transport  care respectă mediul. </w:t>
            </w:r>
          </w:p>
          <w:p w14:paraId="2B8F68BD" w14:textId="66F1C789" w:rsidR="0001312F" w:rsidRDefault="00614CB3" w:rsidP="00614CB3">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în infrastructura feroviară promovează utilizarea energiei electrice în sectorul transporturilor și, prin urmare, pot fi considerate investiții ce vor sprijini trecerea la o economie neutră din punct de vedere climatic.</w:t>
            </w:r>
          </w:p>
        </w:tc>
      </w:tr>
      <w:tr w:rsidR="0001312F" w14:paraId="3D692D67" w14:textId="77777777">
        <w:trPr>
          <w:trHeight w:val="421"/>
          <w:jc w:val="center"/>
        </w:trPr>
        <w:tc>
          <w:tcPr>
            <w:tcW w:w="4800" w:type="dxa"/>
          </w:tcPr>
          <w:p w14:paraId="3DE447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Utilizarea durabilă și protejarea resurselor de apă și a celor marine</w:t>
            </w:r>
          </w:p>
        </w:tc>
        <w:tc>
          <w:tcPr>
            <w:tcW w:w="1395" w:type="dxa"/>
            <w:vAlign w:val="center"/>
          </w:tcPr>
          <w:p w14:paraId="79A5DB8C" w14:textId="77777777" w:rsidR="0001312F" w:rsidRDefault="0067039D">
            <w:pPr>
              <w:spacing w:after="0"/>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6AE48A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5C94395B"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sz w:val="24"/>
                <w:szCs w:val="24"/>
              </w:rPr>
            </w:pPr>
          </w:p>
        </w:tc>
      </w:tr>
      <w:tr w:rsidR="0001312F" w14:paraId="7F44BE6F" w14:textId="77777777">
        <w:trPr>
          <w:jc w:val="center"/>
        </w:trPr>
        <w:tc>
          <w:tcPr>
            <w:tcW w:w="4800" w:type="dxa"/>
          </w:tcPr>
          <w:p w14:paraId="175CB706" w14:textId="298D501B"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tc>
        <w:tc>
          <w:tcPr>
            <w:tcW w:w="1395" w:type="dxa"/>
          </w:tcPr>
          <w:p w14:paraId="5AE618ED"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48571B55"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50C0608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71E591AC" w14:textId="77777777">
        <w:trPr>
          <w:jc w:val="center"/>
        </w:trPr>
        <w:tc>
          <w:tcPr>
            <w:tcW w:w="4800" w:type="dxa"/>
          </w:tcPr>
          <w:p w14:paraId="4C7D5A34" w14:textId="2D46D1D5" w:rsidR="0001312F" w:rsidRDefault="0067039D" w:rsidP="00E801F4">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tc>
        <w:tc>
          <w:tcPr>
            <w:tcW w:w="1395" w:type="dxa"/>
          </w:tcPr>
          <w:p w14:paraId="7FFA557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41AD37C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7320" w:type="dxa"/>
          </w:tcPr>
          <w:p w14:paraId="2D42ACA2"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r w:rsidR="0001312F" w14:paraId="4FE1E5E6" w14:textId="77777777">
        <w:trPr>
          <w:trHeight w:val="421"/>
          <w:jc w:val="center"/>
        </w:trPr>
        <w:tc>
          <w:tcPr>
            <w:tcW w:w="4800" w:type="dxa"/>
          </w:tcPr>
          <w:p w14:paraId="0F1276FD"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Protecția și restaurarea biodiversității și a ecosistemelor</w:t>
            </w:r>
          </w:p>
        </w:tc>
        <w:tc>
          <w:tcPr>
            <w:tcW w:w="1395" w:type="dxa"/>
            <w:vAlign w:val="center"/>
          </w:tcPr>
          <w:p w14:paraId="526B72FE"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95" w:type="dxa"/>
          </w:tcPr>
          <w:p w14:paraId="7F27651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255F30DA"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r>
    </w:tbl>
    <w:p w14:paraId="283D8611" w14:textId="77777777" w:rsidR="0001312F" w:rsidRDefault="0001312F">
      <w:pPr>
        <w:spacing w:before="280" w:after="280"/>
        <w:ind w:hanging="2"/>
        <w:rPr>
          <w:rFonts w:ascii="Times New Roman" w:eastAsia="Times New Roman" w:hAnsi="Times New Roman" w:cs="Times New Roman"/>
          <w:b/>
          <w:color w:val="525252"/>
          <w:sz w:val="24"/>
          <w:szCs w:val="24"/>
        </w:rPr>
      </w:pPr>
    </w:p>
    <w:p w14:paraId="5B4D0806" w14:textId="77777777" w:rsidR="0001312F" w:rsidRDefault="0001312F">
      <w:pPr>
        <w:spacing w:before="280" w:after="280"/>
        <w:ind w:hanging="2"/>
        <w:rPr>
          <w:rFonts w:ascii="Times New Roman" w:eastAsia="Times New Roman" w:hAnsi="Times New Roman" w:cs="Times New Roman"/>
          <w:b/>
          <w:color w:val="525252"/>
          <w:sz w:val="24"/>
          <w:szCs w:val="24"/>
        </w:rPr>
      </w:pPr>
    </w:p>
    <w:p w14:paraId="6B48A6E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 – infrastructura de tren metropolitan</w:t>
      </w:r>
    </w:p>
    <w:tbl>
      <w:tblPr>
        <w:tblStyle w:val="af0"/>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0B4ED562" w14:textId="77777777">
        <w:trPr>
          <w:jc w:val="center"/>
        </w:trPr>
        <w:tc>
          <w:tcPr>
            <w:tcW w:w="3315" w:type="dxa"/>
            <w:shd w:val="clear" w:color="auto" w:fill="D9EAD3"/>
          </w:tcPr>
          <w:p w14:paraId="5D389BC0"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5FBC03DE"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4AED43CC"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65BC6CBB" w14:textId="77777777">
        <w:trPr>
          <w:jc w:val="center"/>
        </w:trPr>
        <w:tc>
          <w:tcPr>
            <w:tcW w:w="3315" w:type="dxa"/>
          </w:tcPr>
          <w:p w14:paraId="313896B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62FBEBC3"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759071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41603224"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27070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starea ecologică bună a apelor marine?</w:t>
            </w:r>
          </w:p>
        </w:tc>
        <w:tc>
          <w:tcPr>
            <w:tcW w:w="870" w:type="dxa"/>
          </w:tcPr>
          <w:p w14:paraId="4EA0C398"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87C7105"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29087548"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Evaluarea impactului asupra mediului include și o evaluare a impactului asupra resurselor de apă, în conformitate cu prevederile Directivei 2000/60/CE privind stabilirea unui cadru de politică comunitară în domeniul apei, cu modificările ulterioare.</w:t>
            </w:r>
          </w:p>
          <w:p w14:paraId="448801EE"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timpul perioadei de construcție, activitatea va fi coordonată de specialiștii autorității competențe pentru protecția mediului, care vor monitoriza interacțiunea procesului de realizare a construcțiilor subterane cu factorii de mediu. Astfel, organizarea activității va fi aprobată și controlată  din punctul de vedere al protecției mediului.</w:t>
            </w:r>
          </w:p>
          <w:p w14:paraId="30BED8D6"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Constructorilor le vor fi impuse condiţii astfel încât să se excludă orice posibilitate de apariție a unor efecte negative asupra factorilor de mediu și, în special, asupra  apei, solului și subsolului, aerului. O bună gestionare a lucrărilor, furnizarea unor măsuri clare de gestionare pentru toate materialele utilizate, depozitarea corectă, în conformitate cu normele specifice, formarea periodică a tuturor lucrătorilor de la fața locului vor asigura  reducerea efectelor  negative menționate.</w:t>
            </w:r>
          </w:p>
          <w:p w14:paraId="24914743"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Investițiile din cadrul acestei priorități vor include inclusiv reabilitări de poduri și podețe, evitându-se ca infrastructurile construite/reparate/reabilitate să modifice regimul de scurgere a cursurilor de apă.</w:t>
            </w:r>
          </w:p>
          <w:p w14:paraId="74678DA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investițiile nu vor cuprinde lucrări de terasamente şi drenaj ale unor suprafețe amenajate sau care să modifice corpurile de apă de suprafață. Rolul drenurilor este de a îndepărta apele pluviale din amplasamentul căii ferate și de a le evacua în emisari (pământ, rețele de canalizare, șanțurile longitudinale ale căii ferate, cursuri de apă și alte puncte de cotă minimă ale terenului).</w:t>
            </w:r>
          </w:p>
          <w:p w14:paraId="43B36331"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subliniază faptul că, deși apele provenite de pe calea ferată sunt considerate convențional curate, la punctele de descărcare a apelor la emisari, vor fi prevăzute măsuri suplimentare, respectiv separatoare de hidrocarburi. </w:t>
            </w:r>
          </w:p>
          <w:p w14:paraId="229A732F" w14:textId="77777777" w:rsidR="0001312F" w:rsidRDefault="0067039D">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nici sistemele de canalizare a apelor uzate menajere din stațiile de cale ferată nu sunt de natură să afecteze apele de suprafaţă şi nici pe cele subterane, întrucât staţiile fie sunt prevăzute cu bazine subterane vidanjabile, cu senzor de nivel, fie sunt conectate la sistemul centralizat de canalizare.</w:t>
            </w:r>
          </w:p>
          <w:p w14:paraId="3CE2F3F4" w14:textId="193185A3" w:rsidR="00C94D61" w:rsidRDefault="00C94D61">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cadrul Raportului de mediu a</w:t>
            </w:r>
            <w:r w:rsidR="00C231AF">
              <w:rPr>
                <w:rFonts w:ascii="Times New Roman" w:eastAsia="Times New Roman" w:hAnsi="Times New Roman" w:cs="Times New Roman"/>
                <w:sz w:val="24"/>
                <w:szCs w:val="24"/>
              </w:rPr>
              <w:t xml:space="preserve"> fost analizat potenţialul efect asupra aspectului de mediu Apă, ţinând cont de numărul de intersecţii a proiectelor cu, corpurile de apă şi</w:t>
            </w:r>
            <w:r w:rsidR="00932DFD">
              <w:rPr>
                <w:rFonts w:ascii="Times New Roman" w:eastAsia="Times New Roman" w:hAnsi="Times New Roman" w:cs="Times New Roman"/>
                <w:sz w:val="24"/>
                <w:szCs w:val="24"/>
              </w:rPr>
              <w:t xml:space="preserve"> de starea/potenţialul acestora.</w:t>
            </w:r>
            <w:r w:rsidR="00994A7C">
              <w:rPr>
                <w:rFonts w:ascii="Times New Roman" w:eastAsia="Times New Roman" w:hAnsi="Times New Roman" w:cs="Times New Roman"/>
                <w:sz w:val="24"/>
                <w:szCs w:val="24"/>
              </w:rPr>
              <w:t xml:space="preserve"> De asemenea în cadrul Raportului de mediu au fost propuse măsuri pentru reducerea şi evitarea alterărilor hidromorfologice, evitarea zonelor de protecţie şi evitarea poluărilor accidentale.</w:t>
            </w:r>
          </w:p>
          <w:p w14:paraId="53F128F0" w14:textId="6A6E0D6A" w:rsidR="00807FD7" w:rsidRDefault="00807FD7">
            <w:pPr>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Luând în considerare că proiectele vor parcurge procedura de mediu pentru emiterea Acordului de mediu </w:t>
            </w:r>
            <w:r w:rsidR="00FF681B">
              <w:rPr>
                <w:rFonts w:ascii="Times New Roman" w:eastAsia="Times New Roman" w:hAnsi="Times New Roman" w:cs="Times New Roman"/>
                <w:sz w:val="24"/>
                <w:szCs w:val="24"/>
              </w:rPr>
              <w:t>şi măsurile propuse în Raportul de mediu, se consideră îndeplinit principiul DNSH pentru acest obiectiv de mediu.</w:t>
            </w:r>
          </w:p>
        </w:tc>
      </w:tr>
      <w:tr w:rsidR="0001312F" w14:paraId="075FD995" w14:textId="77777777">
        <w:trPr>
          <w:jc w:val="center"/>
        </w:trPr>
        <w:tc>
          <w:tcPr>
            <w:tcW w:w="3315" w:type="dxa"/>
          </w:tcPr>
          <w:p w14:paraId="08A431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1E00679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1093D611"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1288107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va duce la o creștere semnificativă a generării, a incinerării sau a eliminării deșeurilor, cu excepția incinerării deșeurilor periculoase nereciclabile sau </w:t>
            </w:r>
          </w:p>
          <w:p w14:paraId="08EC40E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6A81D2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(ii)va duce la ineficiențe semnificative în utilizarea directă sau indirectă a oricăror resurse naturale în orice etapă a </w:t>
            </w:r>
            <w:r>
              <w:rPr>
                <w:rFonts w:ascii="Times New Roman" w:eastAsia="Times New Roman" w:hAnsi="Times New Roman" w:cs="Times New Roman"/>
                <w:sz w:val="24"/>
                <w:szCs w:val="24"/>
              </w:rPr>
              <w:lastRenderedPageBreak/>
              <w:t xml:space="preserve">ciclului său de viață, care nu sunt reduse la minimum prin măsuri adecvate sau </w:t>
            </w:r>
          </w:p>
          <w:p w14:paraId="11774AC2" w14:textId="77777777" w:rsidR="0001312F" w:rsidRDefault="0001312F">
            <w:pPr>
              <w:spacing w:after="240" w:line="276" w:lineRule="auto"/>
              <w:ind w:hanging="2"/>
              <w:jc w:val="both"/>
              <w:rPr>
                <w:rFonts w:ascii="Times New Roman" w:eastAsia="Times New Roman" w:hAnsi="Times New Roman" w:cs="Times New Roman"/>
                <w:sz w:val="24"/>
                <w:szCs w:val="24"/>
              </w:rPr>
            </w:pPr>
          </w:p>
          <w:p w14:paraId="287BBEA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2E4E0621"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X</w:t>
            </w:r>
          </w:p>
        </w:tc>
        <w:tc>
          <w:tcPr>
            <w:tcW w:w="10260" w:type="dxa"/>
          </w:tcPr>
          <w:p w14:paraId="024DE454" w14:textId="77777777" w:rsidR="0001312F" w:rsidRDefault="0067039D">
            <w:pPr>
              <w:spacing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şi mai sus, investițiile din cadrul acestei priorități vor parcurge procesul de evaluare a impactului asupra mediului, în conformitate cu prevederile Directivei 2014/52/UE a Parlamentului European și a Consiliului, de modificare a Directivei 2011/92/UE privind evaluarea efectelor anumitor proiecte publice și private asupra mediului.</w:t>
            </w:r>
          </w:p>
          <w:p w14:paraId="013D10CF" w14:textId="10ECB0CC"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deșeurile legate de lucrările de construcții provin din următoarele etape: din timpul etapei de construcție; din timpul  etapei de operare; după expirarea duratei de viaţă.</w:t>
            </w:r>
          </w:p>
          <w:p w14:paraId="1EBA81B6"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0EE98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7B225CA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conformitate cu prevederile Deciziei nr. 2000/532/CE a Comisiei, preluată în legislaţia naţională prin HG nr. 856/2002, cu modificările și completările ulterioare, lucrările de execuție și activitățile de </w:t>
            </w:r>
            <w:r>
              <w:rPr>
                <w:rFonts w:ascii="Times New Roman" w:eastAsia="Times New Roman" w:hAnsi="Times New Roman" w:cs="Times New Roman"/>
                <w:sz w:val="24"/>
                <w:szCs w:val="24"/>
              </w:rPr>
              <w:lastRenderedPageBreak/>
              <w:t>întreținere și operare a tronsoanelor de cale ferată nu presupun utilizarea unor categorii de materiale care să poată fi încadrate în categoria substanțelor toxice și periculoase.</w:t>
            </w:r>
          </w:p>
          <w:p w14:paraId="7049BBD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deşeurile recuperabile rezultate pe perioada executării lucrărilor, constructorul se va asigura că o parte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w:t>
            </w:r>
          </w:p>
          <w:p w14:paraId="57B868C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p w14:paraId="5899226A"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primul rând, în cadrul proiectului este posibil să se demonteze linii de cale ferată ca urmare a înlocuirii căii ferate, a dezafectării unor segmente din tronson, a desființării unor stații și halte de mișcare etc.</w:t>
            </w:r>
          </w:p>
          <w:p w14:paraId="05CA2137"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Materialele de cale rezultate de la lucrări vor fi gestionate în conformitate cu Norma tehnică feroviară NTF nr.71-002:2006 aprobată prin Ordinul MTCT nr.1403/2006 privind "Infrastructura feroviară. Reutilizarea materialelor de cale recuperate în urma lucrărilor de întreţinere şi reparaţie a căii." Norma tehnică feroviară se referă la următoarele componente ale căii ferate: şine, traverse din lemn şi beton, material mărunt de cale, aparate de cale şi piatra spartă. Totodată, norma stabileşte şi domeniul de reutilizare pentru fiecare dintre componentele căii în funcţie de starea lor.</w:t>
            </w:r>
          </w:p>
          <w:p w14:paraId="3668F341"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materialele extrase din cale vor fi colectate pe categorii de produse, verificate si repartizate în funcţie de rezultatul verificărilor:</w:t>
            </w:r>
          </w:p>
          <w:p w14:paraId="7348C7E5"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semibune;</w:t>
            </w:r>
          </w:p>
          <w:p w14:paraId="4A29A0BD"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materiale uzate;</w:t>
            </w:r>
          </w:p>
          <w:p w14:paraId="3A0858F0" w14:textId="77777777" w:rsidR="0001312F" w:rsidRDefault="0067039D">
            <w:pPr>
              <w:numPr>
                <w:ilvl w:val="0"/>
                <w:numId w:val="60"/>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materiale declasate.</w:t>
            </w:r>
          </w:p>
          <w:p w14:paraId="6D48C6B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Domeniile de reutilizare a componentelor căii sunt următoarele:</w:t>
            </w:r>
          </w:p>
          <w:p w14:paraId="1BFBC73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şinele de cale ferată semibune şi recondiţionate vor fi reutilizate pentru întreţinerea şi reparaţii la linii, iar şinele declasate sunt valorificate ca fier vechi;</w:t>
            </w:r>
          </w:p>
          <w:p w14:paraId="2516BBD6"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traversele de lemn semibune şi reparate se vor reutiliza în triaje şi ateliere, iar cele declasate se vor reutiliza pentru construcţii, se vor incinera la incineratoare autorizate (traversele impregnate cu creozot) sau valorificate energetic (excepţie fac cele impregnate cu creozot);</w:t>
            </w:r>
          </w:p>
          <w:p w14:paraId="7430CA52"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traverse de beton semibune şi reparate se vor reutiliza pe liniile secundare, triaje si ateliere, iar traversele declasate se vor reutiliza pentru lucrări de consolidări, apărări de maluri, drumuri provizorii de acces, fundaţii;</w:t>
            </w:r>
          </w:p>
          <w:p w14:paraId="0ECE93DE"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aparatele de cale şi materialul mărunt de cale semibune şi recondiţionate se reutilizează, iar cel declasat se valorifică ca fier vechi;</w:t>
            </w:r>
          </w:p>
          <w:p w14:paraId="260B6AAA" w14:textId="77777777" w:rsidR="0001312F" w:rsidRDefault="0067039D">
            <w:pPr>
              <w:numPr>
                <w:ilvl w:val="0"/>
                <w:numId w:val="61"/>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piatra spartă recuperată, curată se reintroduce în cale, iar deşeul de ciur se reutilizează ca material pentru substratul căii sau la alte construcţii.</w:t>
            </w:r>
          </w:p>
          <w:p w14:paraId="1F07CC62"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După cum s-a menţionat mai sus, pe lângă demontarea liniilor de cale ferată, vor rezulta deşeuri din dezafectări de clădiri (în staţii), rampe și platforme, după cum urmează:</w:t>
            </w:r>
          </w:p>
          <w:p w14:paraId="0938902A"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beton, cărămizi, sticlă şi materiale ceramice se vor colecta selectiv, se vor depozita pe suprafeţe betonate şi vor fi transportate la un depozit de deşeuri autorizat;</w:t>
            </w:r>
          </w:p>
          <w:p w14:paraId="59FF5673"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metalice se vor valorifica prin comercializare ca fier vechi;</w:t>
            </w:r>
          </w:p>
          <w:p w14:paraId="33A466A6"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de lemn se vor valorifica energetic;</w:t>
            </w:r>
          </w:p>
          <w:p w14:paraId="4502C539" w14:textId="77777777" w:rsidR="0001312F" w:rsidRDefault="0067039D">
            <w:pPr>
              <w:numPr>
                <w:ilvl w:val="0"/>
                <w:numId w:val="62"/>
              </w:numPr>
              <w:tabs>
                <w:tab w:val="left" w:pos="1087"/>
              </w:tabs>
              <w:spacing w:after="0"/>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deşeurile electrice şi electronice se vor preda la centre de colectare special organizate.</w:t>
            </w:r>
          </w:p>
          <w:p w14:paraId="1654EA2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vor fi respectate măsurile legale aplicabile privind gestionarea deşeurilor cu regim special: uleiuri uzate, baterii de acumulatori, anvelope uzate.</w:t>
            </w:r>
          </w:p>
          <w:p w14:paraId="52A7E13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priveşte materialele naturale definite în categoria 17 05 04  - pământ și pietriș altele decât cele vizate la rubrica 17 05 03 din lista europeană a deșeurilor stabilită prin Decizia 2000/532/CE a Comisiei, preluată în HG nr. 856/2002, pământul excavat din debleu se va utiliza, pe cât posibil, la executarea umpluturilor. Volumul de pământ excavat şi care respectă cerinţele de calitate va fi folosit la terasamente în corpul liniei de cale ferată.</w:t>
            </w:r>
          </w:p>
          <w:p w14:paraId="0D76D46B"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cazul deşeurilor contaminate (beton, pământ, piatră spartă etc.), pentru reutilizarea acestora în lucrările de reabilitare a căii ferate, vor fi necesare lucrări de decontaminare. Acestea se vor face exclusiv în instalaţii autorizate ce pot fi amenajate in-situ (în organizările de şantier) sau ex-situ (pe amplasamentele contractorului autorizat). Metodele de decontaminare se vor stabili la momentul execuţiei lucrărilor, în funcţie de fezabilitatea soluţiilor şi de volumul de deşeuri necesar a fi tratat.</w:t>
            </w:r>
          </w:p>
          <w:p w14:paraId="22BFC884"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etapa de exploatare a tronsonului de cale ferată vor rezulta deșeuri de la stațiile CF, spațiile de serviciu și de la celelalte activități care se vor desfășura pentru întreținerea și operarea liniei feroviare.</w:t>
            </w:r>
          </w:p>
          <w:p w14:paraId="327C39E9"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Deșeurile rezultate din activitățile de întreținere și vor genera deșeuri, în cea mare parte de tip metalic, piatră spartă și lemn, care vor fi gestionate similar cu deşeurile generate în perioada de construcţie.</w:t>
            </w:r>
          </w:p>
          <w:p w14:paraId="62C65DD5"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asemenea, deșeurile rezultate din activitățile care urmează să fie desfășurate în stațiile de cale ferată vor fi reciclate, recuperate sau eliminate la rampele municipale de deșeuri, urmând a fi încheiate contracte cu operatori de salubritate autorizați. </w:t>
            </w:r>
          </w:p>
          <w:p w14:paraId="6F0AAB70" w14:textId="77777777" w:rsidR="0001312F" w:rsidRDefault="0067039D">
            <w:pPr>
              <w:tabs>
                <w:tab w:val="left" w:pos="1087"/>
              </w:tabs>
              <w:spacing w:after="24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de mai sus, se estimează că această prioritate nu va afecta în mod semnificativ obiectivul de mediu privind tranziţia către o economie circulară, inclusiv prevenirea și reciclarea, întrucȃt deșeurile generate vor fi în mare măsură sortate, reciclate și reutilizate, iar resursele naturale vor fi utilizate în mod eficient.</w:t>
            </w:r>
          </w:p>
        </w:tc>
      </w:tr>
      <w:tr w:rsidR="0001312F" w14:paraId="1C3EAA23" w14:textId="77777777">
        <w:trPr>
          <w:jc w:val="center"/>
        </w:trPr>
        <w:tc>
          <w:tcPr>
            <w:tcW w:w="3315" w:type="dxa"/>
          </w:tcPr>
          <w:p w14:paraId="032AE03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Prevenirea și controlul poluării: </w:t>
            </w:r>
            <w:r>
              <w:rPr>
                <w:rFonts w:ascii="Times New Roman" w:eastAsia="Times New Roman" w:hAnsi="Times New Roman" w:cs="Times New Roman"/>
                <w:sz w:val="24"/>
                <w:szCs w:val="24"/>
              </w:rPr>
              <w:t>Se preconizează că măsura va duce la o creștere semnificativă a emisiilor de poluanți în aer, apă sau sol?</w:t>
            </w:r>
          </w:p>
        </w:tc>
        <w:tc>
          <w:tcPr>
            <w:tcW w:w="870" w:type="dxa"/>
          </w:tcPr>
          <w:p w14:paraId="1EE7F1C6"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43330C5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Aer</w:t>
            </w:r>
          </w:p>
          <w:p w14:paraId="186CC35E"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Infrastructura de cale ferată va permite exploatarea materialului rulant cu emisii zero, contribuind, în proporție de 100%, la obiectivul privind schimbările climatice. Funcționarea sistemului de transport feroviar electrificat nu generează gaze cu efect de seră și, prin urmare, nu determină o creștere a poluanților în aer. Aceste investiții contribuie la delimitarea activităților de transport de creșterea volumului de emisii de CO2 echivalent.</w:t>
            </w:r>
          </w:p>
          <w:p w14:paraId="1F8FA04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operare a infrastructurii feroviare, singurele surse de poluanţi atmosferici ar putea fi reprezentate de emisiile utilajelor cu care se realizează activitățile de întreținere, însă amploarea acestora este neglijabilă.</w:t>
            </w:r>
          </w:p>
          <w:p w14:paraId="64038C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execuție, se estimează că emisiile de poluanţi atmosferici vor fi generate urmare a realizării lucrărilor necesare desfăşurării întregului proces de construcţie, începând cu săpături şi excavaţii şi continuând cu lucrările de umplutură, realizarea liniilor feroviare, realizarea lucrărilor de artă în zona fronturilor de lucru.</w:t>
            </w:r>
          </w:p>
          <w:p w14:paraId="772FB90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Activitatea de realizare a lucrărilor de construcţii include deopotrivă şi surse mobile de emisii, reprezentate de utilajele necesare desfăşurării lucrărilor de amenajare a terenului şi de construire a obiectivelor,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7CDACDB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71129C8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cât posibil se vor lua măsuri de atenuare, astfel că lucrările aferente proiectului vor fi realizate cu utilaje moderne (excavator, buldozer, încărcător, instalaţie de foraj etc.).</w:t>
            </w:r>
          </w:p>
          <w:p w14:paraId="720CBA8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sursele de impurificare a aerului vor fi similare cu cele din etapa de construcţie, lucrările fiind realizate cu aceleaşi tipuri de utilaje.</w:t>
            </w:r>
          </w:p>
          <w:p w14:paraId="6D5D40EF"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Apă</w:t>
            </w:r>
          </w:p>
          <w:p w14:paraId="2D90F3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În perioada de exploatare, întrucât noile structuri de poduri şi podeţe nu vor avea calea deschisă, eventualele produse petroliere (carburanți, uleiuri, etc.) care s-ar putea scurge accidental din trenurile în circulație, nu vor mai polua cursurile de apă traversate.</w:t>
            </w:r>
          </w:p>
          <w:p w14:paraId="2CEBBD7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întrucât o potenţială sursă de poluanţi o pot constitui şi apele uzate menajere provenite de la staţiile de cale ferată, se va asigura ca aceste ape să fie colectate în bazine vidanjabile sau dirijate în rețeaua de canalizare şi epurate în staţii mecano-biologice înainte de evacuarea în emisar. Pentru lucrările conexe organizării de şantier, se vor încheia contracte de servicii cu furnizori autorizaţi.</w:t>
            </w:r>
          </w:p>
          <w:p w14:paraId="6AD078A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 referire la protecţia apelor subterane, vor fi prevăzute separatoare de hidrocarburi la punctele de descărcare a apelor pluviale din sistemul de drenaj al căii ferate, la poduri și podețe.</w:t>
            </w:r>
          </w:p>
          <w:p w14:paraId="5AB1E3F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7582EB8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3A922C0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proiectelor, potenţialele surse de poluare a apei vor fi similare cu cele din etapa de construcţie, lucrările fiind realizate cu aceleaşi tipuri de utilaje.</w:t>
            </w:r>
          </w:p>
          <w:p w14:paraId="14AFD2C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aceste investiții nu vor conduce la o creştere semnificativă a poluanţilor în apele de suprafaţă şi nici în cele subterane.</w:t>
            </w:r>
          </w:p>
          <w:p w14:paraId="3836B62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Sol şi subsol</w:t>
            </w:r>
          </w:p>
          <w:p w14:paraId="25F79C9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După finalizarea lucrărilor la obiectivul de investiție, constructorul are obligația de a reconstrui din punct de vedere ecologic terenurile ocupate sau afectate temporar. Astfel, toate suprafețele afectate de execuția </w:t>
            </w:r>
            <w:r>
              <w:rPr>
                <w:rFonts w:ascii="Times New Roman" w:eastAsia="Times New Roman" w:hAnsi="Times New Roman" w:cs="Times New Roman"/>
                <w:sz w:val="24"/>
                <w:szCs w:val="24"/>
              </w:rPr>
              <w:lastRenderedPageBreak/>
              <w:t>lucrărilor vor fi reamenajate, în scopul reconstrucţiei ecologice, în scop peisagistic și pentru a menține curățenia mediului înconjurător. Zonele afectate vor fi reabilitate prin ecologizare, stabilizarea solului, aşternerea de pământ vegetal, plantare de vegetaţie autohtonă. Utilizarea plantelor nu va avea numai un scop estetic, ci şi de reconstrucţie a elementelor naturale.</w:t>
            </w:r>
          </w:p>
          <w:p w14:paraId="273E0D5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construire, condițiile de contractare a lucrărilor vor include măsuri specifice pentru  gestionarea  deșeurilor generate la fața locului, pentru a evita poluarea solului. Materiile prime vor fi depozitate pe amplasamentul organizărilor de şantier în cantităţi reduse, prin gestiunea clară a necesităţilor pentru fiecare etapă şi front de lucru. Acestea vor fi transportate etapizat şi puse imediat în operă, reducând la minim efectele negative cauzate de transportul materialelor.</w:t>
            </w:r>
          </w:p>
          <w:p w14:paraId="129291F5"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subliniază faptul că betonul de ciment şi betonul asfaltic/mixtura asfaltică nu se vor prepara pe amplasamentul lucrării, ci se vor prepara în stațiile de betoane și vor fi transportate la locul de punere în operă cu mijloace de transport specifice, existând riscuri reduse de producere a poluării solului cu aceste materiale.</w:t>
            </w:r>
          </w:p>
          <w:p w14:paraId="1BF6253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există riscuri reduse de producere a poluării solului cu vopsele, întrucât elementele metalice ale podurilor vor fi prefabricate și vor fi aduse în amplasament, de la fabricant, vopsite, nemaifiind necesară vopsirea acestora in situ.</w:t>
            </w:r>
          </w:p>
          <w:p w14:paraId="4CFDA3B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în ultimul rând, daca va fi cazul, suprafețele de sol contaminat cu combustibil, anterior începerii lucrărilor (70.350 mc), se vor decontamina, conform normelor în vigoare, prin excavare și tratare cu substanțe specifice, de către operatori autorizați, proiectul de investiţii contribuind la depoluarea acestuia.</w:t>
            </w:r>
          </w:p>
          <w:p w14:paraId="397D7D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a solului/subsolului vor fi similare cu cele din etapa de construcţie, lucrările fiind realizate cu aceleaşi tipuri de utilaje.</w:t>
            </w:r>
          </w:p>
          <w:p w14:paraId="1E421E1C"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estimează că investițiile din cadrul acestei priorități nu vor conduce la o creştere semnificativă a poluanţilor în sol/subsol.</w:t>
            </w:r>
          </w:p>
          <w:p w14:paraId="6989EBA4"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ab/>
              <w:t>Poluarea fonică – zgomot şi vibraţii</w:t>
            </w:r>
          </w:p>
          <w:p w14:paraId="6B21D9C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a asigura confortul călătorilor, al personalului feroviar şi al populaţiei ce locuieşte în vecinătatea staţiilor, a depourilor sau a liniilor de cale ferată se impune ca nivelul zgomotului şi al vibraţiilor să fie cât mai redus.</w:t>
            </w:r>
          </w:p>
          <w:p w14:paraId="0CAB9F87"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vor amplasa panouri fonoabsorbante în zonele în care clădirile sunt situate la mai puțin de 50 ml față de linia de cale ferată, pentru a elimina riscul ca nivelul de zgomot maxim admis să fie depășit. </w:t>
            </w:r>
          </w:p>
          <w:p w14:paraId="2F13AC6D"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reînnoirea liniei de cale ferată şi a materialului rulant, se vor reduce nivelurile de zgomot, în special a celor datorate infrastructurii învechite, dar şi a rulării garniturilor de tren de generaţie mai veche.</w:t>
            </w:r>
          </w:p>
          <w:p w14:paraId="20CA95C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execuţie a lucrărilor proiectate, sursele potenţiale de zgomot vor fi:</w:t>
            </w:r>
          </w:p>
          <w:p w14:paraId="16E0FEBD"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Lucrările de demolare în staţii;</w:t>
            </w:r>
          </w:p>
          <w:p w14:paraId="50994D6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Funcţionarea utilajelor;</w:t>
            </w:r>
          </w:p>
          <w:p w14:paraId="243B8A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Traficul auto;</w:t>
            </w:r>
          </w:p>
          <w:p w14:paraId="1B31338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Activitatea din fronturile de lucru ale căii ferate.</w:t>
            </w:r>
          </w:p>
          <w:p w14:paraId="499163B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 baza datelor privind puterile acustice ale surselor de zgomot, se estimează că în șantier, în zona fronturilor de lucru vor exista niveluri de zgomot de până la 90 dB(A), pentru anumite intervale de timp. Dozele de zgomot nu vor depăși valoarea de 90 dB(A), admisă de normele de protecția muncii.</w:t>
            </w:r>
          </w:p>
          <w:p w14:paraId="69ABD98B"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se vor respecta cerințele minime de securitate și sănătate pentru expunerea lucrătorilor la riscuri legate de zgomot, în conformitate cu Directiva 2003/10/CE privind cerințele minime de securitate și sănătate referitoare la expunerea lucrătorilor la riscuri generate de agenți fizici (zgomot).</w:t>
            </w:r>
          </w:p>
          <w:p w14:paraId="00C596D2"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Întrucât la trecerea autobasculantelor prin localităţi pot apărea niveluri ale intensităţilor vibraţiilor peste cele admise de legislaţia aplicabilă (SR 12025:1994), precum şi niveluri ridicate de zgomot,  se vor lua măsuri ca traficul mediu din şantier să nu fie dirijat prin localităţi, în măsura în care este posibil.</w:t>
            </w:r>
          </w:p>
          <w:p w14:paraId="3737AA4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De asemenea, se pot utiliza panourilor de absorbție a zgomotului în perioada de execuţie a lucrărilor.</w:t>
            </w:r>
          </w:p>
          <w:p w14:paraId="6D8CB4F8"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etapa de dezafectare a proiectului, potenţialele surse de poluare de zgomot și vibraţii vor fi similare cu cele din etapa de construcţie.</w:t>
            </w:r>
          </w:p>
          <w:p w14:paraId="4345419A"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cele de mai sus, se estimează că investițiile nu vor conduce la o creştere semnificativă a nivelului poluării fonice.</w:t>
            </w:r>
          </w:p>
          <w:p w14:paraId="4A077C76" w14:textId="66EEED90" w:rsidR="00BC3BD2" w:rsidRDefault="00BC3BD2">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Luând în considerare informaţiile prezentate mai sus</w:t>
            </w:r>
            <w:r w:rsidR="00F41F53">
              <w:rPr>
                <w:rFonts w:ascii="Times New Roman" w:eastAsia="Times New Roman" w:hAnsi="Times New Roman" w:cs="Times New Roman"/>
                <w:sz w:val="24"/>
                <w:szCs w:val="24"/>
              </w:rPr>
              <w:t xml:space="preserve"> se consideră îndeplinit principiul DNSH pentru acest obiectiv de mediu.</w:t>
            </w:r>
          </w:p>
        </w:tc>
      </w:tr>
      <w:tr w:rsidR="0001312F" w14:paraId="5494BC6F" w14:textId="77777777">
        <w:trPr>
          <w:jc w:val="center"/>
        </w:trPr>
        <w:tc>
          <w:tcPr>
            <w:tcW w:w="3315" w:type="dxa"/>
          </w:tcPr>
          <w:p w14:paraId="2B11D07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65763CB7" w14:textId="77777777" w:rsidR="0001312F" w:rsidRDefault="0067039D">
            <w:pPr>
              <w:numPr>
                <w:ilvl w:val="0"/>
                <w:numId w:val="3"/>
              </w:numPr>
              <w:spacing w:after="24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04042521"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2E112500" w14:textId="77777777" w:rsidR="0001312F" w:rsidRDefault="0067039D">
            <w:pPr>
              <w:spacing w:after="24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62C54BD0"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Proiectele incluse în cadrul acestei priorități vor parcurge etapele procesului de evaluare a impactului asupra mediului, în conformitate cu prevederile Directivei 2014/52/UE a Parlamentului European și a Consiliului, de modificare a Directivei 2011/92/UE privind evaluarea efectelor anumitor proiecte publice și private asupra mediului și ale Directivei 92/43/CEE a Consiliului privind conservarea habitatelor naturale și a speciilor de faună și floră sălbatică, în urma cărora se vor stabili măsurile necesare de protejare a biodiversității și a ecosistemelor.</w:t>
            </w:r>
          </w:p>
          <w:p w14:paraId="45FA4A19"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Dacă va fi cazul, în cadrul studiilor de evaluare adecvată, conform procedurii existente în prezent la nivel național, se va analiza impactul asociat proiectelor de investiţii asupra fiecărui element/criteriu ce a stat la baza desemnării sitului, respectiv a sitului în sine (Ordinul nr. 19/2010 pentru aprobarea Ghidului metodologic privind evaluarea adecvată a efectelor potenţiale ale planurilor sau proiectelor asupra ariilor naturale protejate de interes comunitar - secţiunea 2.2/A/10 din Anexa - Ghid Metodologic).</w:t>
            </w:r>
          </w:p>
          <w:p w14:paraId="2DF96B43" w14:textId="77777777" w:rsidR="0001312F" w:rsidRDefault="0067039D">
            <w:pPr>
              <w:spacing w:after="24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conformitate cu prevederile legale, organizările de şantier și bazele de producţie vor fi amplasate în afara ariei protejate Natura 2000. Nu se vor exploata resurse naturale din ariile protejate Natura 2000 și nici nu se vor amplasa depozite de materiale.</w:t>
            </w:r>
          </w:p>
        </w:tc>
      </w:tr>
    </w:tbl>
    <w:p w14:paraId="690DD905" w14:textId="77777777" w:rsidR="0001312F" w:rsidRDefault="0001312F">
      <w:pPr>
        <w:spacing w:before="280" w:after="280"/>
        <w:ind w:hanging="2"/>
        <w:rPr>
          <w:rFonts w:ascii="Times New Roman" w:eastAsia="Times New Roman" w:hAnsi="Times New Roman" w:cs="Times New Roman"/>
          <w:b/>
          <w:color w:val="525252"/>
          <w:sz w:val="24"/>
          <w:szCs w:val="24"/>
        </w:rPr>
        <w:sectPr w:rsidR="0001312F">
          <w:pgSz w:w="16838" w:h="11906" w:orient="landscape"/>
          <w:pgMar w:top="1138" w:right="1138" w:bottom="1138" w:left="1138" w:header="706" w:footer="706" w:gutter="0"/>
          <w:cols w:space="708"/>
        </w:sectPr>
      </w:pPr>
    </w:p>
    <w:p w14:paraId="534B87D5" w14:textId="77777777"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24" w:name="_Toc117679947"/>
      <w:r>
        <w:rPr>
          <w:rFonts w:ascii="Times New Roman" w:eastAsia="Times New Roman" w:hAnsi="Times New Roman" w:cs="Times New Roman"/>
          <w:sz w:val="24"/>
          <w:szCs w:val="24"/>
        </w:rPr>
        <w:lastRenderedPageBreak/>
        <w:t xml:space="preserve">2.7. </w:t>
      </w:r>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multimodal</w:t>
      </w:r>
      <w:bookmarkEnd w:id="24"/>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77777777" w:rsidR="0001312F" w:rsidRDefault="0067039D">
      <w:pPr>
        <w:pStyle w:val="Heading3"/>
        <w:tabs>
          <w:tab w:val="left" w:pos="8460"/>
        </w:tabs>
        <w:spacing w:line="276" w:lineRule="auto"/>
        <w:ind w:left="2" w:right="360" w:hanging="2"/>
        <w:jc w:val="both"/>
        <w:rPr>
          <w:rFonts w:ascii="Times New Roman" w:eastAsia="Times New Roman" w:hAnsi="Times New Roman" w:cs="Times New Roman"/>
        </w:rPr>
      </w:pPr>
      <w:bookmarkStart w:id="25" w:name="_Toc117679948"/>
      <w:r>
        <w:rPr>
          <w:rFonts w:ascii="Times New Roman" w:eastAsia="Times New Roman" w:hAnsi="Times New Roman" w:cs="Times New Roman"/>
        </w:rPr>
        <w:t>2.7.1. Descrierea investițiilor</w:t>
      </w:r>
      <w:bookmarkEnd w:id="25"/>
      <w:r>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coordonare cu investițiile finanțate prin CEF, această prioritate va urmări finanțarea operațiunilor care să contribuie la îmbunătăţirea navigației pe Dunăre, precum și la cresterea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această prioritate vor fi susținute și investițiile în infrastructura terminalelor intermodale,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in cadrul acestei priorități vor fi finanțate minim două centre intermodale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1976F025" w14:textId="77777777" w:rsidR="0001312F" w:rsidRDefault="0067039D">
      <w:pPr>
        <w:pStyle w:val="Heading3"/>
        <w:tabs>
          <w:tab w:val="left" w:pos="8460"/>
        </w:tabs>
        <w:spacing w:line="276" w:lineRule="auto"/>
        <w:ind w:left="2" w:right="360"/>
        <w:jc w:val="both"/>
        <w:rPr>
          <w:rFonts w:ascii="Times New Roman" w:eastAsia="Times New Roman" w:hAnsi="Times New Roman" w:cs="Times New Roman"/>
        </w:rPr>
      </w:pPr>
      <w:bookmarkStart w:id="26" w:name="_Toc117679949"/>
      <w:r>
        <w:rPr>
          <w:rFonts w:ascii="Times New Roman" w:eastAsia="Times New Roman" w:hAnsi="Times New Roman" w:cs="Times New Roman"/>
        </w:rPr>
        <w:t>2.7.2. Acțiuni finanțate</w:t>
      </w:r>
      <w:bookmarkEnd w:id="26"/>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condiţiilor optime de navigaţie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(Short sea shipping)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terminalelor intermodale feroviar/rutier / Dezvoltarea de centre logistice multimodale;</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Investiții în infrastructura de acces la centrele logistice multimodale.</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pgSz w:w="11906" w:h="16838"/>
          <w:pgMar w:top="1138" w:right="1138" w:bottom="1138" w:left="1138" w:header="706" w:footer="706"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Activitățile prevăzute în cadrul priorității 7 nu au un impact previzibil semnificativ asupra obiectivului de mediu privind adaptarea la schimbările climatice, luȃnd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NOx,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on shore power suply</w:t>
            </w:r>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barjă poate transporta până la 1500 de tone, comparativ cu 20 de tone cât transportă un camion. Un convoi de transport fluvial este compus din 10 barje ce reprezintă </w:t>
            </w:r>
            <w:r>
              <w:rPr>
                <w:rFonts w:ascii="Times New Roman" w:eastAsia="Times New Roman" w:hAnsi="Times New Roman" w:cs="Times New Roman"/>
                <w:sz w:val="24"/>
                <w:szCs w:val="24"/>
              </w:rPr>
              <w:lastRenderedPageBreak/>
              <w:t>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 de mediu tipurile de acţiuni aferente acestei activităţi au fost evaluate ca având un potenţial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r w:rsidR="00D64103">
              <w:rPr>
                <w:rFonts w:ascii="Times New Roman" w:eastAsia="Times New Roman" w:hAnsi="Times New Roman" w:cs="Times New Roman"/>
                <w:sz w:val="24"/>
                <w:szCs w:val="24"/>
              </w:rPr>
              <w:t xml:space="preserve">informaţii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şi de-a lungul Dunării. </w:t>
            </w:r>
            <w:r w:rsidR="00492742" w:rsidRPr="00492742">
              <w:rPr>
                <w:rFonts w:ascii="Times New Roman" w:eastAsia="Times New Roman" w:hAnsi="Times New Roman" w:cs="Times New Roman"/>
                <w:sz w:val="24"/>
                <w:szCs w:val="24"/>
              </w:rPr>
              <w:t>Aceste tipuri de acţiuni pot afecta în principal starea ecologică, prin afectarea elementelor hidromorfologice sau a celor fizico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w:t>
            </w:r>
          </w:p>
          <w:p w14:paraId="71449C9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lastRenderedPageBreak/>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p>
          <w:p w14:paraId="703808F3" w14:textId="46C644BB"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cerinţele de bune practici ce se regăsesc în cele mai recente ghiduri elaborate la nivel european. </w:t>
            </w:r>
          </w:p>
          <w:p w14:paraId="30BC36C2"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p>
          <w:p w14:paraId="3F8D7A48"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3198F2C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informaţiile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lastRenderedPageBreak/>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și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şi demolare, în conformitate cu Protocolul UE de gestionare a deșeurilor din construcții și demolări, vor lua în considerare cele mai bune tehnici disponibile și vor demola /sorta deşeurile în mod selectiv, pentru a permite îndepărtarea şi </w:t>
            </w:r>
            <w:r>
              <w:rPr>
                <w:rFonts w:ascii="Times New Roman" w:eastAsia="Times New Roman" w:hAnsi="Times New Roman" w:cs="Times New Roman"/>
                <w:sz w:val="24"/>
                <w:szCs w:val="24"/>
              </w:rPr>
              <w:lastRenderedPageBreak/>
              <w:t>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w:t>
            </w:r>
            <w:r>
              <w:rPr>
                <w:rFonts w:ascii="Times New Roman" w:eastAsia="Times New Roman" w:hAnsi="Times New Roman" w:cs="Times New Roman"/>
                <w:sz w:val="24"/>
                <w:szCs w:val="24"/>
              </w:rPr>
              <w:lastRenderedPageBreak/>
              <w:t xml:space="preserve">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şi reducerea efectelor negative asupra biodiversităţii. </w:t>
            </w:r>
            <w:r w:rsidR="0057497F">
              <w:rPr>
                <w:rFonts w:ascii="Times New Roman" w:eastAsia="Times New Roman" w:hAnsi="Times New Roman" w:cs="Times New Roman"/>
                <w:sz w:val="24"/>
                <w:szCs w:val="24"/>
              </w:rPr>
              <w:t xml:space="preserve">Măsurile sunt prezentate în secţiunile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informaţiile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08FBEEBA" w14:textId="77777777" w:rsidR="0001312F" w:rsidRDefault="0001312F">
      <w:pPr>
        <w:spacing w:before="280" w:after="280"/>
        <w:ind w:hanging="2"/>
        <w:rPr>
          <w:rFonts w:ascii="Times New Roman" w:eastAsia="Times New Roman" w:hAnsi="Times New Roman" w:cs="Times New Roman"/>
          <w:b/>
          <w:color w:val="525252"/>
          <w:sz w:val="24"/>
          <w:szCs w:val="24"/>
        </w:rPr>
      </w:pPr>
    </w:p>
    <w:p w14:paraId="4401F929" w14:textId="77777777" w:rsidR="0001312F" w:rsidRDefault="0001312F">
      <w:pPr>
        <w:jc w:val="both"/>
        <w:rPr>
          <w:rFonts w:ascii="Times New Roman" w:eastAsia="Times New Roman" w:hAnsi="Times New Roman" w:cs="Times New Roman"/>
          <w:sz w:val="24"/>
          <w:szCs w:val="24"/>
        </w:rPr>
      </w:pPr>
    </w:p>
    <w:sectPr w:rsidR="0001312F">
      <w:pgSz w:w="16838" w:h="11906" w:orient="landscape"/>
      <w:pgMar w:top="1138" w:right="1138" w:bottom="1138" w:left="1138" w:header="706" w:footer="70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CC79C" w14:textId="77777777" w:rsidR="00280858" w:rsidRDefault="00280858">
      <w:pPr>
        <w:spacing w:after="0" w:line="240" w:lineRule="auto"/>
      </w:pPr>
      <w:r>
        <w:separator/>
      </w:r>
    </w:p>
  </w:endnote>
  <w:endnote w:type="continuationSeparator" w:id="0">
    <w:p w14:paraId="122E28BC" w14:textId="77777777" w:rsidR="00280858" w:rsidRDefault="0028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384F0A">
      <w:rPr>
        <w:rFonts w:ascii="Arial" w:eastAsia="Arial" w:hAnsi="Arial" w:cs="Arial"/>
        <w:b/>
        <w:noProof/>
        <w:color w:val="FFFFFF"/>
        <w:sz w:val="20"/>
        <w:szCs w:val="20"/>
      </w:rPr>
      <w:t>2</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3A1CA" w14:textId="77777777" w:rsidR="00280858" w:rsidRDefault="00280858">
      <w:pPr>
        <w:spacing w:after="0" w:line="240" w:lineRule="auto"/>
      </w:pPr>
      <w:r>
        <w:separator/>
      </w:r>
    </w:p>
  </w:footnote>
  <w:footnote w:type="continuationSeparator" w:id="0">
    <w:p w14:paraId="3FEDE534" w14:textId="77777777" w:rsidR="00280858" w:rsidRDefault="00280858">
      <w:pPr>
        <w:spacing w:after="0" w:line="240" w:lineRule="auto"/>
      </w:pPr>
      <w:r>
        <w:continuationSeparator/>
      </w:r>
    </w:p>
  </w:footnote>
  <w:footnote w:id="1">
    <w:p w14:paraId="4FA31264"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color w:val="000000"/>
          <w:sz w:val="18"/>
          <w:szCs w:val="18"/>
        </w:rPr>
        <w:t xml:space="preserve"> https://ec.europa.eu/regional_policy/sources/docgener/studies/pdf/cba_guide.pdf</w:t>
      </w:r>
    </w:p>
  </w:footnote>
  <w:footnote w:id="2">
    <w:p w14:paraId="3E05723A" w14:textId="77777777" w:rsidR="0067039D" w:rsidRDefault="0067039D">
      <w:pPr>
        <w:pBdr>
          <w:top w:val="nil"/>
          <w:left w:val="nil"/>
          <w:bottom w:val="nil"/>
          <w:right w:val="nil"/>
          <w:between w:val="nil"/>
        </w:pBdr>
        <w:spacing w:after="120" w:line="288" w:lineRule="auto"/>
        <w:ind w:hanging="2"/>
        <w:rPr>
          <w:color w:val="000000"/>
          <w:sz w:val="18"/>
          <w:szCs w:val="18"/>
        </w:rPr>
      </w:pPr>
      <w:r>
        <w:rPr>
          <w:rStyle w:val="FootnoteReference"/>
        </w:rPr>
        <w:footnoteRef/>
      </w:r>
      <w:r>
        <w:rPr>
          <w:rFonts w:ascii="Arial" w:eastAsia="Arial" w:hAnsi="Arial" w:cs="Arial"/>
          <w:color w:val="000000"/>
          <w:sz w:val="18"/>
          <w:szCs w:val="18"/>
        </w:rPr>
        <w:t xml:space="preserve"> </w:t>
      </w:r>
      <w:r>
        <w:rPr>
          <w:color w:val="000000"/>
          <w:sz w:val="18"/>
          <w:szCs w:val="18"/>
        </w:rPr>
        <w:t xml:space="preserve">Anexat, studiul </w:t>
      </w:r>
      <w:r>
        <w:rPr>
          <w:sz w:val="18"/>
          <w:szCs w:val="18"/>
        </w:rPr>
        <w:t>„</w:t>
      </w:r>
      <w:r>
        <w:rPr>
          <w:color w:val="000000"/>
          <w:sz w:val="18"/>
          <w:szCs w:val="18"/>
        </w:rPr>
        <w:t xml:space="preserve">Scenariu de evoluție a numărului de autoturisme electrice în România”, precum </w:t>
      </w:r>
      <w:r>
        <w:rPr>
          <w:sz w:val="18"/>
          <w:szCs w:val="18"/>
        </w:rPr>
        <w:t>și</w:t>
      </w:r>
      <w:r>
        <w:rPr>
          <w:color w:val="000000"/>
          <w:sz w:val="18"/>
          <w:szCs w:val="18"/>
        </w:rPr>
        <w:t xml:space="preserve"> datele generale extrase din analiza cost</w:t>
      </w:r>
      <w:r>
        <w:rPr>
          <w:sz w:val="18"/>
          <w:szCs w:val="18"/>
        </w:rPr>
        <w:t>-beneficiu</w:t>
      </w:r>
    </w:p>
  </w:footnote>
  <w:footnote w:id="3">
    <w:p w14:paraId="71FBEF96"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rFonts w:ascii="Arial" w:eastAsia="Arial" w:hAnsi="Arial" w:cs="Arial"/>
          <w:color w:val="000000"/>
          <w:sz w:val="20"/>
          <w:szCs w:val="20"/>
        </w:rPr>
        <w:t xml:space="preserve"> </w:t>
      </w:r>
      <w:hyperlink r:id="rId1">
        <w:r>
          <w:rPr>
            <w:color w:val="0000FF"/>
            <w:sz w:val="18"/>
            <w:szCs w:val="18"/>
          </w:rPr>
          <w:t>https://www.transportforqualityoflife.com/u/files/The%20carbon%20impact%20of%20the%20national%20roads%20programme%20FINAL.pdf</w:t>
        </w:r>
      </w:hyperlink>
      <w:r>
        <w:rPr>
          <w:color w:val="000000"/>
          <w:sz w:val="18"/>
          <w:szCs w:val="18"/>
        </w:rPr>
        <w:t xml:space="preserve"> </w:t>
      </w:r>
    </w:p>
  </w:footnote>
  <w:footnote w:id="4">
    <w:p w14:paraId="6923497F" w14:textId="77777777" w:rsidR="0067039D" w:rsidRDefault="0067039D">
      <w:pPr>
        <w:pBdr>
          <w:top w:val="nil"/>
          <w:left w:val="nil"/>
          <w:bottom w:val="nil"/>
          <w:right w:val="nil"/>
          <w:between w:val="nil"/>
        </w:pBdr>
        <w:spacing w:line="240" w:lineRule="auto"/>
        <w:ind w:hanging="2"/>
        <w:rPr>
          <w:color w:val="000000"/>
          <w:sz w:val="18"/>
          <w:szCs w:val="18"/>
        </w:rPr>
      </w:pPr>
      <w:r>
        <w:rPr>
          <w:rStyle w:val="FootnoteReference"/>
        </w:rPr>
        <w:footnoteRef/>
      </w:r>
      <w:r>
        <w:rPr>
          <w:color w:val="000000"/>
          <w:sz w:val="18"/>
          <w:szCs w:val="18"/>
        </w:rPr>
        <w:t xml:space="preserve"> </w:t>
      </w:r>
      <w:hyperlink r:id="rId2">
        <w:r>
          <w:rPr>
            <w:color w:val="0000FF"/>
            <w:sz w:val="18"/>
            <w:szCs w:val="18"/>
          </w:rPr>
          <w:t>https://www.gov.uk/government/publications/carbon-tool</w:t>
        </w:r>
      </w:hyperlink>
      <w:r>
        <w:rPr>
          <w:color w:val="000000"/>
          <w:sz w:val="18"/>
          <w:szCs w:val="18"/>
        </w:rPr>
        <w:t xml:space="preserve"> </w:t>
      </w:r>
    </w:p>
  </w:footnote>
  <w:footnote w:id="5">
    <w:p w14:paraId="09C77EA8"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3">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6">
    <w:p w14:paraId="4552ADA0"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7">
    <w:p w14:paraId="0FDBAE9E"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4">
        <w:r>
          <w:rPr>
            <w:color w:val="0000FF"/>
            <w:sz w:val="16"/>
            <w:szCs w:val="16"/>
            <w:u w:val="single"/>
          </w:rPr>
          <w:t>https://ec.europa.eu/environment/nature/natura2000/management/docs/art6/natura_2000_assess_en.pdf</w:t>
        </w:r>
      </w:hyperlink>
    </w:p>
  </w:footnote>
  <w:footnote w:id="8">
    <w:p w14:paraId="79C68E8E"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hyperlink r:id="rId5">
        <w:r>
          <w:rPr>
            <w:color w:val="0000FF"/>
            <w:sz w:val="18"/>
            <w:szCs w:val="18"/>
            <w:u w:val="single"/>
          </w:rPr>
          <w:t>https://www.afm.ro/main/programe/infrastructura_alimentare_verde_municipii/2020/comunicat_presa-statii_incarcare_electrice-2020_04_03.pdf</w:t>
        </w:r>
      </w:hyperlink>
      <w:r>
        <w:rPr>
          <w:color w:val="000000"/>
          <w:sz w:val="18"/>
          <w:szCs w:val="18"/>
        </w:rPr>
        <w:t xml:space="preserve"> </w:t>
      </w:r>
    </w:p>
  </w:footnote>
  <w:footnote w:id="9">
    <w:p w14:paraId="5157CF67" w14:textId="77777777" w:rsidR="0067039D" w:rsidRDefault="0067039D">
      <w:pPr>
        <w:spacing w:line="288" w:lineRule="auto"/>
        <w:ind w:left="2" w:hanging="2"/>
        <w:rPr>
          <w:color w:val="000000"/>
          <w:sz w:val="18"/>
          <w:szCs w:val="18"/>
        </w:rPr>
      </w:pPr>
      <w:r>
        <w:rPr>
          <w:rStyle w:val="FootnoteReference"/>
        </w:rPr>
        <w:footnoteRef/>
      </w:r>
      <w:r>
        <w:rPr>
          <w:color w:val="000000"/>
          <w:sz w:val="20"/>
          <w:szCs w:val="20"/>
        </w:rPr>
        <w:t xml:space="preserve"> </w:t>
      </w:r>
      <w:r>
        <w:rPr>
          <w:color w:val="000000"/>
          <w:sz w:val="18"/>
          <w:szCs w:val="18"/>
        </w:rPr>
        <w:t xml:space="preserve">Raportul de </w:t>
      </w:r>
      <w:r>
        <w:rPr>
          <w:sz w:val="18"/>
          <w:szCs w:val="18"/>
        </w:rPr>
        <w:t>țară</w:t>
      </w:r>
      <w:r>
        <w:rPr>
          <w:color w:val="000000"/>
          <w:sz w:val="18"/>
          <w:szCs w:val="18"/>
        </w:rPr>
        <w:t xml:space="preserve"> pentru anul 2020 – pag.74</w:t>
      </w:r>
    </w:p>
  </w:footnote>
  <w:footnote w:id="10">
    <w:p w14:paraId="30BC78F6" w14:textId="77777777" w:rsidR="0067039D" w:rsidRDefault="0067039D">
      <w:pPr>
        <w:spacing w:line="288" w:lineRule="auto"/>
        <w:ind w:left="2" w:hanging="2"/>
        <w:rPr>
          <w:color w:val="000000"/>
          <w:sz w:val="16"/>
          <w:szCs w:val="16"/>
        </w:rPr>
      </w:pPr>
      <w:r>
        <w:rPr>
          <w:rStyle w:val="FootnoteReference"/>
        </w:rPr>
        <w:footnoteRef/>
      </w:r>
      <w:r>
        <w:rPr>
          <w:color w:val="000000"/>
          <w:sz w:val="16"/>
          <w:szCs w:val="16"/>
        </w:rPr>
        <w:t xml:space="preserve"> European Commission, Environment DG, Assessment of plans and projects significantly affecting Natura 2000 sites, Methodological guidance on the provisions of Article 6(3) and (4) of the Habitats Directive 92/43/EEC, </w:t>
      </w:r>
      <w:hyperlink r:id="rId6">
        <w:r>
          <w:rPr>
            <w:color w:val="0000FF"/>
            <w:sz w:val="16"/>
            <w:szCs w:val="16"/>
            <w:u w:val="single"/>
          </w:rPr>
          <w:t>https://ec.europa.eu/environment/nature/natura2000/management/docs/art6/natura_2000_assess_en.pdf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50"/>
  </w:num>
  <w:num w:numId="3">
    <w:abstractNumId w:val="58"/>
  </w:num>
  <w:num w:numId="4">
    <w:abstractNumId w:val="27"/>
  </w:num>
  <w:num w:numId="5">
    <w:abstractNumId w:val="52"/>
  </w:num>
  <w:num w:numId="6">
    <w:abstractNumId w:val="21"/>
  </w:num>
  <w:num w:numId="7">
    <w:abstractNumId w:val="63"/>
  </w:num>
  <w:num w:numId="8">
    <w:abstractNumId w:val="6"/>
  </w:num>
  <w:num w:numId="9">
    <w:abstractNumId w:val="56"/>
  </w:num>
  <w:num w:numId="10">
    <w:abstractNumId w:val="24"/>
  </w:num>
  <w:num w:numId="11">
    <w:abstractNumId w:val="37"/>
  </w:num>
  <w:num w:numId="12">
    <w:abstractNumId w:val="18"/>
  </w:num>
  <w:num w:numId="13">
    <w:abstractNumId w:val="32"/>
  </w:num>
  <w:num w:numId="14">
    <w:abstractNumId w:val="45"/>
  </w:num>
  <w:num w:numId="15">
    <w:abstractNumId w:val="16"/>
  </w:num>
  <w:num w:numId="16">
    <w:abstractNumId w:val="36"/>
  </w:num>
  <w:num w:numId="17">
    <w:abstractNumId w:val="20"/>
  </w:num>
  <w:num w:numId="18">
    <w:abstractNumId w:val="44"/>
  </w:num>
  <w:num w:numId="19">
    <w:abstractNumId w:val="57"/>
  </w:num>
  <w:num w:numId="20">
    <w:abstractNumId w:val="60"/>
  </w:num>
  <w:num w:numId="21">
    <w:abstractNumId w:val="11"/>
  </w:num>
  <w:num w:numId="22">
    <w:abstractNumId w:val="41"/>
  </w:num>
  <w:num w:numId="23">
    <w:abstractNumId w:val="31"/>
  </w:num>
  <w:num w:numId="24">
    <w:abstractNumId w:val="33"/>
  </w:num>
  <w:num w:numId="25">
    <w:abstractNumId w:val="34"/>
  </w:num>
  <w:num w:numId="26">
    <w:abstractNumId w:val="46"/>
  </w:num>
  <w:num w:numId="27">
    <w:abstractNumId w:val="22"/>
  </w:num>
  <w:num w:numId="28">
    <w:abstractNumId w:val="9"/>
  </w:num>
  <w:num w:numId="29">
    <w:abstractNumId w:val="8"/>
  </w:num>
  <w:num w:numId="30">
    <w:abstractNumId w:val="25"/>
  </w:num>
  <w:num w:numId="31">
    <w:abstractNumId w:val="43"/>
  </w:num>
  <w:num w:numId="32">
    <w:abstractNumId w:val="64"/>
  </w:num>
  <w:num w:numId="33">
    <w:abstractNumId w:val="61"/>
  </w:num>
  <w:num w:numId="34">
    <w:abstractNumId w:val="30"/>
  </w:num>
  <w:num w:numId="35">
    <w:abstractNumId w:val="13"/>
  </w:num>
  <w:num w:numId="36">
    <w:abstractNumId w:val="26"/>
  </w:num>
  <w:num w:numId="37">
    <w:abstractNumId w:val="53"/>
  </w:num>
  <w:num w:numId="38">
    <w:abstractNumId w:val="15"/>
  </w:num>
  <w:num w:numId="39">
    <w:abstractNumId w:val="55"/>
  </w:num>
  <w:num w:numId="40">
    <w:abstractNumId w:val="29"/>
  </w:num>
  <w:num w:numId="41">
    <w:abstractNumId w:val="62"/>
  </w:num>
  <w:num w:numId="42">
    <w:abstractNumId w:val="35"/>
  </w:num>
  <w:num w:numId="43">
    <w:abstractNumId w:val="47"/>
  </w:num>
  <w:num w:numId="44">
    <w:abstractNumId w:val="5"/>
  </w:num>
  <w:num w:numId="45">
    <w:abstractNumId w:val="28"/>
  </w:num>
  <w:num w:numId="46">
    <w:abstractNumId w:val="0"/>
  </w:num>
  <w:num w:numId="47">
    <w:abstractNumId w:val="49"/>
  </w:num>
  <w:num w:numId="48">
    <w:abstractNumId w:val="10"/>
  </w:num>
  <w:num w:numId="49">
    <w:abstractNumId w:val="3"/>
  </w:num>
  <w:num w:numId="50">
    <w:abstractNumId w:val="19"/>
  </w:num>
  <w:num w:numId="51">
    <w:abstractNumId w:val="54"/>
  </w:num>
  <w:num w:numId="52">
    <w:abstractNumId w:val="2"/>
  </w:num>
  <w:num w:numId="53">
    <w:abstractNumId w:val="42"/>
  </w:num>
  <w:num w:numId="54">
    <w:abstractNumId w:val="1"/>
  </w:num>
  <w:num w:numId="55">
    <w:abstractNumId w:val="14"/>
  </w:num>
  <w:num w:numId="56">
    <w:abstractNumId w:val="7"/>
  </w:num>
  <w:num w:numId="57">
    <w:abstractNumId w:val="39"/>
  </w:num>
  <w:num w:numId="58">
    <w:abstractNumId w:val="38"/>
  </w:num>
  <w:num w:numId="59">
    <w:abstractNumId w:val="4"/>
  </w:num>
  <w:num w:numId="60">
    <w:abstractNumId w:val="48"/>
  </w:num>
  <w:num w:numId="61">
    <w:abstractNumId w:val="40"/>
  </w:num>
  <w:num w:numId="62">
    <w:abstractNumId w:val="51"/>
  </w:num>
  <w:num w:numId="63">
    <w:abstractNumId w:val="59"/>
  </w:num>
  <w:num w:numId="64">
    <w:abstractNumId w:val="17"/>
  </w:num>
  <w:num w:numId="65">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12F"/>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57390"/>
    <w:rsid w:val="0026260C"/>
    <w:rsid w:val="002777E0"/>
    <w:rsid w:val="00280858"/>
    <w:rsid w:val="00284373"/>
    <w:rsid w:val="002C3763"/>
    <w:rsid w:val="002C5B6E"/>
    <w:rsid w:val="002C61BC"/>
    <w:rsid w:val="002F1689"/>
    <w:rsid w:val="00306168"/>
    <w:rsid w:val="00324D28"/>
    <w:rsid w:val="00327920"/>
    <w:rsid w:val="00333444"/>
    <w:rsid w:val="00351F1B"/>
    <w:rsid w:val="00361AB9"/>
    <w:rsid w:val="00366F64"/>
    <w:rsid w:val="00377A19"/>
    <w:rsid w:val="0038470C"/>
    <w:rsid w:val="00384F0A"/>
    <w:rsid w:val="00395919"/>
    <w:rsid w:val="003A14C8"/>
    <w:rsid w:val="003B2B8B"/>
    <w:rsid w:val="003E3AD0"/>
    <w:rsid w:val="003F13E5"/>
    <w:rsid w:val="003F4620"/>
    <w:rsid w:val="003F5B2B"/>
    <w:rsid w:val="00405668"/>
    <w:rsid w:val="004318C4"/>
    <w:rsid w:val="0045599A"/>
    <w:rsid w:val="004567F2"/>
    <w:rsid w:val="00462533"/>
    <w:rsid w:val="00471E9C"/>
    <w:rsid w:val="00476A28"/>
    <w:rsid w:val="0048058A"/>
    <w:rsid w:val="00492742"/>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FCC"/>
    <w:rsid w:val="0066009A"/>
    <w:rsid w:val="0066146B"/>
    <w:rsid w:val="006671A7"/>
    <w:rsid w:val="0067039D"/>
    <w:rsid w:val="006B4C6E"/>
    <w:rsid w:val="006D333F"/>
    <w:rsid w:val="006E4991"/>
    <w:rsid w:val="006F6C45"/>
    <w:rsid w:val="007029B9"/>
    <w:rsid w:val="007059D9"/>
    <w:rsid w:val="007069BB"/>
    <w:rsid w:val="00721960"/>
    <w:rsid w:val="00730960"/>
    <w:rsid w:val="00750D1C"/>
    <w:rsid w:val="007558C5"/>
    <w:rsid w:val="00787108"/>
    <w:rsid w:val="007913B4"/>
    <w:rsid w:val="007A126A"/>
    <w:rsid w:val="007A39FD"/>
    <w:rsid w:val="007A4DD3"/>
    <w:rsid w:val="007B49A2"/>
    <w:rsid w:val="007B4D43"/>
    <w:rsid w:val="007D4DEF"/>
    <w:rsid w:val="007E17CC"/>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8504F"/>
    <w:rsid w:val="00991A14"/>
    <w:rsid w:val="00994A7C"/>
    <w:rsid w:val="009A0C55"/>
    <w:rsid w:val="009B3252"/>
    <w:rsid w:val="009B5B3B"/>
    <w:rsid w:val="009C4062"/>
    <w:rsid w:val="009C4331"/>
    <w:rsid w:val="009E1F42"/>
    <w:rsid w:val="009E588A"/>
    <w:rsid w:val="009E64A7"/>
    <w:rsid w:val="009F1183"/>
    <w:rsid w:val="00A052D6"/>
    <w:rsid w:val="00A06522"/>
    <w:rsid w:val="00A06C9A"/>
    <w:rsid w:val="00A12B4C"/>
    <w:rsid w:val="00A14830"/>
    <w:rsid w:val="00A475F2"/>
    <w:rsid w:val="00A63119"/>
    <w:rsid w:val="00A71358"/>
    <w:rsid w:val="00A72773"/>
    <w:rsid w:val="00A75869"/>
    <w:rsid w:val="00A80FCB"/>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F04B2B"/>
    <w:rsid w:val="00F06357"/>
    <w:rsid w:val="00F13365"/>
    <w:rsid w:val="00F258BE"/>
    <w:rsid w:val="00F303FF"/>
    <w:rsid w:val="00F41F53"/>
    <w:rsid w:val="00F45255"/>
    <w:rsid w:val="00F523D0"/>
    <w:rsid w:val="00F53DC2"/>
    <w:rsid w:val="00F56D4A"/>
    <w:rsid w:val="00F80B9D"/>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44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6441D"/>
    <w:pPr>
      <w:outlineLvl w:val="9"/>
    </w:pPr>
    <w:rPr>
      <w:lang w:val="en-US"/>
    </w:rPr>
  </w:style>
  <w:style w:type="paragraph" w:styleId="TOC1">
    <w:name w:val="toc 1"/>
    <w:basedOn w:val="Normal"/>
    <w:next w:val="Normal"/>
    <w:autoRedefine/>
    <w:uiPriority w:val="39"/>
    <w:unhideWhenUsed/>
    <w:rsid w:val="00E6441D"/>
    <w:pPr>
      <w:spacing w:after="100"/>
    </w:pPr>
  </w:style>
  <w:style w:type="character" w:styleId="Hyperlink">
    <w:name w:val="Hyperlink"/>
    <w:basedOn w:val="DefaultParagraphFont"/>
    <w:uiPriority w:val="99"/>
    <w:unhideWhenUsed/>
    <w:rsid w:val="00E6441D"/>
    <w:rPr>
      <w:color w:val="0563C1" w:themeColor="hyperlink"/>
      <w:u w:val="single"/>
    </w:rPr>
  </w:style>
  <w:style w:type="paragraph" w:styleId="ListParagraph">
    <w:name w:val="List Paragraph"/>
    <w:basedOn w:val="Normal"/>
    <w:uiPriority w:val="34"/>
    <w:qFormat/>
    <w:rsid w:val="00E6441D"/>
    <w:pPr>
      <w:ind w:left="720"/>
      <w:contextualSpacing/>
    </w:pPr>
  </w:style>
  <w:style w:type="paragraph" w:styleId="Header">
    <w:name w:val="header"/>
    <w:basedOn w:val="Normal"/>
    <w:link w:val="HeaderChar"/>
    <w:uiPriority w:val="99"/>
    <w:unhideWhenUsed/>
    <w:rsid w:val="00E644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441D"/>
  </w:style>
  <w:style w:type="paragraph" w:styleId="Footer">
    <w:name w:val="footer"/>
    <w:basedOn w:val="Normal"/>
    <w:link w:val="FooterChar"/>
    <w:uiPriority w:val="99"/>
    <w:unhideWhenUsed/>
    <w:rsid w:val="00E64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41D"/>
  </w:style>
  <w:style w:type="character" w:customStyle="1" w:styleId="Heading2Char">
    <w:name w:val="Heading 2 Char"/>
    <w:basedOn w:val="DefaultParagraphFont"/>
    <w:link w:val="Heading2"/>
    <w:uiPriority w:val="9"/>
    <w:semiHidden/>
    <w:rsid w:val="00E6441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6441D"/>
    <w:pPr>
      <w:spacing w:after="100"/>
      <w:ind w:left="220"/>
    </w:pPr>
  </w:style>
  <w:style w:type="character" w:customStyle="1" w:styleId="Heading3Char">
    <w:name w:val="Heading 3 Char"/>
    <w:basedOn w:val="DefaultParagraphFont"/>
    <w:link w:val="Heading3"/>
    <w:uiPriority w:val="9"/>
    <w:semiHidden/>
    <w:rsid w:val="00E6441D"/>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6441D"/>
    <w:pPr>
      <w:spacing w:after="100"/>
      <w:ind w:left="440"/>
    </w:pPr>
  </w:style>
  <w:style w:type="character" w:styleId="FootnoteReference">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Strong">
    <w:name w:val="Strong"/>
    <w:basedOn w:val="DefaultParagraphFont"/>
    <w:uiPriority w:val="22"/>
    <w:qFormat/>
    <w:rsid w:val="00C43F42"/>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Revision">
    <w:name w:val="Revision"/>
    <w:hidden/>
    <w:uiPriority w:val="99"/>
    <w:semiHidden/>
    <w:rsid w:val="00546B4B"/>
    <w:pPr>
      <w:spacing w:after="0" w:line="240" w:lineRule="auto"/>
    </w:pPr>
  </w:style>
  <w:style w:type="character" w:styleId="CommentReference">
    <w:name w:val="annotation reference"/>
    <w:basedOn w:val="DefaultParagraphFont"/>
    <w:uiPriority w:val="99"/>
    <w:semiHidden/>
    <w:unhideWhenUsed/>
    <w:rsid w:val="009B3252"/>
    <w:rPr>
      <w:sz w:val="16"/>
      <w:szCs w:val="16"/>
    </w:rPr>
  </w:style>
  <w:style w:type="paragraph" w:styleId="CommentText">
    <w:name w:val="annotation text"/>
    <w:basedOn w:val="Normal"/>
    <w:link w:val="CommentTextChar"/>
    <w:uiPriority w:val="99"/>
    <w:semiHidden/>
    <w:unhideWhenUsed/>
    <w:rsid w:val="009B3252"/>
    <w:pPr>
      <w:spacing w:line="240" w:lineRule="auto"/>
    </w:pPr>
    <w:rPr>
      <w:sz w:val="20"/>
      <w:szCs w:val="20"/>
    </w:rPr>
  </w:style>
  <w:style w:type="character" w:customStyle="1" w:styleId="CommentTextChar">
    <w:name w:val="Comment Text Char"/>
    <w:basedOn w:val="DefaultParagraphFont"/>
    <w:link w:val="CommentText"/>
    <w:uiPriority w:val="99"/>
    <w:semiHidden/>
    <w:rsid w:val="009B3252"/>
    <w:rPr>
      <w:sz w:val="20"/>
      <w:szCs w:val="20"/>
    </w:rPr>
  </w:style>
  <w:style w:type="paragraph" w:styleId="CommentSubject">
    <w:name w:val="annotation subject"/>
    <w:basedOn w:val="CommentText"/>
    <w:next w:val="CommentText"/>
    <w:link w:val="CommentSubjectChar"/>
    <w:uiPriority w:val="99"/>
    <w:semiHidden/>
    <w:unhideWhenUsed/>
    <w:rsid w:val="009B3252"/>
    <w:rPr>
      <w:b/>
      <w:bCs/>
    </w:rPr>
  </w:style>
  <w:style w:type="character" w:customStyle="1" w:styleId="CommentSubjectChar">
    <w:name w:val="Comment Subject Char"/>
    <w:basedOn w:val="CommentTextChar"/>
    <w:link w:val="CommentSubject"/>
    <w:uiPriority w:val="99"/>
    <w:semiHidden/>
    <w:rsid w:val="009B3252"/>
    <w:rPr>
      <w:b/>
      <w:bCs/>
      <w:sz w:val="20"/>
      <w:szCs w:val="20"/>
    </w:rPr>
  </w:style>
  <w:style w:type="paragraph" w:styleId="BalloonText">
    <w:name w:val="Balloon Text"/>
    <w:basedOn w:val="Normal"/>
    <w:link w:val="BalloonTextChar"/>
    <w:uiPriority w:val="99"/>
    <w:semiHidden/>
    <w:unhideWhenUsed/>
    <w:rsid w:val="0067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www.afm.ro/vehicule_electrice.php" TargetMode="Externa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afm.ro/vehicule_electrice.php"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m.ro/main/programe/infrastructura_alimentare_verde_municipii/2020/comunicat_presa-statii_incarcare_electrice-2020_04_03.pdf" TargetMode="External"/><Relationship Id="rId2" Type="http://schemas.openxmlformats.org/officeDocument/2006/relationships/hyperlink" Target="https://www.gov.uk/government/publications/carbon-tool" TargetMode="External"/><Relationship Id="rId1" Type="http://schemas.openxmlformats.org/officeDocument/2006/relationships/hyperlink" Target="https://www.transportforqualityoflife.com/u/files/The%20carbon%20impact%20of%20the%20national%20roads%20programme%20FINAL.pdf" TargetMode="External"/><Relationship Id="rId6" Type="http://schemas.openxmlformats.org/officeDocument/2006/relationships/hyperlink" Target="https://ec.europa.eu/environment/nature/natura2000/management/docs/art6/natura_2000_assess_en.pdf" TargetMode="External"/><Relationship Id="rId5" Type="http://schemas.openxmlformats.org/officeDocument/2006/relationships/hyperlink" Target="https://www.afm.ro/main/programe/infrastructura_alimentare_verde_municipii/2020/comunicat_presa-statii_incarcare_electrice-2020_04_03.pdf" TargetMode="External"/><Relationship Id="rId4" Type="http://schemas.openxmlformats.org/officeDocument/2006/relationships/hyperlink" Target="https://ec.europa.eu/environment/nature/natura2000/management/docs/art6/natura_2000_assess_en.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D:\Users\catalin.costache\Desktop\POT%20si%20MRR\DNSH%20A7\Vehicule%20electrice%20PASSA\Electric%20Car%20fleet.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D:\Users\catalin.costache\Desktop\POT%20si%20MRR\DNSH%20A7\Vehicule%20electrice%20PASSA\ACB%20baza%20general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car ownership Romania</c:v>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Romania!$B$6:$AY$6</c:f>
              <c:numCache>
                <c:formatCode>#,##0</c:formatCode>
                <c:ptCount val="50"/>
                <c:pt idx="0">
                  <c:v>212.25199999999998</c:v>
                </c:pt>
                <c:pt idx="1">
                  <c:v>231.30399999999997</c:v>
                </c:pt>
                <c:pt idx="2">
                  <c:v>250.35599999999997</c:v>
                </c:pt>
                <c:pt idx="3">
                  <c:v>269.40799999999996</c:v>
                </c:pt>
                <c:pt idx="4">
                  <c:v>288.45999999999998</c:v>
                </c:pt>
                <c:pt idx="5">
                  <c:v>307.512</c:v>
                </c:pt>
                <c:pt idx="6">
                  <c:v>326.56400000000002</c:v>
                </c:pt>
                <c:pt idx="7">
                  <c:v>345.61600000000004</c:v>
                </c:pt>
                <c:pt idx="8">
                  <c:v>364.66800000000006</c:v>
                </c:pt>
                <c:pt idx="9">
                  <c:v>383.72000000000008</c:v>
                </c:pt>
                <c:pt idx="10">
                  <c:v>396.42133333333339</c:v>
                </c:pt>
                <c:pt idx="11">
                  <c:v>409.1226666666667</c:v>
                </c:pt>
                <c:pt idx="12">
                  <c:v>421.82400000000001</c:v>
                </c:pt>
                <c:pt idx="13">
                  <c:v>434.52533333333332</c:v>
                </c:pt>
                <c:pt idx="14">
                  <c:v>447.22666666666663</c:v>
                </c:pt>
                <c:pt idx="15">
                  <c:v>459.92799999999994</c:v>
                </c:pt>
                <c:pt idx="16">
                  <c:v>472.62933333333325</c:v>
                </c:pt>
                <c:pt idx="17">
                  <c:v>485.33066666666656</c:v>
                </c:pt>
                <c:pt idx="18">
                  <c:v>498.03199999999987</c:v>
                </c:pt>
                <c:pt idx="19">
                  <c:v>510.73333333333318</c:v>
                </c:pt>
                <c:pt idx="20">
                  <c:v>520.25933333333319</c:v>
                </c:pt>
                <c:pt idx="21">
                  <c:v>529.78533333333314</c:v>
                </c:pt>
                <c:pt idx="22">
                  <c:v>533.49383066666644</c:v>
                </c:pt>
                <c:pt idx="23">
                  <c:v>537.22828748133304</c:v>
                </c:pt>
                <c:pt idx="24">
                  <c:v>540.98888549370236</c:v>
                </c:pt>
                <c:pt idx="25">
                  <c:v>544.7758076921582</c:v>
                </c:pt>
                <c:pt idx="26">
                  <c:v>548.5892383460033</c:v>
                </c:pt>
                <c:pt idx="27">
                  <c:v>552.42936301442523</c:v>
                </c:pt>
                <c:pt idx="28">
                  <c:v>556.2963685555261</c:v>
                </c:pt>
                <c:pt idx="29">
                  <c:v>560.19044313541474</c:v>
                </c:pt>
                <c:pt idx="30">
                  <c:v>564.11177623736262</c:v>
                </c:pt>
                <c:pt idx="31">
                  <c:v>568.06055867102407</c:v>
                </c:pt>
                <c:pt idx="32">
                  <c:v>572.03698258172119</c:v>
                </c:pt>
                <c:pt idx="33">
                  <c:v>576.04124145979313</c:v>
                </c:pt>
                <c:pt idx="34">
                  <c:v>580.07353015001161</c:v>
                </c:pt>
                <c:pt idx="35">
                  <c:v>584.13404486106162</c:v>
                </c:pt>
                <c:pt idx="36">
                  <c:v>587.05471508536687</c:v>
                </c:pt>
                <c:pt idx="37">
                  <c:v>589.98998866079364</c:v>
                </c:pt>
                <c:pt idx="38">
                  <c:v>592.93993860409751</c:v>
                </c:pt>
                <c:pt idx="39">
                  <c:v>595.90463829711791</c:v>
                </c:pt>
                <c:pt idx="40">
                  <c:v>598.88416148860347</c:v>
                </c:pt>
                <c:pt idx="41">
                  <c:v>601.87858229604637</c:v>
                </c:pt>
                <c:pt idx="42">
                  <c:v>604.88797520752655</c:v>
                </c:pt>
                <c:pt idx="43">
                  <c:v>607.91241508356416</c:v>
                </c:pt>
                <c:pt idx="44">
                  <c:v>610.95197715898189</c:v>
                </c:pt>
                <c:pt idx="45">
                  <c:v>614.00673704477674</c:v>
                </c:pt>
                <c:pt idx="46">
                  <c:v>617.07677073000059</c:v>
                </c:pt>
                <c:pt idx="47">
                  <c:v>620.16215458365048</c:v>
                </c:pt>
                <c:pt idx="48">
                  <c:v>623.26296535656866</c:v>
                </c:pt>
                <c:pt idx="49">
                  <c:v>626.3792801833514</c:v>
                </c:pt>
              </c:numCache>
            </c:numRef>
          </c:val>
          <c:smooth val="0"/>
          <c:extLst xmlns:c16r2="http://schemas.microsoft.com/office/drawing/2015/06/chart">
            <c:ext xmlns:c16="http://schemas.microsoft.com/office/drawing/2014/chart" uri="{C3380CC4-5D6E-409C-BE32-E72D297353CC}">
              <c16:uniqueId val="{00000000-09E7-418F-A751-E434DE4927F0}"/>
            </c:ext>
          </c:extLst>
        </c:ser>
        <c:dLbls>
          <c:showLegendKey val="0"/>
          <c:showVal val="0"/>
          <c:showCatName val="0"/>
          <c:showSerName val="0"/>
          <c:showPercent val="0"/>
          <c:showBubbleSize val="0"/>
        </c:dLbls>
        <c:smooth val="0"/>
        <c:axId val="914585408"/>
        <c:axId val="914583776"/>
      </c:lineChart>
      <c:catAx>
        <c:axId val="914585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3776"/>
        <c:crosses val="autoZero"/>
        <c:auto val="1"/>
        <c:lblAlgn val="ctr"/>
        <c:lblOffset val="100"/>
        <c:noMultiLvlLbl val="0"/>
      </c:catAx>
      <c:valAx>
        <c:axId val="9145837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54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0">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strRef>
              <c:f>Romania!$A$10</c:f>
              <c:strCache>
                <c:ptCount val="1"/>
                <c:pt idx="0">
                  <c:v>electric cars</c:v>
                </c:pt>
              </c:strCache>
            </c:strRef>
          </c:tx>
          <c:spPr>
            <a:ln w="28575" cap="rnd">
              <a:solidFill>
                <a:schemeClr val="accent1"/>
              </a:solidFill>
              <a:round/>
            </a:ln>
            <a:effectLst/>
          </c:spPr>
          <c:marker>
            <c:symbol val="none"/>
          </c:marker>
          <c:cat>
            <c:numRef>
              <c:f>Romania!$B$4:$AY$4</c:f>
              <c:numCache>
                <c:formatCode>General</c:formatCode>
                <c:ptCount val="50"/>
                <c:pt idx="0">
                  <c:v>2012</c:v>
                </c:pt>
                <c:pt idx="1">
                  <c:v>2013</c:v>
                </c:pt>
                <c:pt idx="2">
                  <c:v>2014</c:v>
                </c:pt>
                <c:pt idx="3">
                  <c:v>2015</c:v>
                </c:pt>
                <c:pt idx="4">
                  <c:v>2016</c:v>
                </c:pt>
                <c:pt idx="5">
                  <c:v>2017</c:v>
                </c:pt>
                <c:pt idx="6">
                  <c:v>2018</c:v>
                </c:pt>
                <c:pt idx="7">
                  <c:v>2019</c:v>
                </c:pt>
                <c:pt idx="8">
                  <c:v>2020</c:v>
                </c:pt>
                <c:pt idx="9">
                  <c:v>2021</c:v>
                </c:pt>
                <c:pt idx="10">
                  <c:v>2022</c:v>
                </c:pt>
                <c:pt idx="11">
                  <c:v>2023</c:v>
                </c:pt>
                <c:pt idx="12">
                  <c:v>2024</c:v>
                </c:pt>
                <c:pt idx="13">
                  <c:v>2025</c:v>
                </c:pt>
                <c:pt idx="14">
                  <c:v>2026</c:v>
                </c:pt>
                <c:pt idx="15">
                  <c:v>2027</c:v>
                </c:pt>
                <c:pt idx="16">
                  <c:v>2028</c:v>
                </c:pt>
                <c:pt idx="17">
                  <c:v>2029</c:v>
                </c:pt>
                <c:pt idx="18">
                  <c:v>2030</c:v>
                </c:pt>
                <c:pt idx="19">
                  <c:v>2031</c:v>
                </c:pt>
                <c:pt idx="20">
                  <c:v>2032</c:v>
                </c:pt>
                <c:pt idx="21">
                  <c:v>2033</c:v>
                </c:pt>
                <c:pt idx="22">
                  <c:v>2034</c:v>
                </c:pt>
                <c:pt idx="23">
                  <c:v>2035</c:v>
                </c:pt>
                <c:pt idx="24">
                  <c:v>2036</c:v>
                </c:pt>
                <c:pt idx="25">
                  <c:v>2037</c:v>
                </c:pt>
                <c:pt idx="26">
                  <c:v>2038</c:v>
                </c:pt>
                <c:pt idx="27">
                  <c:v>2039</c:v>
                </c:pt>
                <c:pt idx="28">
                  <c:v>2040</c:v>
                </c:pt>
                <c:pt idx="29">
                  <c:v>2041</c:v>
                </c:pt>
                <c:pt idx="30">
                  <c:v>2042</c:v>
                </c:pt>
                <c:pt idx="31">
                  <c:v>2043</c:v>
                </c:pt>
                <c:pt idx="32">
                  <c:v>2044</c:v>
                </c:pt>
                <c:pt idx="33">
                  <c:v>2045</c:v>
                </c:pt>
                <c:pt idx="34">
                  <c:v>2046</c:v>
                </c:pt>
                <c:pt idx="35">
                  <c:v>2047</c:v>
                </c:pt>
                <c:pt idx="36">
                  <c:v>2048</c:v>
                </c:pt>
                <c:pt idx="37">
                  <c:v>2049</c:v>
                </c:pt>
                <c:pt idx="38">
                  <c:v>2050</c:v>
                </c:pt>
                <c:pt idx="39">
                  <c:v>2051</c:v>
                </c:pt>
                <c:pt idx="40">
                  <c:v>2052</c:v>
                </c:pt>
                <c:pt idx="41">
                  <c:v>2053</c:v>
                </c:pt>
                <c:pt idx="42">
                  <c:v>2054</c:v>
                </c:pt>
                <c:pt idx="43">
                  <c:v>2055</c:v>
                </c:pt>
                <c:pt idx="44">
                  <c:v>2056</c:v>
                </c:pt>
                <c:pt idx="45">
                  <c:v>2057</c:v>
                </c:pt>
                <c:pt idx="46">
                  <c:v>2058</c:v>
                </c:pt>
                <c:pt idx="47">
                  <c:v>2059</c:v>
                </c:pt>
                <c:pt idx="48">
                  <c:v>2060</c:v>
                </c:pt>
                <c:pt idx="49">
                  <c:v>2061</c:v>
                </c:pt>
              </c:numCache>
            </c:numRef>
          </c:cat>
          <c:val>
            <c:numRef>
              <c:f>Romania!$B$10:$AY$10</c:f>
              <c:numCache>
                <c:formatCode>#,##0</c:formatCode>
                <c:ptCount val="50"/>
                <c:pt idx="0">
                  <c:v>2584.85</c:v>
                </c:pt>
                <c:pt idx="1">
                  <c:v>1046.1999999999998</c:v>
                </c:pt>
                <c:pt idx="2">
                  <c:v>1188.2500000000018</c:v>
                </c:pt>
                <c:pt idx="3">
                  <c:v>3011.0000000000009</c:v>
                </c:pt>
                <c:pt idx="4">
                  <c:v>6514.45</c:v>
                </c:pt>
                <c:pt idx="5">
                  <c:v>11698.600000000006</c:v>
                </c:pt>
                <c:pt idx="6">
                  <c:v>18563.450000000004</c:v>
                </c:pt>
                <c:pt idx="7">
                  <c:v>27109.000000000004</c:v>
                </c:pt>
                <c:pt idx="8">
                  <c:v>37335.250000000007</c:v>
                </c:pt>
                <c:pt idx="9">
                  <c:v>49242.2</c:v>
                </c:pt>
                <c:pt idx="10">
                  <c:v>62829.850000000006</c:v>
                </c:pt>
                <c:pt idx="11">
                  <c:v>78098.200000000012</c:v>
                </c:pt>
                <c:pt idx="12">
                  <c:v>95047.249999999985</c:v>
                </c:pt>
                <c:pt idx="13">
                  <c:v>113677.00000000001</c:v>
                </c:pt>
                <c:pt idx="14">
                  <c:v>133987.45000000001</c:v>
                </c:pt>
                <c:pt idx="15">
                  <c:v>155978.60000000003</c:v>
                </c:pt>
                <c:pt idx="16">
                  <c:v>179650.45</c:v>
                </c:pt>
                <c:pt idx="17">
                  <c:v>205003.00000000006</c:v>
                </c:pt>
                <c:pt idx="18">
                  <c:v>232036.25000000006</c:v>
                </c:pt>
                <c:pt idx="19">
                  <c:v>260750.2</c:v>
                </c:pt>
                <c:pt idx="20">
                  <c:v>291144.85000000003</c:v>
                </c:pt>
                <c:pt idx="21">
                  <c:v>323220.2</c:v>
                </c:pt>
                <c:pt idx="22">
                  <c:v>356976.25000000006</c:v>
                </c:pt>
                <c:pt idx="23">
                  <c:v>392413.00000000006</c:v>
                </c:pt>
                <c:pt idx="24">
                  <c:v>429530.45</c:v>
                </c:pt>
                <c:pt idx="25">
                  <c:v>468328.6</c:v>
                </c:pt>
                <c:pt idx="26">
                  <c:v>508807.45</c:v>
                </c:pt>
                <c:pt idx="27">
                  <c:v>550967</c:v>
                </c:pt>
                <c:pt idx="28">
                  <c:v>594807.25</c:v>
                </c:pt>
                <c:pt idx="29">
                  <c:v>640328.19999999995</c:v>
                </c:pt>
                <c:pt idx="30">
                  <c:v>687529.85</c:v>
                </c:pt>
                <c:pt idx="31">
                  <c:v>736412.2</c:v>
                </c:pt>
                <c:pt idx="32">
                  <c:v>786975.25</c:v>
                </c:pt>
                <c:pt idx="33">
                  <c:v>839219</c:v>
                </c:pt>
                <c:pt idx="34">
                  <c:v>893143.45</c:v>
                </c:pt>
                <c:pt idx="35">
                  <c:v>948748.60000000009</c:v>
                </c:pt>
                <c:pt idx="36">
                  <c:v>1006034.4500000001</c:v>
                </c:pt>
                <c:pt idx="37">
                  <c:v>1065001</c:v>
                </c:pt>
                <c:pt idx="38">
                  <c:v>1125648.25</c:v>
                </c:pt>
                <c:pt idx="39">
                  <c:v>1187976.2</c:v>
                </c:pt>
                <c:pt idx="40">
                  <c:v>1251984.8500000001</c:v>
                </c:pt>
                <c:pt idx="41">
                  <c:v>1317674.2000000002</c:v>
                </c:pt>
                <c:pt idx="42">
                  <c:v>1385044.25</c:v>
                </c:pt>
                <c:pt idx="43">
                  <c:v>1454095</c:v>
                </c:pt>
                <c:pt idx="44">
                  <c:v>1524826.45</c:v>
                </c:pt>
                <c:pt idx="45">
                  <c:v>1597238.6</c:v>
                </c:pt>
                <c:pt idx="46">
                  <c:v>1671331.4500000002</c:v>
                </c:pt>
                <c:pt idx="47">
                  <c:v>1747105.0000000002</c:v>
                </c:pt>
                <c:pt idx="48">
                  <c:v>1824559.25</c:v>
                </c:pt>
                <c:pt idx="49">
                  <c:v>1903694.2</c:v>
                </c:pt>
              </c:numCache>
            </c:numRef>
          </c:val>
          <c:smooth val="0"/>
          <c:extLst xmlns:c16r2="http://schemas.microsoft.com/office/drawing/2015/06/chart">
            <c:ext xmlns:c16="http://schemas.microsoft.com/office/drawing/2014/chart" uri="{C3380CC4-5D6E-409C-BE32-E72D297353CC}">
              <c16:uniqueId val="{00000000-BC34-453C-9A03-4A59DFF7FB8A}"/>
            </c:ext>
          </c:extLst>
        </c:ser>
        <c:dLbls>
          <c:showLegendKey val="0"/>
          <c:showVal val="0"/>
          <c:showCatName val="0"/>
          <c:showSerName val="0"/>
          <c:showPercent val="0"/>
          <c:showBubbleSize val="0"/>
        </c:dLbls>
        <c:smooth val="0"/>
        <c:axId val="914584864"/>
        <c:axId val="914588672"/>
      </c:lineChart>
      <c:catAx>
        <c:axId val="914584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8672"/>
        <c:crosses val="autoZero"/>
        <c:auto val="1"/>
        <c:lblAlgn val="ctr"/>
        <c:lblOffset val="100"/>
        <c:noMultiLvlLbl val="0"/>
      </c:catAx>
      <c:valAx>
        <c:axId val="9145886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486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Consumul de carburant in functie de viteza</a:t>
            </a:r>
          </a:p>
        </c:rich>
      </c:tx>
      <c:layout>
        <c:manualLayout>
          <c:xMode val="edge"/>
          <c:yMode val="edge"/>
          <c:x val="0.23351486724536791"/>
          <c:y val="3.01034807149576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lineChart>
        <c:grouping val="standard"/>
        <c:varyColors val="0"/>
        <c:ser>
          <c:idx val="0"/>
          <c:order val="0"/>
          <c:tx>
            <c:v>autoturism benzina</c:v>
          </c:tx>
          <c:spPr>
            <a:ln w="28575" cap="rnd">
              <a:solidFill>
                <a:schemeClr val="accent1"/>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VOC!$I$10:$AH$10</c:f>
              <c:numCache>
                <c:formatCode>0.00</c:formatCode>
                <c:ptCount val="26"/>
                <c:pt idx="0">
                  <c:v>23.407580119999999</c:v>
                </c:pt>
                <c:pt idx="1">
                  <c:v>13.759747109999998</c:v>
                </c:pt>
                <c:pt idx="2">
                  <c:v>10.548798606666667</c:v>
                </c:pt>
                <c:pt idx="3">
                  <c:v>8.954621705000001</c:v>
                </c:pt>
                <c:pt idx="4">
                  <c:v>8.013193824</c:v>
                </c:pt>
                <c:pt idx="5">
                  <c:v>7.4031741033333347</c:v>
                </c:pt>
                <c:pt idx="6">
                  <c:v>6.9868450314285724</c:v>
                </c:pt>
                <c:pt idx="7">
                  <c:v>6.6953478524999994</c:v>
                </c:pt>
                <c:pt idx="8">
                  <c:v>6.4904277022222221</c:v>
                </c:pt>
                <c:pt idx="9">
                  <c:v>6.3491316619999987</c:v>
                </c:pt>
                <c:pt idx="10">
                  <c:v>6.2568533290909087</c:v>
                </c:pt>
                <c:pt idx="11">
                  <c:v>6.203855101666667</c:v>
                </c:pt>
                <c:pt idx="12">
                  <c:v>6.1833955630769228</c:v>
                </c:pt>
                <c:pt idx="13">
                  <c:v>6.1906594157142854</c:v>
                </c:pt>
                <c:pt idx="14">
                  <c:v>6.2221154413333331</c:v>
                </c:pt>
                <c:pt idx="15">
                  <c:v>6.2751152262499996</c:v>
                </c:pt>
                <c:pt idx="16">
                  <c:v>6.3476335129411767</c:v>
                </c:pt>
                <c:pt idx="17">
                  <c:v>6.4380951011111121</c:v>
                </c:pt>
                <c:pt idx="18">
                  <c:v>6.5452564115789462</c:v>
                </c:pt>
                <c:pt idx="19">
                  <c:v>6.6681225809999995</c:v>
                </c:pt>
                <c:pt idx="20">
                  <c:v>6.8058882438095241</c:v>
                </c:pt>
                <c:pt idx="21">
                  <c:v>6.9578944645454541</c:v>
                </c:pt>
                <c:pt idx="22">
                  <c:v>7.1235969052173918</c:v>
                </c:pt>
                <c:pt idx="23">
                  <c:v>7.3025419508333327</c:v>
                </c:pt>
                <c:pt idx="24">
                  <c:v>7.4943485647999992</c:v>
                </c:pt>
                <c:pt idx="25">
                  <c:v>7.6986943315384613</c:v>
                </c:pt>
              </c:numCache>
            </c:numRef>
          </c:val>
          <c:smooth val="0"/>
          <c:extLst xmlns:c16r2="http://schemas.microsoft.com/office/drawing/2015/06/chart">
            <c:ext xmlns:c16="http://schemas.microsoft.com/office/drawing/2014/chart" uri="{C3380CC4-5D6E-409C-BE32-E72D297353CC}">
              <c16:uniqueId val="{00000000-2590-4CEF-8C1A-5E9AC326807A}"/>
            </c:ext>
          </c:extLst>
        </c:ser>
        <c:ser>
          <c:idx val="1"/>
          <c:order val="1"/>
          <c:tx>
            <c:v>LGV benzina</c:v>
          </c:tx>
          <c:spPr>
            <a:ln w="28575" cap="rnd">
              <a:solidFill>
                <a:schemeClr val="accent2"/>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VOC!$I$11:$AH$11</c:f>
              <c:numCache>
                <c:formatCode>0.00</c:formatCode>
                <c:ptCount val="26"/>
                <c:pt idx="0">
                  <c:v>37.519888519999995</c:v>
                </c:pt>
                <c:pt idx="1">
                  <c:v>21.925572559999999</c:v>
                </c:pt>
                <c:pt idx="2">
                  <c:v>16.712706439999998</c:v>
                </c:pt>
                <c:pt idx="3">
                  <c:v>14.098973479999998</c:v>
                </c:pt>
                <c:pt idx="4">
                  <c:v>12.527910343999999</c:v>
                </c:pt>
                <c:pt idx="5">
                  <c:v>11.48069592</c:v>
                </c:pt>
                <c:pt idx="6">
                  <c:v>10.734978302857142</c:v>
                </c:pt>
                <c:pt idx="7">
                  <c:v>10.179581540000001</c:v>
                </c:pt>
                <c:pt idx="8">
                  <c:v>9.7527412133333335</c:v>
                </c:pt>
                <c:pt idx="9">
                  <c:v>9.4173986719999991</c:v>
                </c:pt>
                <c:pt idx="10">
                  <c:v>9.1499711381818187</c:v>
                </c:pt>
                <c:pt idx="11">
                  <c:v>8.9347367599999998</c:v>
                </c:pt>
                <c:pt idx="12">
                  <c:v>8.7608111784615392</c:v>
                </c:pt>
                <c:pt idx="13">
                  <c:v>8.6204198514285721</c:v>
                </c:pt>
                <c:pt idx="14">
                  <c:v>8.5078614480000017</c:v>
                </c:pt>
                <c:pt idx="15">
                  <c:v>8.4188599699999997</c:v>
                </c:pt>
                <c:pt idx="16">
                  <c:v>8.3501455364705901</c:v>
                </c:pt>
                <c:pt idx="17">
                  <c:v>8.2991749066666678</c:v>
                </c:pt>
                <c:pt idx="18">
                  <c:v>8.2639402589473683</c:v>
                </c:pt>
                <c:pt idx="19">
                  <c:v>8.2428353360000006</c:v>
                </c:pt>
                <c:pt idx="20">
                  <c:v>8.2345598342857151</c:v>
                </c:pt>
                <c:pt idx="21">
                  <c:v>8.2380498690909096</c:v>
                </c:pt>
                <c:pt idx="22">
                  <c:v>8.2524265791304359</c:v>
                </c:pt>
                <c:pt idx="23">
                  <c:v>8.2769575799999995</c:v>
                </c:pt>
                <c:pt idx="24">
                  <c:v>8.3110276687999995</c:v>
                </c:pt>
                <c:pt idx="25">
                  <c:v>8.3541162892307703</c:v>
                </c:pt>
              </c:numCache>
            </c:numRef>
          </c:val>
          <c:smooth val="0"/>
          <c:extLst xmlns:c16r2="http://schemas.microsoft.com/office/drawing/2015/06/chart">
            <c:ext xmlns:c16="http://schemas.microsoft.com/office/drawing/2014/chart" uri="{C3380CC4-5D6E-409C-BE32-E72D297353CC}">
              <c16:uniqueId val="{00000001-2590-4CEF-8C1A-5E9AC326807A}"/>
            </c:ext>
          </c:extLst>
        </c:ser>
        <c:ser>
          <c:idx val="2"/>
          <c:order val="2"/>
          <c:tx>
            <c:v>autoturism motorina</c:v>
          </c:tx>
          <c:spPr>
            <a:ln w="28575" cap="rnd">
              <a:solidFill>
                <a:schemeClr val="accent3"/>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VOC!$I$13:$AH$13</c:f>
              <c:numCache>
                <c:formatCode>0.00</c:formatCode>
                <c:ptCount val="26"/>
                <c:pt idx="0">
                  <c:v>14.351407445</c:v>
                </c:pt>
                <c:pt idx="1">
                  <c:v>9.7489802100000009</c:v>
                </c:pt>
                <c:pt idx="2">
                  <c:v>8.0811486983333332</c:v>
                </c:pt>
                <c:pt idx="3">
                  <c:v>7.162442705000001</c:v>
                </c:pt>
                <c:pt idx="4">
                  <c:v>6.555768189000001</c:v>
                </c:pt>
                <c:pt idx="5">
                  <c:v>6.1154271366666668</c:v>
                </c:pt>
                <c:pt idx="6">
                  <c:v>5.7789775421428571</c:v>
                </c:pt>
                <c:pt idx="7">
                  <c:v>5.5151984024999994</c:v>
                </c:pt>
                <c:pt idx="8">
                  <c:v>5.3067447161111119</c:v>
                </c:pt>
                <c:pt idx="9">
                  <c:v>5.1432094819999996</c:v>
                </c:pt>
                <c:pt idx="10">
                  <c:v>5.0179700631818189</c:v>
                </c:pt>
                <c:pt idx="11">
                  <c:v>4.926611368333333</c:v>
                </c:pt>
                <c:pt idx="12">
                  <c:v>4.8660767957692306</c:v>
                </c:pt>
                <c:pt idx="13">
                  <c:v>4.834183058571428</c:v>
                </c:pt>
                <c:pt idx="14">
                  <c:v>4.8293290796666657</c:v>
                </c:pt>
                <c:pt idx="15">
                  <c:v>4.8503140512499989</c:v>
                </c:pt>
                <c:pt idx="16">
                  <c:v>4.8962197085294115</c:v>
                </c:pt>
                <c:pt idx="17">
                  <c:v>4.9663318455555556</c:v>
                </c:pt>
                <c:pt idx="18">
                  <c:v>5.0600866155263162</c:v>
                </c:pt>
                <c:pt idx="19">
                  <c:v>5.1770329410000002</c:v>
                </c:pt>
                <c:pt idx="20">
                  <c:v>5.3168056640476191</c:v>
                </c:pt>
                <c:pt idx="21">
                  <c:v>5.4791060190909091</c:v>
                </c:pt>
                <c:pt idx="22">
                  <c:v>5.6636871997826086</c:v>
                </c:pt>
                <c:pt idx="23">
                  <c:v>5.8703435341666665</c:v>
                </c:pt>
                <c:pt idx="24">
                  <c:v>6.0989022577999998</c:v>
                </c:pt>
                <c:pt idx="25">
                  <c:v>6.3492171853846147</c:v>
                </c:pt>
              </c:numCache>
            </c:numRef>
          </c:val>
          <c:smooth val="0"/>
          <c:extLst xmlns:c16r2="http://schemas.microsoft.com/office/drawing/2015/06/chart">
            <c:ext xmlns:c16="http://schemas.microsoft.com/office/drawing/2014/chart" uri="{C3380CC4-5D6E-409C-BE32-E72D297353CC}">
              <c16:uniqueId val="{00000002-2590-4CEF-8C1A-5E9AC326807A}"/>
            </c:ext>
          </c:extLst>
        </c:ser>
        <c:ser>
          <c:idx val="3"/>
          <c:order val="3"/>
          <c:tx>
            <c:v>LGV motorina</c:v>
          </c:tx>
          <c:spPr>
            <a:ln w="28575" cap="rnd">
              <a:solidFill>
                <a:schemeClr val="accent4"/>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VOC!$I$14:$AH$14</c:f>
              <c:numCache>
                <c:formatCode>0.00</c:formatCode>
                <c:ptCount val="26"/>
                <c:pt idx="0">
                  <c:v>26.499123660000002</c:v>
                </c:pt>
                <c:pt idx="1">
                  <c:v>15.890181830000003</c:v>
                </c:pt>
                <c:pt idx="2">
                  <c:v>12.289821553333335</c:v>
                </c:pt>
                <c:pt idx="3">
                  <c:v>10.471701165000001</c:v>
                </c:pt>
                <c:pt idx="4">
                  <c:v>9.3905523320000004</c:v>
                </c:pt>
                <c:pt idx="5">
                  <c:v>8.6979522766666673</c:v>
                </c:pt>
                <c:pt idx="6">
                  <c:v>8.2445769514285718</c:v>
                </c:pt>
                <c:pt idx="7">
                  <c:v>7.9557643324999994</c:v>
                </c:pt>
                <c:pt idx="8">
                  <c:v>7.7900355177777785</c:v>
                </c:pt>
                <c:pt idx="9">
                  <c:v>7.7225031660000001</c:v>
                </c:pt>
                <c:pt idx="10">
                  <c:v>7.7373298781818169</c:v>
                </c:pt>
                <c:pt idx="11">
                  <c:v>7.8239573883333327</c:v>
                </c:pt>
                <c:pt idx="12">
                  <c:v>7.975076127692307</c:v>
                </c:pt>
                <c:pt idx="13">
                  <c:v>8.1854649757142859</c:v>
                </c:pt>
                <c:pt idx="14">
                  <c:v>8.4512951106666669</c:v>
                </c:pt>
                <c:pt idx="15">
                  <c:v>8.7696949162500015</c:v>
                </c:pt>
                <c:pt idx="16">
                  <c:v>9.1384684505882365</c:v>
                </c:pt>
                <c:pt idx="17">
                  <c:v>9.5559077588888908</c:v>
                </c:pt>
                <c:pt idx="18">
                  <c:v>10.020664455789474</c:v>
                </c:pt>
                <c:pt idx="19">
                  <c:v>10.531659833000001</c:v>
                </c:pt>
                <c:pt idx="20">
                  <c:v>11.08802065047619</c:v>
                </c:pt>
                <c:pt idx="21">
                  <c:v>11.68903243909091</c:v>
                </c:pt>
                <c:pt idx="22">
                  <c:v>12.334104985217392</c:v>
                </c:pt>
                <c:pt idx="23">
                  <c:v>13.022746444166666</c:v>
                </c:pt>
                <c:pt idx="24">
                  <c:v>13.754543666399998</c:v>
                </c:pt>
                <c:pt idx="25">
                  <c:v>14.529147063846153</c:v>
                </c:pt>
              </c:numCache>
            </c:numRef>
          </c:val>
          <c:smooth val="0"/>
          <c:extLst xmlns:c16r2="http://schemas.microsoft.com/office/drawing/2015/06/chart">
            <c:ext xmlns:c16="http://schemas.microsoft.com/office/drawing/2014/chart" uri="{C3380CC4-5D6E-409C-BE32-E72D297353CC}">
              <c16:uniqueId val="{00000003-2590-4CEF-8C1A-5E9AC326807A}"/>
            </c:ext>
          </c:extLst>
        </c:ser>
        <c:ser>
          <c:idx val="4"/>
          <c:order val="4"/>
          <c:tx>
            <c:strRef>
              <c:f>VOC!$A$15</c:f>
              <c:strCache>
                <c:ptCount val="1"/>
                <c:pt idx="0">
                  <c:v>OGV1 (2 osii, 3/4 osii)</c:v>
                </c:pt>
              </c:strCache>
            </c:strRef>
          </c:tx>
          <c:spPr>
            <a:ln w="28575" cap="rnd">
              <a:solidFill>
                <a:schemeClr val="accent5"/>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VOC!$I$15:$AH$15</c:f>
              <c:numCache>
                <c:formatCode>0.00</c:formatCode>
                <c:ptCount val="26"/>
                <c:pt idx="0">
                  <c:v>52.399278780000003</c:v>
                </c:pt>
                <c:pt idx="1">
                  <c:v>36.069172539999997</c:v>
                </c:pt>
                <c:pt idx="2">
                  <c:v>29.741379460000001</c:v>
                </c:pt>
                <c:pt idx="3">
                  <c:v>26.029057170000002</c:v>
                </c:pt>
                <c:pt idx="4">
                  <c:v>23.454837195999996</c:v>
                </c:pt>
                <c:pt idx="5">
                  <c:v>21.52626338</c:v>
                </c:pt>
                <c:pt idx="6">
                  <c:v>20.032283082857141</c:v>
                </c:pt>
                <c:pt idx="7">
                  <c:v>18.867369985</c:v>
                </c:pt>
                <c:pt idx="8">
                  <c:v>17.972898353333335</c:v>
                </c:pt>
                <c:pt idx="9">
                  <c:v>17.313692748000001</c:v>
                </c:pt>
                <c:pt idx="10">
                  <c:v>16.867368798181815</c:v>
                </c:pt>
                <c:pt idx="11">
                  <c:v>16.619003590000002</c:v>
                </c:pt>
                <c:pt idx="12">
                  <c:v>16.558265875384617</c:v>
                </c:pt>
                <c:pt idx="13">
                  <c:v>16.677776191428574</c:v>
                </c:pt>
                <c:pt idx="14">
                  <c:v>16.972122931999998</c:v>
                </c:pt>
                <c:pt idx="15">
                  <c:v>17.437247392499998</c:v>
                </c:pt>
                <c:pt idx="16">
                  <c:v>18.07004585764706</c:v>
                </c:pt>
                <c:pt idx="17">
                  <c:v>18.868104326666664</c:v>
                </c:pt>
                <c:pt idx="18">
                  <c:v>19.829517009473683</c:v>
                </c:pt>
                <c:pt idx="19">
                  <c:v>20.952759273999998</c:v>
                </c:pt>
                <c:pt idx="20">
                  <c:v>22.236596894285711</c:v>
                </c:pt>
                <c:pt idx="21">
                  <c:v>23.680020049090906</c:v>
                </c:pt>
                <c:pt idx="22">
                  <c:v>25.282194538260871</c:v>
                </c:pt>
                <c:pt idx="23">
                  <c:v>27.042425194999996</c:v>
                </c:pt>
                <c:pt idx="24">
                  <c:v>28.960128079200004</c:v>
                </c:pt>
                <c:pt idx="25">
                  <c:v>31.034809087692306</c:v>
                </c:pt>
              </c:numCache>
            </c:numRef>
          </c:val>
          <c:smooth val="0"/>
          <c:extLst xmlns:c16r2="http://schemas.microsoft.com/office/drawing/2015/06/chart">
            <c:ext xmlns:c16="http://schemas.microsoft.com/office/drawing/2014/chart" uri="{C3380CC4-5D6E-409C-BE32-E72D297353CC}">
              <c16:uniqueId val="{00000004-2590-4CEF-8C1A-5E9AC326807A}"/>
            </c:ext>
          </c:extLst>
        </c:ser>
        <c:ser>
          <c:idx val="5"/>
          <c:order val="5"/>
          <c:tx>
            <c:strRef>
              <c:f>VOC!$A$16</c:f>
              <c:strCache>
                <c:ptCount val="1"/>
                <c:pt idx="0">
                  <c:v>OGV2 (articulate)</c:v>
                </c:pt>
              </c:strCache>
            </c:strRef>
          </c:tx>
          <c:spPr>
            <a:ln w="28575" cap="rnd">
              <a:solidFill>
                <a:schemeClr val="accent6"/>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VOC!$I$16:$AH$16</c:f>
              <c:numCache>
                <c:formatCode>0.00</c:formatCode>
                <c:ptCount val="26"/>
                <c:pt idx="0">
                  <c:v>105.02062782000002</c:v>
                </c:pt>
                <c:pt idx="1">
                  <c:v>69.061873860000006</c:v>
                </c:pt>
                <c:pt idx="2">
                  <c:v>55.887418206666673</c:v>
                </c:pt>
                <c:pt idx="3">
                  <c:v>48.543746129999995</c:v>
                </c:pt>
                <c:pt idx="4">
                  <c:v>43.640154684000002</c:v>
                </c:pt>
                <c:pt idx="5">
                  <c:v>40.046409553333326</c:v>
                </c:pt>
                <c:pt idx="6">
                  <c:v>37.27812460285714</c:v>
                </c:pt>
                <c:pt idx="7">
                  <c:v>35.093106765000002</c:v>
                </c:pt>
                <c:pt idx="8">
                  <c:v>33.356804335555559</c:v>
                </c:pt>
                <c:pt idx="9">
                  <c:v>31.988486291999997</c:v>
                </c:pt>
                <c:pt idx="10">
                  <c:v>30.936778347272725</c:v>
                </c:pt>
                <c:pt idx="11">
                  <c:v>30.167430976666665</c:v>
                </c:pt>
                <c:pt idx="12">
                  <c:v>29.656732970769227</c:v>
                </c:pt>
                <c:pt idx="13">
                  <c:v>29.387747751428574</c:v>
                </c:pt>
                <c:pt idx="14">
                  <c:v>29.348055161333335</c:v>
                </c:pt>
                <c:pt idx="15">
                  <c:v>29.528340082499998</c:v>
                </c:pt>
                <c:pt idx="16">
                  <c:v>29.921479189411766</c:v>
                </c:pt>
                <c:pt idx="17">
                  <c:v>30.521932117777776</c:v>
                </c:pt>
                <c:pt idx="18">
                  <c:v>31.325324895789468</c:v>
                </c:pt>
                <c:pt idx="19">
                  <c:v>32.328158345999995</c:v>
                </c:pt>
                <c:pt idx="20">
                  <c:v>33.527599800952373</c:v>
                </c:pt>
                <c:pt idx="21">
                  <c:v>34.921331623636362</c:v>
                </c:pt>
                <c:pt idx="22">
                  <c:v>36.507439244347829</c:v>
                </c:pt>
                <c:pt idx="23">
                  <c:v>38.284327188333322</c:v>
                </c:pt>
                <c:pt idx="24">
                  <c:v>40.250655256800002</c:v>
                </c:pt>
                <c:pt idx="25">
                  <c:v>42.40528943538461</c:v>
                </c:pt>
              </c:numCache>
            </c:numRef>
          </c:val>
          <c:smooth val="0"/>
          <c:extLst xmlns:c16r2="http://schemas.microsoft.com/office/drawing/2015/06/chart">
            <c:ext xmlns:c16="http://schemas.microsoft.com/office/drawing/2014/chart" uri="{C3380CC4-5D6E-409C-BE32-E72D297353CC}">
              <c16:uniqueId val="{00000005-2590-4CEF-8C1A-5E9AC326807A}"/>
            </c:ext>
          </c:extLst>
        </c:ser>
        <c:ser>
          <c:idx val="6"/>
          <c:order val="6"/>
          <c:tx>
            <c:strRef>
              <c:f>VOC!$A$17</c:f>
              <c:strCache>
                <c:ptCount val="1"/>
                <c:pt idx="0">
                  <c:v>PSV (autocar)</c:v>
                </c:pt>
              </c:strCache>
            </c:strRef>
          </c:tx>
          <c:spPr>
            <a:ln w="28575" cap="rnd">
              <a:solidFill>
                <a:schemeClr val="accent1">
                  <a:lumMod val="60000"/>
                </a:schemeClr>
              </a:solidFill>
              <a:round/>
            </a:ln>
            <a:effectLst/>
          </c:spPr>
          <c:marker>
            <c:symbol val="none"/>
          </c:marker>
          <c:cat>
            <c:numRef>
              <c:f>VOC!$I$8:$AH$8</c:f>
              <c:numCache>
                <c:formatCode>General</c:formatCode>
                <c:ptCount val="26"/>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pt idx="17">
                  <c:v>90</c:v>
                </c:pt>
                <c:pt idx="18">
                  <c:v>95</c:v>
                </c:pt>
                <c:pt idx="19">
                  <c:v>100</c:v>
                </c:pt>
                <c:pt idx="20">
                  <c:v>105</c:v>
                </c:pt>
                <c:pt idx="21">
                  <c:v>110</c:v>
                </c:pt>
                <c:pt idx="22">
                  <c:v>115</c:v>
                </c:pt>
                <c:pt idx="23">
                  <c:v>120</c:v>
                </c:pt>
                <c:pt idx="24">
                  <c:v>125</c:v>
                </c:pt>
                <c:pt idx="25">
                  <c:v>130</c:v>
                </c:pt>
              </c:numCache>
            </c:numRef>
          </c:cat>
          <c:val>
            <c:numRef>
              <c:f>VOC!$I$17:$AH$17</c:f>
              <c:numCache>
                <c:formatCode>0.00</c:formatCode>
                <c:ptCount val="26"/>
                <c:pt idx="0">
                  <c:v>110.94664453</c:v>
                </c:pt>
                <c:pt idx="1">
                  <c:v>67.961345540000011</c:v>
                </c:pt>
                <c:pt idx="2">
                  <c:v>52.596032209999997</c:v>
                </c:pt>
                <c:pt idx="3">
                  <c:v>44.27268892</c:v>
                </c:pt>
                <c:pt idx="4">
                  <c:v>38.875712545999988</c:v>
                </c:pt>
                <c:pt idx="5">
                  <c:v>35.033235380000008</c:v>
                </c:pt>
                <c:pt idx="6">
                  <c:v>32.157314118571421</c:v>
                </c:pt>
                <c:pt idx="7">
                  <c:v>29.95397711</c:v>
                </c:pt>
                <c:pt idx="8">
                  <c:v>28.259906769999997</c:v>
                </c:pt>
                <c:pt idx="9">
                  <c:v>26.977112548000004</c:v>
                </c:pt>
                <c:pt idx="10">
                  <c:v>26.043236820909094</c:v>
                </c:pt>
                <c:pt idx="11">
                  <c:v>25.416707839999997</c:v>
                </c:pt>
                <c:pt idx="12">
                  <c:v>25.068745163846156</c:v>
                </c:pt>
                <c:pt idx="13">
                  <c:v>24.978791334285717</c:v>
                </c:pt>
                <c:pt idx="14">
                  <c:v>25.131770882000005</c:v>
                </c:pt>
                <c:pt idx="15">
                  <c:v>25.516377205000001</c:v>
                </c:pt>
                <c:pt idx="16">
                  <c:v>26.1239640782353</c:v>
                </c:pt>
                <c:pt idx="17">
                  <c:v>26.947806660000001</c:v>
                </c:pt>
                <c:pt idx="18">
                  <c:v>27.982595864736847</c:v>
                </c:pt>
                <c:pt idx="19">
                  <c:v>29.224084424000001</c:v>
                </c:pt>
                <c:pt idx="20">
                  <c:v>30.668834072857155</c:v>
                </c:pt>
                <c:pt idx="21">
                  <c:v>32.314031685454545</c:v>
                </c:pt>
                <c:pt idx="22">
                  <c:v>34.157353375217404</c:v>
                </c:pt>
                <c:pt idx="23">
                  <c:v>36.196862570000008</c:v>
                </c:pt>
                <c:pt idx="24">
                  <c:v>38.430932549200008</c:v>
                </c:pt>
                <c:pt idx="25">
                  <c:v>40.858186856923091</c:v>
                </c:pt>
              </c:numCache>
            </c:numRef>
          </c:val>
          <c:smooth val="0"/>
          <c:extLst xmlns:c16r2="http://schemas.microsoft.com/office/drawing/2015/06/chart">
            <c:ext xmlns:c16="http://schemas.microsoft.com/office/drawing/2014/chart" uri="{C3380CC4-5D6E-409C-BE32-E72D297353CC}">
              <c16:uniqueId val="{00000006-2590-4CEF-8C1A-5E9AC326807A}"/>
            </c:ext>
          </c:extLst>
        </c:ser>
        <c:dLbls>
          <c:showLegendKey val="0"/>
          <c:showVal val="0"/>
          <c:showCatName val="0"/>
          <c:showSerName val="0"/>
          <c:showPercent val="0"/>
          <c:showBubbleSize val="0"/>
        </c:dLbls>
        <c:smooth val="0"/>
        <c:axId val="914582688"/>
        <c:axId val="914589216"/>
      </c:lineChart>
      <c:catAx>
        <c:axId val="9145826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viteza (km/h)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9216"/>
        <c:crosses val="autoZero"/>
        <c:auto val="1"/>
        <c:lblAlgn val="ctr"/>
        <c:lblOffset val="100"/>
        <c:noMultiLvlLbl val="0"/>
      </c:catAx>
      <c:valAx>
        <c:axId val="914589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Consum</a:t>
                </a:r>
                <a:r>
                  <a:rPr lang="en-GB" baseline="0"/>
                  <a:t> carburant (l/100 km)</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o-RO"/>
            </a:p>
          </c:tx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crossAx val="91458268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9E3E00-2C6D-48B6-9A37-F2C7E9F9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147</Pages>
  <Words>44734</Words>
  <Characters>259462</Characters>
  <Application>Microsoft Office Word</Application>
  <DocSecurity>0</DocSecurity>
  <Lines>2162</Lines>
  <Paragraphs>607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Carmen PELINEL</cp:lastModifiedBy>
  <cp:revision>160</cp:revision>
  <cp:lastPrinted>2024-04-09T13:30:00Z</cp:lastPrinted>
  <dcterms:created xsi:type="dcterms:W3CDTF">2022-04-07T12:40:00Z</dcterms:created>
  <dcterms:modified xsi:type="dcterms:W3CDTF">2024-04-09T13:31:00Z</dcterms:modified>
</cp:coreProperties>
</file>