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AF" w:rsidRPr="00794DD1" w:rsidRDefault="007974AF" w:rsidP="007831F0">
      <w:pPr>
        <w:jc w:val="center"/>
        <w:rPr>
          <w:rStyle w:val="Emphasis"/>
        </w:rPr>
      </w:pPr>
    </w:p>
    <w:p w:rsidR="007831F0" w:rsidRDefault="001408F0" w:rsidP="007831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OBSERVATII REFERITOARE LA GHIDUL SOLICITANTULULUI –</w:t>
      </w:r>
      <w:r w:rsidR="00884372">
        <w:rPr>
          <w:rFonts w:ascii="Times New Roman" w:hAnsi="Times New Roman"/>
          <w:b/>
          <w:sz w:val="24"/>
          <w:szCs w:val="24"/>
        </w:rPr>
        <w:t xml:space="preserve"> POIM </w:t>
      </w:r>
      <w:r>
        <w:rPr>
          <w:rFonts w:ascii="Times New Roman" w:hAnsi="Times New Roman"/>
          <w:b/>
          <w:sz w:val="24"/>
          <w:szCs w:val="24"/>
        </w:rPr>
        <w:t xml:space="preserve">AXA </w:t>
      </w:r>
      <w:r w:rsidR="00884372">
        <w:rPr>
          <w:rFonts w:ascii="Times New Roman" w:hAnsi="Times New Roman"/>
          <w:b/>
          <w:sz w:val="24"/>
          <w:szCs w:val="24"/>
        </w:rPr>
        <w:t xml:space="preserve">PRIORITARA </w:t>
      </w:r>
      <w:r w:rsidR="00346DA8">
        <w:rPr>
          <w:rFonts w:ascii="Times New Roman" w:hAnsi="Times New Roman"/>
          <w:b/>
          <w:sz w:val="24"/>
          <w:szCs w:val="24"/>
        </w:rPr>
        <w:t>6</w:t>
      </w:r>
      <w:r w:rsidR="00884372">
        <w:rPr>
          <w:rFonts w:ascii="Times New Roman" w:hAnsi="Times New Roman"/>
          <w:b/>
          <w:sz w:val="24"/>
          <w:szCs w:val="24"/>
        </w:rPr>
        <w:t xml:space="preserve"> –OBIECTIV SPECIFIC  </w:t>
      </w:r>
      <w:r w:rsidR="00346DA8">
        <w:rPr>
          <w:rFonts w:ascii="Times New Roman" w:hAnsi="Times New Roman"/>
          <w:b/>
          <w:sz w:val="24"/>
          <w:szCs w:val="24"/>
        </w:rPr>
        <w:t>6.</w:t>
      </w:r>
      <w:r w:rsidR="00432DC5">
        <w:rPr>
          <w:rFonts w:ascii="Times New Roman" w:hAnsi="Times New Roman"/>
          <w:b/>
          <w:sz w:val="24"/>
          <w:szCs w:val="24"/>
        </w:rPr>
        <w:t>2</w:t>
      </w:r>
      <w:r w:rsidR="0012163E">
        <w:rPr>
          <w:rFonts w:ascii="Times New Roman" w:hAnsi="Times New Roman"/>
          <w:b/>
          <w:sz w:val="24"/>
          <w:szCs w:val="24"/>
        </w:rPr>
        <w:t xml:space="preserve"> </w:t>
      </w:r>
    </w:p>
    <w:p w:rsidR="00884372" w:rsidRPr="00C35C9D" w:rsidRDefault="00945C9D" w:rsidP="00945C9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35C9D">
        <w:rPr>
          <w:rFonts w:ascii="Times New Roman" w:hAnsi="Times New Roman"/>
          <w:b/>
          <w:i/>
          <w:sz w:val="24"/>
          <w:szCs w:val="24"/>
        </w:rPr>
        <w:tab/>
      </w:r>
      <w:r w:rsidR="00C35C9D" w:rsidRPr="00C35C9D">
        <w:rPr>
          <w:rFonts w:ascii="Times New Roman" w:hAnsi="Times New Roman"/>
          <w:b/>
          <w:i/>
          <w:sz w:val="24"/>
          <w:szCs w:val="24"/>
        </w:rPr>
        <w:t xml:space="preserve">(primite </w:t>
      </w:r>
      <w:r w:rsidR="00C35C9D">
        <w:rPr>
          <w:rFonts w:ascii="Times New Roman" w:hAnsi="Times New Roman"/>
          <w:b/>
          <w:i/>
          <w:sz w:val="24"/>
          <w:szCs w:val="24"/>
        </w:rPr>
        <w:t>î</w:t>
      </w:r>
      <w:r w:rsidR="00C35C9D" w:rsidRPr="00C35C9D">
        <w:rPr>
          <w:rFonts w:ascii="Times New Roman" w:hAnsi="Times New Roman"/>
          <w:b/>
          <w:i/>
          <w:sz w:val="24"/>
          <w:szCs w:val="24"/>
        </w:rPr>
        <w:t>n prima etap</w:t>
      </w:r>
      <w:r w:rsidR="00C35C9D">
        <w:rPr>
          <w:rFonts w:ascii="Times New Roman" w:hAnsi="Times New Roman"/>
          <w:b/>
          <w:i/>
          <w:sz w:val="24"/>
          <w:szCs w:val="24"/>
        </w:rPr>
        <w:t>ă</w:t>
      </w:r>
      <w:r w:rsidR="00C35C9D" w:rsidRPr="00C35C9D">
        <w:rPr>
          <w:rFonts w:ascii="Times New Roman" w:hAnsi="Times New Roman"/>
          <w:b/>
          <w:i/>
          <w:sz w:val="24"/>
          <w:szCs w:val="24"/>
        </w:rPr>
        <w:t xml:space="preserve"> de consultare public</w:t>
      </w:r>
      <w:r w:rsidR="00C35C9D">
        <w:rPr>
          <w:rFonts w:ascii="Times New Roman" w:hAnsi="Times New Roman"/>
          <w:b/>
          <w:i/>
          <w:sz w:val="24"/>
          <w:szCs w:val="24"/>
        </w:rPr>
        <w:t>ă</w:t>
      </w:r>
      <w:r w:rsidR="00C35C9D" w:rsidRPr="00C35C9D">
        <w:rPr>
          <w:rFonts w:ascii="Times New Roman" w:hAnsi="Times New Roman"/>
          <w:b/>
          <w:i/>
          <w:sz w:val="24"/>
          <w:szCs w:val="24"/>
        </w:rPr>
        <w:t>)</w:t>
      </w:r>
      <w:r w:rsidRPr="00C35C9D">
        <w:rPr>
          <w:rFonts w:ascii="Times New Roman" w:hAnsi="Times New Roman"/>
          <w:b/>
          <w:i/>
          <w:sz w:val="24"/>
          <w:szCs w:val="24"/>
        </w:rPr>
        <w:tab/>
      </w:r>
      <w:r w:rsidRPr="00C35C9D">
        <w:rPr>
          <w:rFonts w:ascii="Times New Roman" w:hAnsi="Times New Roman"/>
          <w:b/>
          <w:i/>
          <w:sz w:val="24"/>
          <w:szCs w:val="24"/>
        </w:rPr>
        <w:tab/>
      </w:r>
      <w:r w:rsidRPr="00C35C9D">
        <w:rPr>
          <w:rFonts w:ascii="Times New Roman" w:hAnsi="Times New Roman"/>
          <w:b/>
          <w:i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5670"/>
        <w:gridCol w:w="3150"/>
        <w:gridCol w:w="2520"/>
        <w:gridCol w:w="3540"/>
      </w:tblGrid>
      <w:tr w:rsidR="00346DA8" w:rsidRPr="00D600CC" w:rsidTr="00130C8A">
        <w:trPr>
          <w:tblHeader/>
        </w:trPr>
        <w:tc>
          <w:tcPr>
            <w:tcW w:w="1188" w:type="dxa"/>
            <w:vAlign w:val="center"/>
          </w:tcPr>
          <w:p w:rsidR="00346DA8" w:rsidRPr="00D600CC" w:rsidRDefault="00346DA8" w:rsidP="00E109E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600CC">
              <w:rPr>
                <w:rFonts w:asciiTheme="minorHAnsi" w:hAnsiTheme="minorHAnsi"/>
                <w:b/>
                <w:sz w:val="20"/>
                <w:szCs w:val="20"/>
              </w:rPr>
              <w:t>Expeditor</w:t>
            </w:r>
          </w:p>
        </w:tc>
        <w:tc>
          <w:tcPr>
            <w:tcW w:w="5670" w:type="dxa"/>
            <w:vAlign w:val="center"/>
          </w:tcPr>
          <w:p w:rsidR="00346DA8" w:rsidRPr="00D600CC" w:rsidRDefault="00346DA8" w:rsidP="00432DC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600CC">
              <w:rPr>
                <w:rFonts w:asciiTheme="minorHAnsi" w:hAnsiTheme="minorHAnsi"/>
                <w:b/>
                <w:sz w:val="20"/>
                <w:szCs w:val="20"/>
              </w:rPr>
              <w:t xml:space="preserve">Propuneri/comentarii privind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Ghidul Solicitantului Axa 6 OS. 6.</w:t>
            </w:r>
            <w:r w:rsidR="00432DC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:rsidR="00346DA8" w:rsidRPr="00D600CC" w:rsidRDefault="00346DA8" w:rsidP="00E109E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Justificare propunere</w:t>
            </w:r>
          </w:p>
        </w:tc>
        <w:tc>
          <w:tcPr>
            <w:tcW w:w="2520" w:type="dxa"/>
            <w:vAlign w:val="center"/>
          </w:tcPr>
          <w:p w:rsidR="00346DA8" w:rsidRPr="00D600CC" w:rsidRDefault="00346DA8" w:rsidP="00E109E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600CC">
              <w:rPr>
                <w:rFonts w:asciiTheme="minorHAnsi" w:hAnsiTheme="minorHAnsi"/>
                <w:b/>
                <w:sz w:val="20"/>
                <w:szCs w:val="20"/>
              </w:rPr>
              <w:t xml:space="preserve">Unde si cum s-a revizuit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ghidul</w:t>
            </w:r>
          </w:p>
        </w:tc>
        <w:tc>
          <w:tcPr>
            <w:tcW w:w="3540" w:type="dxa"/>
            <w:vAlign w:val="center"/>
          </w:tcPr>
          <w:p w:rsidR="00346DA8" w:rsidRPr="00D600CC" w:rsidRDefault="00346DA8" w:rsidP="00E109E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600CC">
              <w:rPr>
                <w:rFonts w:asciiTheme="minorHAnsi" w:hAnsiTheme="minorHAnsi"/>
                <w:b/>
                <w:sz w:val="20"/>
                <w:szCs w:val="20"/>
              </w:rPr>
              <w:t>Motivare nepreluare comentarii</w:t>
            </w:r>
          </w:p>
        </w:tc>
      </w:tr>
      <w:tr w:rsidR="00346DA8" w:rsidRPr="00E63EA4" w:rsidTr="00130C8A">
        <w:trPr>
          <w:trHeight w:val="620"/>
        </w:trPr>
        <w:tc>
          <w:tcPr>
            <w:tcW w:w="1188" w:type="dxa"/>
          </w:tcPr>
          <w:p w:rsidR="00432DC5" w:rsidRPr="00432DC5" w:rsidRDefault="00346DA8" w:rsidP="00432DC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="00432DC5">
              <w:t xml:space="preserve"> </w:t>
            </w:r>
            <w:r w:rsidR="00432DC5" w:rsidRPr="00432DC5">
              <w:rPr>
                <w:rFonts w:asciiTheme="minorHAnsi" w:hAnsiTheme="minorHAnsi"/>
                <w:b/>
                <w:sz w:val="20"/>
                <w:szCs w:val="20"/>
              </w:rPr>
              <w:t xml:space="preserve">SERVELECT SRL </w:t>
            </w:r>
          </w:p>
          <w:p w:rsidR="00432DC5" w:rsidRPr="00432DC5" w:rsidRDefault="00432DC5" w:rsidP="00432DC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32DC5">
              <w:rPr>
                <w:rFonts w:asciiTheme="minorHAnsi" w:hAnsiTheme="minorHAnsi"/>
                <w:b/>
                <w:sz w:val="20"/>
                <w:szCs w:val="20"/>
              </w:rPr>
              <w:t>Iulia.chinta@servelect.ro</w:t>
            </w:r>
          </w:p>
          <w:p w:rsidR="00086DD5" w:rsidRPr="00605D75" w:rsidRDefault="00086DD5" w:rsidP="00130C8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432DC5" w:rsidRDefault="00A9223F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a.</w:t>
            </w:r>
            <w:r w:rsidR="00432DC5" w:rsidRPr="00432DC5">
              <w:rPr>
                <w:rFonts w:asciiTheme="minorHAnsi" w:hAnsiTheme="minorHAnsi" w:cs="Arial"/>
                <w:b/>
                <w:sz w:val="20"/>
                <w:szCs w:val="20"/>
              </w:rPr>
              <w:t>Eligibilitatea</w:t>
            </w:r>
            <w:proofErr w:type="spellEnd"/>
            <w:r w:rsidR="00432DC5" w:rsidRPr="00432DC5">
              <w:rPr>
                <w:rFonts w:asciiTheme="minorHAnsi" w:hAnsiTheme="minorHAnsi" w:cs="Arial"/>
                <w:b/>
                <w:sz w:val="20"/>
                <w:szCs w:val="20"/>
              </w:rPr>
              <w:t xml:space="preserve"> solicitantului:</w:t>
            </w: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Modificări propuse: </w:t>
            </w: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- Sa fie eligibili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toti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consumatorii de energie cu un consum anual de peste 200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tep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52258">
              <w:rPr>
                <w:rFonts w:asciiTheme="minorHAnsi" w:hAnsiTheme="minorHAnsi" w:cs="Arial"/>
                <w:sz w:val="20"/>
                <w:szCs w:val="20"/>
              </w:rPr>
              <w:t>– Sa fie eligibile si companiile industriale cu Cod CAEN aferent SECTIUNII E: DISTRIBUTIA APEI; SALUBRITATE, GESTIONAREA DESEURILOR;</w:t>
            </w:r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432DC5" w:rsidRDefault="00A9223F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b.</w:t>
            </w:r>
            <w:r w:rsidR="00432DC5" w:rsidRPr="00432DC5">
              <w:rPr>
                <w:rFonts w:asciiTheme="minorHAnsi" w:hAnsiTheme="minorHAnsi" w:cs="Arial"/>
                <w:b/>
                <w:sz w:val="20"/>
                <w:szCs w:val="20"/>
              </w:rPr>
              <w:t>Eligibilitatea</w:t>
            </w:r>
            <w:proofErr w:type="spellEnd"/>
            <w:r w:rsidR="00432DC5" w:rsidRPr="00432DC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proiectului:</w:t>
            </w: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32DC5">
              <w:rPr>
                <w:rFonts w:asciiTheme="minorHAnsi" w:hAnsiTheme="minorHAnsi" w:cs="Arial"/>
                <w:sz w:val="20"/>
                <w:szCs w:val="20"/>
              </w:rPr>
              <w:t>Modificări propuse:</w:t>
            </w: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- Sistemele de monitorizare implementate sa fie compatibile IPMVP (standard european de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masurare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si verificare a economiilor de energie). In acest fel favorizam implementarea unor sisteme de monitorizare cu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functionalitati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orientate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catre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transparenta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rentabilitatii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implementarii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solutiilor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de reducere a consumurilor de energie. Astfel, sistemele de monitorizare vor fi utilizate ca instrumente de lucru pentru implementarea si monitorizarea efectelor post implementare a 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solutiilor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care conduc la eficienta energetica.</w:t>
            </w:r>
          </w:p>
          <w:p w:rsidR="00432DC5" w:rsidRPr="00432DC5" w:rsidRDefault="00432DC5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32DC5">
              <w:rPr>
                <w:rFonts w:asciiTheme="minorHAnsi" w:hAnsiTheme="minorHAnsi" w:cs="Arial"/>
                <w:sz w:val="20"/>
                <w:szCs w:val="20"/>
              </w:rPr>
              <w:t>- La punctul i</w:t>
            </w:r>
            <w:r w:rsidR="00341B6B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„Proiectul nu are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activitatile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finalizate la momentul depunerii cererii de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finantare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”, ar fi necesar un criteriu mai transparent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vis-a-vis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de cat % din implementarea proiectului se poate implementa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inainte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de aprobarea proiectului. Ex: Acceptarea unui procent de 90% din valoarea proiectului pentru a fi implementat anterior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acceptarii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la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finantare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ar accelera implementarea acestor sisteme.</w:t>
            </w:r>
          </w:p>
          <w:p w:rsidR="00385FF0" w:rsidRPr="00D600CC" w:rsidRDefault="00385FF0" w:rsidP="00432DC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346DA8" w:rsidRDefault="00346DA8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D6B96" w:rsidRDefault="009D6B96" w:rsidP="00E109E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346DA8" w:rsidRDefault="00432DC5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Companiile de apa,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utilizand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un sistem de monitorizare bine pus la punct, pot reduce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atat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 xml:space="preserve"> consumurile specifice cat si pierderile semnificative aferente </w:t>
            </w:r>
            <w:proofErr w:type="spellStart"/>
            <w:r w:rsidRPr="00432DC5">
              <w:rPr>
                <w:rFonts w:asciiTheme="minorHAnsi" w:hAnsiTheme="minorHAnsi" w:cs="Arial"/>
                <w:sz w:val="20"/>
                <w:szCs w:val="20"/>
              </w:rPr>
              <w:t>distributiei</w:t>
            </w:r>
            <w:proofErr w:type="spellEnd"/>
            <w:r w:rsidRPr="00432DC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346DA8" w:rsidRDefault="00346DA8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6DA8" w:rsidRDefault="00346DA8" w:rsidP="00E109E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346DA8" w:rsidRDefault="00346DA8" w:rsidP="00E109E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278A1" w:rsidRDefault="008278A1" w:rsidP="00E109E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278A1" w:rsidRDefault="008278A1" w:rsidP="00E109E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278A1" w:rsidRDefault="008278A1" w:rsidP="00E109E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278A1" w:rsidRDefault="008278A1" w:rsidP="00E109E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346DA8" w:rsidRDefault="00346DA8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6DA8" w:rsidRDefault="00346DA8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6DA8" w:rsidRDefault="00346DA8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46DA8" w:rsidRPr="00D600CC" w:rsidRDefault="00346DA8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346DA8" w:rsidRPr="006F6460" w:rsidRDefault="00346DA8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752258" w:rsidRPr="00E63EA4" w:rsidRDefault="00752258" w:rsidP="00E109ED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752258" w:rsidRDefault="00A9223F" w:rsidP="003B4732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a.</w:t>
            </w:r>
            <w:r w:rsidR="003B4732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  <w:r w:rsidR="00D70450">
              <w:rPr>
                <w:rFonts w:asciiTheme="minorHAnsi" w:hAnsiTheme="minorHAnsi"/>
                <w:color w:val="FF0000"/>
                <w:sz w:val="20"/>
                <w:szCs w:val="20"/>
              </w:rPr>
              <w:t>Tipul</w:t>
            </w:r>
            <w:proofErr w:type="spellEnd"/>
            <w:r w:rsidR="00D7045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de beneficiari eligibili este stabilit prin POIM, respectiv marii consumatori din industrie cu peste 1000 </w:t>
            </w:r>
            <w:proofErr w:type="spellStart"/>
            <w:r w:rsidR="00D70450">
              <w:rPr>
                <w:rFonts w:asciiTheme="minorHAnsi" w:hAnsiTheme="minorHAnsi"/>
                <w:color w:val="FF0000"/>
                <w:sz w:val="20"/>
                <w:szCs w:val="20"/>
              </w:rPr>
              <w:t>tep</w:t>
            </w:r>
            <w:proofErr w:type="spellEnd"/>
            <w:r w:rsidR="00D70450">
              <w:rPr>
                <w:rFonts w:asciiTheme="minorHAnsi" w:hAnsiTheme="minorHAnsi"/>
                <w:color w:val="FF0000"/>
                <w:sz w:val="20"/>
                <w:szCs w:val="20"/>
              </w:rPr>
              <w:t>/an.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Obiectivul specific şi indicatorul de rezultat vizează stric</w:t>
            </w:r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t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industria şi reducerea intens</w:t>
            </w:r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ităţii energetice în industrie</w:t>
            </w:r>
            <w:r w:rsidR="00BD601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. Sunt eligibile pentru finanţare în cadrul obiectivului specific 6.2  activităţi economice cu coduri CAEN din industrie, secţiunile </w:t>
            </w:r>
            <w:r w:rsidR="00BB5599">
              <w:rPr>
                <w:rFonts w:asciiTheme="minorHAnsi" w:hAnsiTheme="minorHAnsi"/>
                <w:color w:val="FF0000"/>
                <w:sz w:val="20"/>
                <w:szCs w:val="20"/>
              </w:rPr>
              <w:t>B</w:t>
            </w:r>
            <w:r w:rsidR="00BD601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şi C.</w:t>
            </w:r>
          </w:p>
          <w:p w:rsidR="00346DA8" w:rsidRDefault="00A9223F" w:rsidP="003B4732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b.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>Nu</w:t>
            </w:r>
            <w:proofErr w:type="spellEnd"/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se pot impune standarde şi </w:t>
            </w:r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tehnologii prin ghidul solicitantului. Este libera opţiune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>a beneficiarilor.</w:t>
            </w:r>
          </w:p>
          <w:p w:rsidR="00346DA8" w:rsidRPr="003B4732" w:rsidRDefault="003B4732" w:rsidP="00A9223F">
            <w:pPr>
              <w:pStyle w:val="CM1"/>
              <w:spacing w:before="200" w:after="200"/>
              <w:jc w:val="both"/>
              <w:rPr>
                <w:rFonts w:cs="EUAlbertina"/>
                <w:i/>
                <w:color w:val="000000"/>
                <w:lang w:val="ro-RO"/>
              </w:rPr>
            </w:pPr>
            <w:r w:rsidRPr="003B4732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>Criteriul</w:t>
            </w:r>
            <w:r w:rsidR="00A9223F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 xml:space="preserve"> de la punctul i) din ghid</w:t>
            </w:r>
            <w:r w:rsidRPr="003B4732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 xml:space="preserve"> este în conformitate cu art.65 Eligibilitatea</w:t>
            </w:r>
            <w:r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>,</w:t>
            </w:r>
            <w:r w:rsidRPr="003B4732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 xml:space="preserve"> alin 6, din Regulamentul European aplicabil fondurilor FESI  (nr.</w:t>
            </w:r>
            <w:r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>1303/2013):</w:t>
            </w:r>
            <w:r w:rsidRPr="003B4732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 xml:space="preserve">  </w:t>
            </w:r>
            <w:r w:rsidRPr="003B4732">
              <w:rPr>
                <w:rFonts w:asciiTheme="minorHAnsi" w:hAnsiTheme="minorHAnsi"/>
                <w:i/>
                <w:color w:val="FF0000"/>
                <w:sz w:val="20"/>
                <w:szCs w:val="20"/>
                <w:lang w:val="ro-RO"/>
              </w:rPr>
              <w:t>Operațiunile nu sunt</w:t>
            </w:r>
            <w:r w:rsidRPr="003B4732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 xml:space="preserve"> </w:t>
            </w:r>
            <w:r w:rsidRPr="003B4732">
              <w:rPr>
                <w:rFonts w:asciiTheme="minorHAnsi" w:hAnsiTheme="minorHAnsi"/>
                <w:i/>
                <w:color w:val="FF0000"/>
                <w:sz w:val="20"/>
                <w:szCs w:val="20"/>
                <w:lang w:val="ro-RO"/>
              </w:rPr>
              <w:t xml:space="preserve">selectate pentru sprijin din partea fondurilor </w:t>
            </w:r>
            <w:r>
              <w:rPr>
                <w:rFonts w:asciiTheme="minorHAnsi" w:hAnsiTheme="minorHAnsi"/>
                <w:i/>
                <w:color w:val="FF0000"/>
                <w:sz w:val="20"/>
                <w:szCs w:val="20"/>
                <w:lang w:val="ro-RO"/>
              </w:rPr>
              <w:t>F</w:t>
            </w:r>
            <w:r w:rsidRPr="003B4732">
              <w:rPr>
                <w:rFonts w:asciiTheme="minorHAnsi" w:hAnsiTheme="minorHAnsi"/>
                <w:i/>
                <w:color w:val="FF0000"/>
                <w:sz w:val="20"/>
                <w:szCs w:val="20"/>
                <w:lang w:val="ro-RO"/>
              </w:rPr>
              <w:t xml:space="preserve">ESI dacă au fost încheiate în mod fizic sau implementate integral înainte de depunerea de către beneficiar a cererii de finanțare în cadrul programului la </w:t>
            </w:r>
            <w:r w:rsidRPr="003B4732">
              <w:rPr>
                <w:rFonts w:asciiTheme="minorHAnsi" w:hAnsiTheme="minorHAnsi"/>
                <w:i/>
                <w:color w:val="FF0000"/>
                <w:sz w:val="20"/>
                <w:szCs w:val="20"/>
                <w:lang w:val="ro-RO"/>
              </w:rPr>
              <w:lastRenderedPageBreak/>
              <w:t>autoritatea de management, indiferent dacă toate plățile aferente au fost efectuate de către beneficiar</w:t>
            </w:r>
            <w:r w:rsidRPr="003B4732">
              <w:rPr>
                <w:rFonts w:cs="EUAlbertina"/>
                <w:i/>
                <w:color w:val="000000"/>
                <w:sz w:val="19"/>
                <w:szCs w:val="19"/>
                <w:lang w:val="ro-RO"/>
              </w:rPr>
              <w:t>.</w:t>
            </w:r>
          </w:p>
        </w:tc>
      </w:tr>
      <w:tr w:rsidR="00C528EE" w:rsidRPr="00E63EA4" w:rsidTr="00130C8A">
        <w:trPr>
          <w:trHeight w:val="620"/>
        </w:trPr>
        <w:tc>
          <w:tcPr>
            <w:tcW w:w="1188" w:type="dxa"/>
          </w:tcPr>
          <w:p w:rsidR="00C528EE" w:rsidRDefault="00C528EE" w:rsidP="00432DC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3. OMV Petrom, Cristina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Ferecus</w:t>
            </w:r>
            <w:proofErr w:type="spellEnd"/>
          </w:p>
        </w:tc>
        <w:tc>
          <w:tcPr>
            <w:tcW w:w="5670" w:type="dxa"/>
          </w:tcPr>
          <w:p w:rsidR="00C528EE" w:rsidRDefault="00C528EE" w:rsidP="00DE222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Eligibilitatea proiectului</w:t>
            </w:r>
          </w:p>
          <w:p w:rsidR="00C528EE" w:rsidRPr="00130C8A" w:rsidRDefault="00C528EE" w:rsidP="00130C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fr-FR"/>
              </w:rPr>
            </w:pPr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Se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propune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completarea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cerintei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la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pct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d):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Proiectul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localizat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în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regiunile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dezvoltare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Vest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Nord-Vest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, Nord, Nord-Est, Sud-Est, Sud-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Muntenia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>Sud-Vest</w:t>
            </w:r>
            <w:proofErr w:type="spellEnd"/>
            <w:r w:rsidRPr="00130C8A">
              <w:rPr>
                <w:rFonts w:asciiTheme="minorHAnsi" w:hAnsiTheme="minorHAnsi" w:cs="Arial"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cu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regiunea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dezvoltare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b/>
                <w:sz w:val="20"/>
                <w:szCs w:val="20"/>
                <w:lang w:val="fr-FR"/>
              </w:rPr>
              <w:t>Centru</w:t>
            </w:r>
            <w:proofErr w:type="spellEnd"/>
            <w:r w:rsidRPr="00130C8A">
              <w:rPr>
                <w:rFonts w:asciiTheme="minorHAnsi" w:hAnsiTheme="minorHAnsi" w:cs="Arial"/>
                <w:b/>
                <w:sz w:val="20"/>
                <w:szCs w:val="20"/>
                <w:lang w:val="fr-FR"/>
              </w:rPr>
              <w:t>.</w:t>
            </w:r>
          </w:p>
          <w:p w:rsidR="005D63E1" w:rsidRDefault="005D63E1" w:rsidP="005D63E1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fr-FR"/>
              </w:rPr>
            </w:pPr>
          </w:p>
          <w:p w:rsidR="008C1226" w:rsidRPr="00130C8A" w:rsidRDefault="008B1BA2" w:rsidP="00130C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Transformarea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schemei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ajutor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minimis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schema</w:t>
            </w:r>
            <w:proofErr w:type="spell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>ajutor</w:t>
            </w:r>
            <w:proofErr w:type="spellEnd"/>
            <w:proofErr w:type="gramEnd"/>
            <w:r w:rsidRPr="00130C8A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stat</w:t>
            </w:r>
          </w:p>
          <w:p w:rsidR="008C1226" w:rsidRPr="00C528EE" w:rsidRDefault="008C1226" w:rsidP="00C528E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C528EE" w:rsidRDefault="00AE5680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 toate GS aferente Axei prioritare 6 a fost omis</w:t>
            </w:r>
            <w:r w:rsidR="00A9223F">
              <w:rPr>
                <w:rFonts w:asciiTheme="minorHAnsi" w:hAnsiTheme="minorHAnsi"/>
                <w:sz w:val="20"/>
                <w:szCs w:val="20"/>
              </w:rPr>
              <w:t xml:space="preserve">a regiunea de dezvoltare Centru </w:t>
            </w:r>
          </w:p>
          <w:p w:rsidR="008B1BA2" w:rsidRDefault="008B1BA2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B1BA2" w:rsidRDefault="008B1BA2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B1BA2" w:rsidRDefault="008B1BA2" w:rsidP="00E109E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GS aferent OS 6.2 in forma actuala vine ca o schema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si se supune regulilor acesteia in ceea ce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priveste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aplicabiitatea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ei, in special a valorii maxime eligibile 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finantarii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nerambursabile.</w:t>
            </w:r>
          </w:p>
          <w:p w:rsidR="008B1BA2" w:rsidRDefault="008B1BA2" w:rsidP="008B1BA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Marii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agenti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economici, mari consumatori de energie, care au in vedere implementarea de proiecte de monitorizare a consumului de energie  la toate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unitatile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productie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proiecte care se ridica la o valoare 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investitiei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mult mai mare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decat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poate oferi schema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Acest</w:t>
            </w:r>
            <w:r w:rsidR="00962AAB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proces</w:t>
            </w:r>
            <w:r w:rsidR="00962AAB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monitorizare a consumului de energie</w:t>
            </w:r>
            <w:r w:rsidR="00962AAB">
              <w:rPr>
                <w:rFonts w:asciiTheme="minorHAnsi" w:hAnsiTheme="minorHAnsi"/>
                <w:sz w:val="20"/>
                <w:szCs w:val="20"/>
              </w:rPr>
              <w:t xml:space="preserve"> sunt foarte importante in procesul de reducere a consumului de energie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cu impact economic major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la nivelul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intreprinderii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cat si la beneficiarul final.</w:t>
            </w:r>
          </w:p>
        </w:tc>
        <w:tc>
          <w:tcPr>
            <w:tcW w:w="2520" w:type="dxa"/>
          </w:tcPr>
          <w:p w:rsidR="00C528EE" w:rsidRPr="00A9223F" w:rsidRDefault="00130C8A" w:rsidP="00E109ED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a. </w:t>
            </w:r>
            <w:r w:rsidR="00A9223F">
              <w:rPr>
                <w:rFonts w:asciiTheme="minorHAnsi" w:hAnsiTheme="minorHAnsi"/>
                <w:color w:val="FF0000"/>
                <w:sz w:val="20"/>
                <w:szCs w:val="20"/>
              </w:rPr>
              <w:t>Regiunea Centru nu a fost menţionată in ghidurile solicitantului aferente axei prioritare 6 dintr-o eroa</w:t>
            </w:r>
            <w:r w:rsidR="00DA0EB6">
              <w:rPr>
                <w:rFonts w:asciiTheme="minorHAnsi" w:hAnsiTheme="minorHAnsi"/>
                <w:color w:val="FF0000"/>
                <w:sz w:val="20"/>
                <w:szCs w:val="20"/>
              </w:rPr>
              <w:t>r</w:t>
            </w:r>
            <w:r w:rsidR="00A9223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e materiala. </w:t>
            </w:r>
            <w:r w:rsidR="00D70450" w:rsidRPr="00A9223F">
              <w:rPr>
                <w:rFonts w:asciiTheme="minorHAnsi" w:hAnsiTheme="minorHAnsi"/>
                <w:color w:val="FF0000"/>
                <w:sz w:val="20"/>
                <w:szCs w:val="20"/>
              </w:rPr>
              <w:t>Ghid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urile solicitantului aferente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obictivelor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specifice din cadrul axei prioritare 6 </w:t>
            </w:r>
            <w:r w:rsidR="00A9223F">
              <w:rPr>
                <w:rFonts w:asciiTheme="minorHAnsi" w:hAnsiTheme="minorHAnsi"/>
                <w:color w:val="FF0000"/>
                <w:sz w:val="20"/>
                <w:szCs w:val="20"/>
              </w:rPr>
              <w:t>se v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or</w:t>
            </w:r>
            <w:r w:rsidR="00A9223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D70450" w:rsidRPr="00A9223F">
              <w:rPr>
                <w:rFonts w:asciiTheme="minorHAnsi" w:hAnsiTheme="minorHAnsi"/>
                <w:color w:val="FF0000"/>
                <w:sz w:val="20"/>
                <w:szCs w:val="20"/>
              </w:rPr>
              <w:t>revizui</w:t>
            </w:r>
            <w:r w:rsidR="00A9223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cu menţionarea regiunii Centru eligibila pentru finanţare.</w:t>
            </w:r>
          </w:p>
          <w:p w:rsidR="00D70450" w:rsidRDefault="00D70450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70450" w:rsidRPr="006F6460" w:rsidRDefault="00D70450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C528EE" w:rsidRPr="00E63EA4" w:rsidRDefault="00130C8A" w:rsidP="00CC7CA6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b.</w:t>
            </w:r>
            <w:r w:rsidR="00E745DA">
              <w:rPr>
                <w:rFonts w:asciiTheme="minorHAnsi" w:hAnsiTheme="minorHAnsi"/>
                <w:color w:val="FF0000"/>
                <w:sz w:val="20"/>
                <w:szCs w:val="20"/>
              </w:rPr>
              <w:t>Incadrarea</w:t>
            </w:r>
            <w:proofErr w:type="spellEnd"/>
            <w:r w:rsidR="00E745DA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745DA">
              <w:rPr>
                <w:rFonts w:asciiTheme="minorHAnsi" w:hAnsiTheme="minorHAnsi"/>
                <w:color w:val="FF0000"/>
                <w:sz w:val="20"/>
                <w:szCs w:val="20"/>
              </w:rPr>
              <w:t>finantarii</w:t>
            </w:r>
            <w:proofErr w:type="spellEnd"/>
            <w:r w:rsidR="00E745DA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aferenta obiectivului specific 6.2  pe schema de ajutor de </w:t>
            </w:r>
            <w:proofErr w:type="spellStart"/>
            <w:r w:rsidR="00E745DA">
              <w:rPr>
                <w:rFonts w:asciiTheme="minorHAnsi" w:hAnsiTheme="minorHAnsi"/>
                <w:color w:val="FF0000"/>
                <w:sz w:val="20"/>
                <w:szCs w:val="20"/>
              </w:rPr>
              <w:t>minimis</w:t>
            </w:r>
            <w:proofErr w:type="spellEnd"/>
            <w:r w:rsidR="00E745DA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a fost  stabilita</w:t>
            </w:r>
            <w:r w:rsidR="00A0441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8478B3">
              <w:rPr>
                <w:rFonts w:asciiTheme="minorHAnsi" w:hAnsiTheme="minorHAnsi"/>
                <w:color w:val="FF0000"/>
                <w:sz w:val="20"/>
                <w:szCs w:val="20"/>
              </w:rPr>
              <w:t>in baza</w:t>
            </w:r>
            <w:r w:rsidR="00B50B7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prevederil</w:t>
            </w:r>
            <w:r w:rsidR="008478B3">
              <w:rPr>
                <w:rFonts w:asciiTheme="minorHAnsi" w:hAnsiTheme="minorHAnsi"/>
                <w:color w:val="FF0000"/>
                <w:sz w:val="20"/>
                <w:szCs w:val="20"/>
              </w:rPr>
              <w:t>or</w:t>
            </w:r>
            <w:r w:rsidR="00B50B7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 materie de ajutor de stat.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Finantarea</w:t>
            </w:r>
            <w:proofErr w:type="spellEnd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acestui obiectiv prin ajutor de stat in baza Regulamentului 651/2014 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>va reduce semnificativ cheltuiala eligibilă (</w:t>
            </w:r>
            <w:proofErr w:type="spellStart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intrucat</w:t>
            </w:r>
            <w:proofErr w:type="spellEnd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conform Regulamentului 651/2014 in cazul </w:t>
            </w:r>
            <w:proofErr w:type="spellStart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investitiilor</w:t>
            </w:r>
            <w:proofErr w:type="spellEnd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 eficienta energetica  valoarea cheltuielilor 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>eligib</w:t>
            </w:r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i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>l</w:t>
            </w:r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e este legata de </w:t>
            </w:r>
            <w:proofErr w:type="spellStart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>depasirea</w:t>
            </w:r>
            <w:proofErr w:type="spellEnd"/>
            <w:r w:rsidR="00CC7CA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standardelor;</w:t>
            </w:r>
            <w:r w:rsidR="0075225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la această</w:t>
            </w:r>
            <w:r w:rsidR="00C13D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valoare se aplică intensitatea).</w:t>
            </w:r>
          </w:p>
        </w:tc>
      </w:tr>
      <w:tr w:rsidR="00930E6D" w:rsidRPr="00E63EA4" w:rsidTr="00130C8A">
        <w:trPr>
          <w:trHeight w:val="620"/>
        </w:trPr>
        <w:tc>
          <w:tcPr>
            <w:tcW w:w="1188" w:type="dxa"/>
          </w:tcPr>
          <w:p w:rsidR="00930E6D" w:rsidRDefault="00930E6D" w:rsidP="00432DC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Cristina Radu,</w:t>
            </w:r>
          </w:p>
          <w:p w:rsidR="00930E6D" w:rsidRDefault="00930E6D" w:rsidP="00432DC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30E6D">
              <w:rPr>
                <w:rFonts w:asciiTheme="minorHAnsi" w:hAnsiTheme="minorHAnsi"/>
                <w:b/>
                <w:sz w:val="20"/>
                <w:szCs w:val="20"/>
              </w:rPr>
              <w:t>cristina.radu@bfconsult.ro</w:t>
            </w:r>
          </w:p>
        </w:tc>
        <w:tc>
          <w:tcPr>
            <w:tcW w:w="5670" w:type="dxa"/>
          </w:tcPr>
          <w:p w:rsidR="00930E6D" w:rsidRDefault="00930E6D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30E6D">
              <w:rPr>
                <w:rFonts w:asciiTheme="minorHAnsi" w:hAnsiTheme="minorHAnsi" w:cs="Arial"/>
                <w:b/>
                <w:sz w:val="20"/>
                <w:szCs w:val="20"/>
              </w:rPr>
              <w:t xml:space="preserve">2.2.2. Eligibilitatea proiectului, </w:t>
            </w:r>
          </w:p>
          <w:p w:rsidR="00930E6D" w:rsidRDefault="00930E6D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30E6D">
              <w:rPr>
                <w:rFonts w:asciiTheme="minorHAnsi" w:hAnsiTheme="minorHAnsi" w:cs="Arial"/>
                <w:sz w:val="20"/>
                <w:szCs w:val="20"/>
              </w:rPr>
              <w:t xml:space="preserve">De clarificat daca Regiunea Centru care nu este  </w:t>
            </w:r>
            <w:proofErr w:type="spellStart"/>
            <w:r w:rsidRPr="00930E6D">
              <w:rPr>
                <w:rFonts w:asciiTheme="minorHAnsi" w:hAnsiTheme="minorHAnsi" w:cs="Arial"/>
                <w:sz w:val="20"/>
                <w:szCs w:val="20"/>
              </w:rPr>
              <w:t>mentionata</w:t>
            </w:r>
            <w:proofErr w:type="spellEnd"/>
            <w:r w:rsidR="00AF1D73">
              <w:rPr>
                <w:rFonts w:asciiTheme="minorHAnsi" w:hAnsiTheme="minorHAnsi" w:cs="Arial"/>
                <w:sz w:val="20"/>
                <w:szCs w:val="20"/>
              </w:rPr>
              <w:t xml:space="preserve"> in ghid</w:t>
            </w:r>
            <w:r w:rsidRPr="00930E6D">
              <w:rPr>
                <w:rFonts w:asciiTheme="minorHAnsi" w:hAnsiTheme="minorHAnsi" w:cs="Arial"/>
                <w:sz w:val="20"/>
                <w:szCs w:val="20"/>
              </w:rPr>
              <w:t>, este eligibila</w:t>
            </w:r>
            <w:r w:rsidRPr="00930E6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:rsidR="00930E6D" w:rsidRPr="00930E6D" w:rsidRDefault="00930E6D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30E6D" w:rsidRDefault="00930E6D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30E6D">
              <w:rPr>
                <w:rFonts w:asciiTheme="minorHAnsi" w:hAnsiTheme="minorHAnsi" w:cs="Arial"/>
                <w:b/>
                <w:sz w:val="20"/>
                <w:szCs w:val="20"/>
              </w:rPr>
              <w:t xml:space="preserve"> 1.2 Alocare financiara indicativa</w:t>
            </w:r>
          </w:p>
          <w:p w:rsidR="00930E6D" w:rsidRPr="00930E6D" w:rsidRDefault="00930E6D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30E6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930E6D">
              <w:rPr>
                <w:rFonts w:asciiTheme="minorHAnsi" w:hAnsiTheme="minorHAnsi" w:cs="Arial"/>
                <w:sz w:val="20"/>
                <w:szCs w:val="20"/>
              </w:rPr>
              <w:t xml:space="preserve">De clarificat care este bugetul corect. </w:t>
            </w:r>
          </w:p>
        </w:tc>
        <w:tc>
          <w:tcPr>
            <w:tcW w:w="3150" w:type="dxa"/>
          </w:tcPr>
          <w:p w:rsidR="00930E6D" w:rsidRDefault="00930E6D" w:rsidP="00930E6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GS</w:t>
            </w:r>
            <w:r w:rsidRPr="00930E6D">
              <w:rPr>
                <w:rFonts w:asciiTheme="minorHAnsi" w:hAnsiTheme="minorHAnsi" w:cs="Arial"/>
                <w:sz w:val="20"/>
                <w:szCs w:val="20"/>
              </w:rPr>
              <w:t xml:space="preserve"> bugetul total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este </w:t>
            </w:r>
            <w:r w:rsidRPr="00930E6D">
              <w:rPr>
                <w:rFonts w:asciiTheme="minorHAnsi" w:hAnsiTheme="minorHAnsi" w:cs="Arial"/>
                <w:sz w:val="20"/>
                <w:szCs w:val="20"/>
              </w:rPr>
              <w:t xml:space="preserve">de 11.52.941 euro, iar in cadrul calendarului de </w:t>
            </w:r>
            <w:proofErr w:type="spellStart"/>
            <w:r w:rsidRPr="00930E6D">
              <w:rPr>
                <w:rFonts w:asciiTheme="minorHAnsi" w:hAnsiTheme="minorHAnsi" w:cs="Arial"/>
                <w:sz w:val="20"/>
                <w:szCs w:val="20"/>
              </w:rPr>
              <w:t>lansari</w:t>
            </w:r>
            <w:proofErr w:type="spellEnd"/>
            <w:r w:rsidRPr="00930E6D">
              <w:rPr>
                <w:rFonts w:asciiTheme="minorHAnsi" w:hAnsiTheme="minorHAnsi" w:cs="Arial"/>
                <w:sz w:val="20"/>
                <w:szCs w:val="20"/>
              </w:rPr>
              <w:t xml:space="preserve"> public pe site-ul </w:t>
            </w:r>
            <w:proofErr w:type="spellStart"/>
            <w:r w:rsidRPr="00930E6D">
              <w:rPr>
                <w:rFonts w:asciiTheme="minorHAnsi" w:hAnsiTheme="minorHAnsi" w:cs="Arial"/>
                <w:sz w:val="20"/>
                <w:szCs w:val="20"/>
              </w:rPr>
              <w:t>www.fonduri-ue.ro</w:t>
            </w:r>
            <w:proofErr w:type="spellEnd"/>
            <w:r w:rsidRPr="00930E6D">
              <w:rPr>
                <w:rFonts w:asciiTheme="minorHAnsi" w:hAnsiTheme="minorHAnsi" w:cs="Arial"/>
                <w:sz w:val="20"/>
                <w:szCs w:val="20"/>
              </w:rPr>
              <w:t xml:space="preserve"> est</w:t>
            </w:r>
            <w:r>
              <w:rPr>
                <w:rFonts w:asciiTheme="minorHAnsi" w:hAnsiTheme="minorHAnsi" w:cs="Arial"/>
                <w:sz w:val="20"/>
                <w:szCs w:val="20"/>
              </w:rPr>
              <w:t>e trecut bugetul de 11.752.941</w:t>
            </w:r>
          </w:p>
        </w:tc>
        <w:tc>
          <w:tcPr>
            <w:tcW w:w="2520" w:type="dxa"/>
          </w:tcPr>
          <w:p w:rsidR="00930E6D" w:rsidRDefault="00130C8A" w:rsidP="00130C8A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Regiunea Centru nu a fost menţionată in ghidul solicitantului aferent  obiectivului specific 6.2 dintr-o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eroae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materiala. </w:t>
            </w:r>
            <w:r w:rsidRPr="00A9223F">
              <w:rPr>
                <w:rFonts w:asciiTheme="minorHAnsi" w:hAnsiTheme="minorHAnsi"/>
                <w:color w:val="FF0000"/>
                <w:sz w:val="20"/>
                <w:szCs w:val="20"/>
              </w:rPr>
              <w:t>Ghid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ul solicitantului se vor </w:t>
            </w:r>
            <w:r w:rsidRPr="00A9223F">
              <w:rPr>
                <w:rFonts w:asciiTheme="minorHAnsi" w:hAnsiTheme="minorHAnsi"/>
                <w:color w:val="FF0000"/>
                <w:sz w:val="20"/>
                <w:szCs w:val="20"/>
              </w:rPr>
              <w:lastRenderedPageBreak/>
              <w:t>revizui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cu menţionarea regiunii Centru eligibila pentru finanţare.</w:t>
            </w:r>
          </w:p>
          <w:p w:rsidR="00130C8A" w:rsidRDefault="00130C8A" w:rsidP="00130C8A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Alocarea este 11.752.941 (eroare materială).</w:t>
            </w:r>
          </w:p>
          <w:p w:rsidR="00130C8A" w:rsidRPr="006F6460" w:rsidRDefault="00130C8A" w:rsidP="00130C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700311" w:rsidRPr="00E63EA4" w:rsidRDefault="00700311" w:rsidP="00E109ED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900633" w:rsidRPr="00E63EA4" w:rsidTr="00130C8A">
        <w:trPr>
          <w:trHeight w:val="620"/>
        </w:trPr>
        <w:tc>
          <w:tcPr>
            <w:tcW w:w="1188" w:type="dxa"/>
          </w:tcPr>
          <w:p w:rsidR="00900633" w:rsidRDefault="00046AC2" w:rsidP="00046AC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Business Foundation,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Reka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Kanyadi</w:t>
            </w:r>
            <w:proofErr w:type="spellEnd"/>
          </w:p>
        </w:tc>
        <w:tc>
          <w:tcPr>
            <w:tcW w:w="5670" w:type="dxa"/>
          </w:tcPr>
          <w:p w:rsidR="00046AC2" w:rsidRPr="00046AC2" w:rsidRDefault="00046AC2" w:rsidP="00046AC2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6AC2">
              <w:rPr>
                <w:rFonts w:asciiTheme="minorHAnsi" w:hAnsiTheme="minorHAnsi" w:cs="Arial"/>
                <w:sz w:val="20"/>
                <w:szCs w:val="20"/>
              </w:rPr>
              <w:t xml:space="preserve">Se solicita </w:t>
            </w:r>
            <w:proofErr w:type="spellStart"/>
            <w:r w:rsidRPr="00046AC2">
              <w:rPr>
                <w:rFonts w:asciiTheme="minorHAnsi" w:hAnsiTheme="minorHAnsi" w:cs="Arial"/>
                <w:sz w:val="20"/>
                <w:szCs w:val="20"/>
              </w:rPr>
              <w:t>urmatoarea</w:t>
            </w:r>
            <w:proofErr w:type="spellEnd"/>
            <w:r w:rsidRPr="00046AC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46AC2">
              <w:rPr>
                <w:rFonts w:asciiTheme="minorHAnsi" w:hAnsiTheme="minorHAnsi" w:cs="Arial"/>
                <w:sz w:val="20"/>
                <w:szCs w:val="20"/>
              </w:rPr>
              <w:t>infirma</w:t>
            </w:r>
            <w:r w:rsidR="00D70306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Pr="00046AC2">
              <w:rPr>
                <w:rFonts w:asciiTheme="minorHAnsi" w:hAnsiTheme="minorHAnsi" w:cs="Arial"/>
                <w:sz w:val="20"/>
                <w:szCs w:val="20"/>
              </w:rPr>
              <w:t>ii</w:t>
            </w:r>
            <w:proofErr w:type="spellEnd"/>
            <w:r w:rsidRPr="00046AC2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046AC2" w:rsidRPr="00046AC2" w:rsidRDefault="00D70450" w:rsidP="00046AC2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="00046AC2" w:rsidRPr="00046AC2">
              <w:rPr>
                <w:rFonts w:asciiTheme="minorHAnsi" w:hAnsiTheme="minorHAnsi" w:cs="Arial"/>
                <w:sz w:val="20"/>
                <w:szCs w:val="20"/>
              </w:rPr>
              <w:t>procentul de finanțare pentru întreprinderi mici, mijlocii și mari</w:t>
            </w:r>
          </w:p>
          <w:p w:rsidR="00046AC2" w:rsidRPr="00046AC2" w:rsidRDefault="00046AC2" w:rsidP="00046AC2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00633" w:rsidRPr="00930E6D" w:rsidRDefault="00D70450" w:rsidP="00046AC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</w:t>
            </w:r>
            <w:r w:rsidR="00046AC2" w:rsidRPr="00046AC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46AC2">
              <w:rPr>
                <w:rFonts w:asciiTheme="minorHAnsi" w:hAnsiTheme="minorHAnsi" w:cs="Arial"/>
                <w:sz w:val="20"/>
                <w:szCs w:val="20"/>
              </w:rPr>
              <w:t xml:space="preserve">Clarificarea daca </w:t>
            </w:r>
            <w:proofErr w:type="spellStart"/>
            <w:r w:rsidR="00046AC2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046AC2" w:rsidRPr="00046AC2">
              <w:rPr>
                <w:rFonts w:asciiTheme="minorHAnsi" w:hAnsiTheme="minorHAnsi" w:cs="Arial"/>
                <w:sz w:val="20"/>
                <w:szCs w:val="20"/>
              </w:rPr>
              <w:t>ntreprinderile</w:t>
            </w:r>
            <w:proofErr w:type="spellEnd"/>
            <w:r w:rsidR="00046AC2" w:rsidRPr="00046AC2">
              <w:rPr>
                <w:rFonts w:asciiTheme="minorHAnsi" w:hAnsiTheme="minorHAnsi" w:cs="Arial"/>
                <w:sz w:val="20"/>
                <w:szCs w:val="20"/>
              </w:rPr>
              <w:t xml:space="preserve"> care implementează proiectul în </w:t>
            </w:r>
            <w:r w:rsidR="00046AC2">
              <w:rPr>
                <w:rFonts w:asciiTheme="minorHAnsi" w:hAnsiTheme="minorHAnsi" w:cs="Arial"/>
                <w:sz w:val="20"/>
                <w:szCs w:val="20"/>
              </w:rPr>
              <w:t>Regiunea Centru, sunt eligibile</w:t>
            </w:r>
          </w:p>
        </w:tc>
        <w:tc>
          <w:tcPr>
            <w:tcW w:w="3150" w:type="dxa"/>
          </w:tcPr>
          <w:p w:rsidR="00900633" w:rsidRDefault="00900633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900633" w:rsidRPr="006F6460" w:rsidRDefault="00900633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900633" w:rsidRDefault="00D70450" w:rsidP="00D70450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1.</w:t>
            </w:r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Finanţarea în cadrul obiectivului specific reprezintă ajutor de </w:t>
            </w:r>
            <w:proofErr w:type="spellStart"/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>minimis</w:t>
            </w:r>
            <w:proofErr w:type="spellEnd"/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acordat în baza unei scheme de ajutor de </w:t>
            </w:r>
            <w:proofErr w:type="spellStart"/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>minimis</w:t>
            </w:r>
            <w:proofErr w:type="spellEnd"/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, iar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ajuorul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nu poate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depasi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200.000 euro/ultimii 3 ani fiscali/întreprindere unica</w:t>
            </w:r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</w:p>
          <w:p w:rsidR="00D70450" w:rsidRPr="00E63EA4" w:rsidRDefault="00D70450" w:rsidP="00D70450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2.Regiunea de dezvoltare Centru este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eligbila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finantare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 cadrul acestui obiectiv specific</w:t>
            </w:r>
            <w:r w:rsidR="00D7030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. </w:t>
            </w:r>
          </w:p>
        </w:tc>
      </w:tr>
      <w:tr w:rsidR="00163B8E" w:rsidRPr="00E63EA4" w:rsidTr="00130C8A">
        <w:trPr>
          <w:trHeight w:val="620"/>
        </w:trPr>
        <w:tc>
          <w:tcPr>
            <w:tcW w:w="1188" w:type="dxa"/>
          </w:tcPr>
          <w:p w:rsidR="00163B8E" w:rsidRDefault="00163B8E" w:rsidP="00046AC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Demmis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Necula, demmis.necula@dcc-management.com</w:t>
            </w:r>
          </w:p>
        </w:tc>
        <w:tc>
          <w:tcPr>
            <w:tcW w:w="5670" w:type="dxa"/>
          </w:tcPr>
          <w:p w:rsidR="00163B8E" w:rsidRPr="00163B8E" w:rsidRDefault="00163B8E" w:rsidP="00726916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63B8E">
              <w:rPr>
                <w:rFonts w:asciiTheme="minorHAnsi" w:hAnsiTheme="minorHAnsi" w:cs="Arial"/>
                <w:sz w:val="20"/>
                <w:szCs w:val="20"/>
              </w:rPr>
              <w:t xml:space="preserve">Care este </w:t>
            </w:r>
            <w:proofErr w:type="spellStart"/>
            <w:r w:rsidRPr="00163B8E">
              <w:rPr>
                <w:rFonts w:asciiTheme="minorHAnsi" w:hAnsiTheme="minorHAnsi" w:cs="Arial"/>
                <w:sz w:val="20"/>
                <w:szCs w:val="20"/>
              </w:rPr>
              <w:t>intesnsitatea</w:t>
            </w:r>
            <w:proofErr w:type="spellEnd"/>
            <w:r w:rsidRPr="00163B8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63B8E">
              <w:rPr>
                <w:rFonts w:asciiTheme="minorHAnsi" w:hAnsiTheme="minorHAnsi" w:cs="Arial"/>
                <w:sz w:val="20"/>
                <w:szCs w:val="20"/>
              </w:rPr>
              <w:t>finantarii</w:t>
            </w:r>
            <w:proofErr w:type="spellEnd"/>
            <w:r w:rsidRPr="00163B8E">
              <w:rPr>
                <w:rFonts w:asciiTheme="minorHAnsi" w:hAnsiTheme="minorHAnsi" w:cs="Arial"/>
                <w:sz w:val="20"/>
                <w:szCs w:val="20"/>
              </w:rPr>
              <w:t xml:space="preserve">? De exemplu pentru un proiect ce </w:t>
            </w:r>
            <w:proofErr w:type="spellStart"/>
            <w:r w:rsidRPr="00163B8E">
              <w:rPr>
                <w:rFonts w:asciiTheme="minorHAnsi" w:hAnsiTheme="minorHAnsi" w:cs="Arial"/>
                <w:sz w:val="20"/>
                <w:szCs w:val="20"/>
              </w:rPr>
              <w:t>valoreaza</w:t>
            </w:r>
            <w:proofErr w:type="spellEnd"/>
            <w:r w:rsidRPr="00163B8E">
              <w:rPr>
                <w:rFonts w:asciiTheme="minorHAnsi" w:hAnsiTheme="minorHAnsi" w:cs="Arial"/>
                <w:sz w:val="20"/>
                <w:szCs w:val="20"/>
              </w:rPr>
              <w:t xml:space="preserve"> 200.000 EUR care ar fii intensitatea </w:t>
            </w:r>
            <w:proofErr w:type="spellStart"/>
            <w:r w:rsidRPr="00163B8E">
              <w:rPr>
                <w:rFonts w:asciiTheme="minorHAnsi" w:hAnsiTheme="minorHAnsi" w:cs="Arial"/>
                <w:sz w:val="20"/>
                <w:szCs w:val="20"/>
              </w:rPr>
              <w:t>finantarii</w:t>
            </w:r>
            <w:proofErr w:type="spellEnd"/>
            <w:r w:rsidRPr="00163B8E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3150" w:type="dxa"/>
          </w:tcPr>
          <w:p w:rsidR="00163B8E" w:rsidRDefault="00163B8E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63B8E" w:rsidRPr="006F6460" w:rsidRDefault="00163B8E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49305E" w:rsidRDefault="0049305E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1.Conform schemei de ajutor de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minimis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aferent obiectivului specific 6.2, ajutorul nu poate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depasi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200.000 euro/ultimii 3 ani fiscali/întreprindere unica</w:t>
            </w:r>
            <w:r w:rsidR="00C13DD7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</w:p>
          <w:p w:rsidR="00163B8E" w:rsidRPr="00E63EA4" w:rsidRDefault="00163B8E" w:rsidP="00E109ED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7C4568" w:rsidRPr="00E63EA4" w:rsidTr="00130C8A">
        <w:trPr>
          <w:trHeight w:val="620"/>
        </w:trPr>
        <w:tc>
          <w:tcPr>
            <w:tcW w:w="1188" w:type="dxa"/>
          </w:tcPr>
          <w:p w:rsidR="007C4568" w:rsidRDefault="007C4568" w:rsidP="00046AC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Corneliu Rotaru, ANRE</w:t>
            </w:r>
          </w:p>
        </w:tc>
        <w:tc>
          <w:tcPr>
            <w:tcW w:w="5670" w:type="dxa"/>
          </w:tcPr>
          <w:p w:rsidR="007C4568" w:rsidRPr="00385A6A" w:rsidRDefault="007C4568" w:rsidP="008D46C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90"/>
              <w:jc w:val="both"/>
              <w:rPr>
                <w:rFonts w:asciiTheme="minorHAnsi" w:hAnsiTheme="minorHAnsi" w:cs="Arial"/>
                <w:sz w:val="20"/>
                <w:szCs w:val="20"/>
                <w:lang w:val="ro-RO"/>
              </w:rPr>
            </w:pPr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La pag. 3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ati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 prezentat ca indicator intensitatea energetică pentru industrie in 2012 (183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kep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/1000 euro), respectiv 2023 (121,5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kep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/1000euro), conform datelor INS;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avand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 in vedere ca obiectivul 6.2 se refera numai la consumatorii peste 1000 de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tep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/an, valorile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intensitatii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 calculate pe total industrie nu sunt relevante; din datele noastre, raportate de marii consumatori rezulta ca intensitatea energetică medie pentru 450 de consumatori analizați este de 400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ktep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 xml:space="preserve">/1000 euro in 2012 si 412 </w:t>
            </w:r>
            <w:proofErr w:type="spellStart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lastRenderedPageBreak/>
              <w:t>ktep</w:t>
            </w:r>
            <w:proofErr w:type="spellEnd"/>
            <w:r w:rsidRPr="00385A6A">
              <w:rPr>
                <w:rFonts w:asciiTheme="minorHAnsi" w:hAnsiTheme="minorHAnsi" w:cs="Arial"/>
                <w:sz w:val="20"/>
                <w:szCs w:val="20"/>
                <w:lang w:val="ro-RO"/>
              </w:rPr>
              <w:t>/1000 euro in 2013; evident nu avem date de prognoza pentru intensitatea acestui tip de consumatori pentru 2023;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Nu este clar modul in care va fi folosit acest indicator: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aplicantii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vor trebui sa realizeze acest indicator la finalul proiectului, sau vor fi eligibili numai daca se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incadreaza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in jurul valorii menționate in ghid ? Trebuie avut in vedere ca valoarea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intensitatii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energetice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variaza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foarte mult de la un consumator la altul;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2.       La pag 4, cap 2.2.1 se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utilizeaza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prevederile legii nr 31/1990 pentru definirea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societatilor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comerciale din industrie; apreciem ca este mai relevanta si mai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uitla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folosirea legii 121/2014 pentru precizarea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obligatiiilor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consumatorilor care sunt eligibili,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adica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consumatorii peste 1000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tep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/an; in acest caz legea se refera strict la grupul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tinta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aferent obiectivului 6.2;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3.       Pag 7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incepe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cu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pct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g), iar pag 6 se termina cu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pct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c); se pare ca o parte din text aferenta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pct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d) si e)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lipseste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4.       La pag 7,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pct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i) se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precizeaza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ca „solicitantul se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angajeaza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sa implementeze masurile de eficienta energetică”; apreciem ca aceasta prevedere nu are relevanta ca si criteriu de eligibilitate a solicitantului, deoarece, in faza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predarii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aplicatiei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nu poate fi verificat.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Propunem ca criteriu de eligibilitate al solicitantului respectarea prevederilor legii 121/201”: sa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aiba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raportarile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la zi (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declaratia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de consum si chestionarul); sa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aiba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manager energetic autorizat si sa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aiba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planul de eficienta energetică pe anul anterior actualizat conf. art. 9;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5.       La pag 9 pct.2.2.3 precizarea „alte echipamente”,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confera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un anume grad de flexibilitate in analiza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activitatilor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eligibile, dar poate fi si o sursa de ambiguitate sau de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interpretari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gresite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din partea evaluatorilor; propunem reformulare de tipul : „alte echipamente ca e ex. contoare de energie electrica, gaze, abur, apa, aer comprimat, truse de măsura mobile pentru parametrii </w:t>
            </w:r>
            <w:r w:rsidRPr="007C456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energetici/autolaboratoare de </w:t>
            </w:r>
            <w:proofErr w:type="spellStart"/>
            <w:r w:rsidRPr="007C4568">
              <w:rPr>
                <w:rFonts w:asciiTheme="minorHAnsi" w:hAnsiTheme="minorHAnsi" w:cs="Arial"/>
                <w:sz w:val="20"/>
                <w:szCs w:val="20"/>
              </w:rPr>
              <w:t>masurari</w:t>
            </w:r>
            <w:proofErr w:type="spellEnd"/>
            <w:r w:rsidRPr="007C4568">
              <w:rPr>
                <w:rFonts w:asciiTheme="minorHAnsi" w:hAnsiTheme="minorHAnsi" w:cs="Arial"/>
                <w:sz w:val="20"/>
                <w:szCs w:val="20"/>
              </w:rPr>
              <w:t xml:space="preserve"> energetice, analizoare de gaze, etc.)”.</w:t>
            </w:r>
          </w:p>
          <w:p w:rsidR="007C4568" w:rsidRPr="007C4568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C4568" w:rsidRPr="00163B8E" w:rsidRDefault="007C4568" w:rsidP="007C456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7C4568" w:rsidRDefault="007C4568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4568" w:rsidRPr="006F6460" w:rsidRDefault="007C4568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8D4AFD" w:rsidRDefault="008D4AFD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  <w:r w:rsidR="00E21D8E">
              <w:rPr>
                <w:rFonts w:asciiTheme="minorHAnsi" w:hAnsiTheme="minorHAnsi"/>
                <w:color w:val="FF0000"/>
                <w:sz w:val="20"/>
                <w:szCs w:val="20"/>
              </w:rPr>
              <w:t>.Indicator</w:t>
            </w:r>
            <w:r w:rsidR="00550732">
              <w:rPr>
                <w:rFonts w:asciiTheme="minorHAnsi" w:hAnsiTheme="minorHAnsi"/>
                <w:color w:val="FF0000"/>
                <w:sz w:val="20"/>
                <w:szCs w:val="20"/>
              </w:rPr>
              <w:t>ul este</w:t>
            </w:r>
            <w:r w:rsidR="00E21D8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21D8E">
              <w:rPr>
                <w:rFonts w:asciiTheme="minorHAnsi" w:hAnsiTheme="minorHAnsi"/>
                <w:color w:val="FF0000"/>
                <w:sz w:val="20"/>
                <w:szCs w:val="20"/>
              </w:rPr>
              <w:t>prevazut</w:t>
            </w:r>
            <w:proofErr w:type="spellEnd"/>
            <w:r w:rsidR="00E21D8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 POIM</w:t>
            </w:r>
            <w:r w:rsidR="0099351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aprobat de CE</w:t>
            </w:r>
            <w:r w:rsidR="008D46CD">
              <w:rPr>
                <w:rFonts w:asciiTheme="minorHAnsi" w:hAnsiTheme="minorHAnsi"/>
                <w:color w:val="FF0000"/>
                <w:sz w:val="20"/>
                <w:szCs w:val="20"/>
              </w:rPr>
              <w:t>, nu se modifica</w:t>
            </w:r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>Toti</w:t>
            </w:r>
            <w:proofErr w:type="spellEnd"/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Beneficiarii de proiecte vor trebui sa justifice </w:t>
            </w:r>
            <w:proofErr w:type="spellStart"/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>contributia</w:t>
            </w:r>
            <w:proofErr w:type="spellEnd"/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la </w:t>
            </w:r>
            <w:proofErr w:type="spellStart"/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>indeplinirea</w:t>
            </w:r>
            <w:proofErr w:type="spellEnd"/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indicatorului </w:t>
            </w:r>
            <w:r w:rsidR="000E3FD2" w:rsidRPr="0088382C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Intensitatea energetica in industrie</w:t>
            </w:r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>, p</w:t>
            </w:r>
            <w:r w:rsidR="00550732">
              <w:rPr>
                <w:rFonts w:asciiTheme="minorHAnsi" w:hAnsiTheme="minorHAnsi"/>
                <w:color w:val="FF0000"/>
                <w:sz w:val="20"/>
                <w:szCs w:val="20"/>
              </w:rPr>
              <w:t>â</w:t>
            </w:r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>n</w:t>
            </w:r>
            <w:r w:rsidR="00550732">
              <w:rPr>
                <w:rFonts w:asciiTheme="minorHAnsi" w:hAnsiTheme="minorHAnsi"/>
                <w:color w:val="FF0000"/>
                <w:sz w:val="20"/>
                <w:szCs w:val="20"/>
              </w:rPr>
              <w:t>ă</w:t>
            </w:r>
            <w:r w:rsidR="000E3FD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la finalul perioadei de sustenabilitate.</w:t>
            </w:r>
          </w:p>
          <w:p w:rsidR="00DA0EB6" w:rsidRDefault="00DA0EB6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DA0EB6" w:rsidRDefault="00DA0EB6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7C4568" w:rsidRDefault="00956EAD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2. </w:t>
            </w:r>
            <w:r w:rsidR="000740F3">
              <w:rPr>
                <w:rFonts w:asciiTheme="minorHAnsi" w:hAnsiTheme="minorHAnsi"/>
                <w:color w:val="FF0000"/>
                <w:sz w:val="20"/>
                <w:szCs w:val="20"/>
              </w:rPr>
              <w:t>Propunere</w:t>
            </w:r>
            <w:r w:rsidR="00385A6A">
              <w:rPr>
                <w:rFonts w:asciiTheme="minorHAnsi" w:hAnsiTheme="minorHAnsi"/>
                <w:color w:val="FF0000"/>
                <w:sz w:val="20"/>
                <w:szCs w:val="20"/>
              </w:rPr>
              <w:t>a a fost</w:t>
            </w:r>
            <w:r w:rsidR="000740F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preluat</w:t>
            </w:r>
            <w:r w:rsidR="000740F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ă în </w:t>
            </w:r>
            <w:r w:rsidR="00300391">
              <w:t xml:space="preserve"> </w:t>
            </w:r>
            <w:r w:rsidR="00300391" w:rsidRPr="00300391">
              <w:rPr>
                <w:rFonts w:asciiTheme="minorHAnsi" w:hAnsiTheme="minorHAnsi"/>
                <w:color w:val="FF0000"/>
                <w:sz w:val="20"/>
                <w:szCs w:val="20"/>
              </w:rPr>
              <w:t>i</w:t>
            </w:r>
            <w:r w:rsidR="00300391">
              <w:rPr>
                <w:rFonts w:asciiTheme="minorHAnsi" w:hAnsiTheme="minorHAnsi"/>
                <w:color w:val="FF0000"/>
                <w:sz w:val="20"/>
                <w:szCs w:val="20"/>
              </w:rPr>
              <w:t>n Ghidul solicitantului aferent</w:t>
            </w:r>
            <w:r w:rsidR="00300391" w:rsidRPr="0030039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obiectivului specific 6.2.</w:t>
            </w:r>
          </w:p>
          <w:p w:rsidR="00DA0EB6" w:rsidRDefault="00DA0EB6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DA0EB6" w:rsidRDefault="00DA0EB6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956EAD" w:rsidRDefault="00956EAD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3.</w:t>
            </w:r>
            <w:r w:rsidR="0055073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E503C8">
              <w:rPr>
                <w:rFonts w:asciiTheme="minorHAnsi" w:hAnsiTheme="minorHAnsi"/>
                <w:color w:val="FF0000"/>
                <w:sz w:val="20"/>
                <w:szCs w:val="20"/>
              </w:rPr>
              <w:t>Revizuit</w:t>
            </w:r>
          </w:p>
          <w:p w:rsidR="00DA0EB6" w:rsidRDefault="00DA0EB6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956EAD" w:rsidRDefault="00956EAD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4. </w:t>
            </w:r>
            <w:r w:rsidR="00E503C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Propunere 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preluat</w:t>
            </w:r>
            <w:r w:rsidR="00E503C8">
              <w:rPr>
                <w:rFonts w:asciiTheme="minorHAnsi" w:hAnsiTheme="minorHAnsi"/>
                <w:color w:val="FF0000"/>
                <w:sz w:val="20"/>
                <w:szCs w:val="20"/>
              </w:rPr>
              <w:t>ă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partial</w:t>
            </w:r>
            <w:proofErr w:type="spellEnd"/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>conditia</w:t>
            </w:r>
            <w:proofErr w:type="spellEnd"/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ca beneficiarii sa-si asume implementarea de masuri de eficienţă energetică ce rezultă d</w:t>
            </w:r>
            <w:r w:rsidR="00E503C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in monitorizare este </w:t>
            </w:r>
            <w:proofErr w:type="spellStart"/>
            <w:r w:rsidR="00E503C8">
              <w:rPr>
                <w:rFonts w:asciiTheme="minorHAnsi" w:hAnsiTheme="minorHAnsi"/>
                <w:color w:val="FF0000"/>
                <w:sz w:val="20"/>
                <w:szCs w:val="20"/>
              </w:rPr>
              <w:t>prevazută</w:t>
            </w:r>
            <w:proofErr w:type="spellEnd"/>
            <w:r w:rsidR="00E503C8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î</w:t>
            </w:r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n POIM; Propunerea unui nou criteriu de eligibilitate </w:t>
            </w:r>
            <w:proofErr w:type="spellStart"/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>ref</w:t>
            </w:r>
            <w:proofErr w:type="spellEnd"/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385A6A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. </w:t>
            </w:r>
            <w:r w:rsidR="002321F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la prevederile Legii 121/2014 a fost preluata in </w:t>
            </w:r>
            <w:r w:rsidR="00550732">
              <w:rPr>
                <w:rFonts w:asciiTheme="minorHAnsi" w:hAnsiTheme="minorHAnsi"/>
                <w:color w:val="FF0000"/>
                <w:sz w:val="20"/>
                <w:szCs w:val="20"/>
              </w:rPr>
              <w:t>Ghidul solicitantului aferent obiectivului specific 6.2.</w:t>
            </w:r>
          </w:p>
          <w:p w:rsidR="00DA0EB6" w:rsidRDefault="00DA0EB6" w:rsidP="00BD4EFA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956EAD" w:rsidRDefault="00956EAD" w:rsidP="00BD4EFA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5.</w:t>
            </w:r>
            <w:r w:rsidR="000740F3">
              <w:rPr>
                <w:rFonts w:asciiTheme="minorHAnsi" w:hAnsiTheme="minorHAnsi"/>
                <w:color w:val="FF0000"/>
                <w:sz w:val="20"/>
                <w:szCs w:val="20"/>
              </w:rPr>
              <w:t>Propunere</w:t>
            </w:r>
            <w:r w:rsidR="00385A6A">
              <w:rPr>
                <w:rFonts w:asciiTheme="minorHAnsi" w:hAnsiTheme="minorHAnsi"/>
                <w:color w:val="FF0000"/>
                <w:sz w:val="20"/>
                <w:szCs w:val="20"/>
              </w:rPr>
              <w:t>a a fost</w:t>
            </w:r>
            <w:r w:rsidR="000740F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preluat</w:t>
            </w:r>
            <w:r w:rsidR="000740F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a </w:t>
            </w:r>
            <w:r w:rsidR="00550732">
              <w:t xml:space="preserve"> </w:t>
            </w:r>
            <w:r w:rsidR="00BD4EFA">
              <w:rPr>
                <w:rFonts w:asciiTheme="minorHAnsi" w:hAnsiTheme="minorHAnsi"/>
                <w:color w:val="FF0000"/>
                <w:sz w:val="20"/>
                <w:szCs w:val="20"/>
              </w:rPr>
              <w:t>î</w:t>
            </w:r>
            <w:r w:rsidR="0055073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n Ghidul solicitantului aferent </w:t>
            </w:r>
            <w:r w:rsidR="00550732" w:rsidRPr="0055073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obiectivului specific 6.2.</w:t>
            </w:r>
          </w:p>
        </w:tc>
      </w:tr>
      <w:tr w:rsidR="00C50A6E" w:rsidRPr="00E63EA4" w:rsidTr="00130C8A">
        <w:trPr>
          <w:trHeight w:val="620"/>
        </w:trPr>
        <w:tc>
          <w:tcPr>
            <w:tcW w:w="1188" w:type="dxa"/>
          </w:tcPr>
          <w:p w:rsidR="00C50A6E" w:rsidRDefault="00C50A6E" w:rsidP="00046AC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50A6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Doru </w:t>
            </w:r>
            <w:proofErr w:type="spellStart"/>
            <w:r w:rsidRPr="00C50A6E">
              <w:rPr>
                <w:rFonts w:asciiTheme="minorHAnsi" w:hAnsiTheme="minorHAnsi"/>
                <w:b/>
                <w:sz w:val="20"/>
                <w:szCs w:val="20"/>
              </w:rPr>
              <w:t>Coretchi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proofErr w:type="spellStart"/>
            <w:r w:rsidRPr="00C50A6E">
              <w:rPr>
                <w:rFonts w:asciiTheme="minorHAnsi" w:hAnsiTheme="minorHAnsi"/>
                <w:b/>
                <w:sz w:val="20"/>
                <w:szCs w:val="20"/>
              </w:rPr>
              <w:t>Winnovart</w:t>
            </w:r>
            <w:proofErr w:type="spellEnd"/>
          </w:p>
        </w:tc>
        <w:tc>
          <w:tcPr>
            <w:tcW w:w="5670" w:type="dxa"/>
          </w:tcPr>
          <w:p w:rsidR="00C50A6E" w:rsidRPr="000C4351" w:rsidRDefault="00C50A6E" w:rsidP="00D95A2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Conditia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eligibilitate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cu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privire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capacitatea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financiară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pentru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implementarea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proiectului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"...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printr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-o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cifră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afaceri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înregistrată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în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cel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pu?in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unul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din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ultimii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trei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ani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în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valoare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minim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egală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cu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valoarea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grantului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solicitat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şi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prin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profitul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net/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din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exploatare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pe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exerci</w:t>
            </w:r>
            <w:r w:rsidR="002E1B4D">
              <w:rPr>
                <w:rFonts w:asciiTheme="minorHAnsi" w:hAnsiTheme="minorHAnsi" w:cs="Arial"/>
                <w:sz w:val="20"/>
                <w:szCs w:val="20"/>
                <w:lang w:val="fr-FR"/>
              </w:rPr>
              <w:t>t</w:t>
            </w:r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iul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financiar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încheiat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înaintea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depunerii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Cererii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>finanţare</w:t>
            </w:r>
            <w:proofErr w:type="spellEnd"/>
            <w:r w:rsidRPr="00D95A2B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Dacă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solicitantul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nu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îndepline</w:t>
            </w:r>
            <w:proofErr w:type="gram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?te</w:t>
            </w:r>
            <w:proofErr w:type="spellEnd"/>
            <w:proofErr w:type="gram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criteriul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privind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cifra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afaceri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trebuie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să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dovedească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accesul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la o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linie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credit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valabilă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pe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durata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implementare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proiectului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în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valoare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minim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egală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cu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contribu?ia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proprie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din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proiect</w:t>
            </w:r>
            <w:proofErr w:type="spellEnd"/>
            <w:r w:rsidRPr="000C4351">
              <w:rPr>
                <w:rFonts w:asciiTheme="minorHAnsi" w:hAnsiTheme="minorHAnsi" w:cs="Arial"/>
                <w:sz w:val="20"/>
                <w:szCs w:val="20"/>
                <w:lang w:val="fr-FR"/>
              </w:rPr>
              <w:t>."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In primul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rand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aceasta formulare, oarecum ambigua in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privinta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existentei profitului net, "ascunde" practic o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conditie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de eligibilitate extrem de importanta - existenta profitului net/din exploatare pe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exerci</w:t>
            </w:r>
            <w:r w:rsidR="002E1B4D">
              <w:rPr>
                <w:rFonts w:asciiTheme="minorHAnsi" w:hAnsiTheme="minorHAnsi" w:cs="Arial"/>
                <w:sz w:val="20"/>
                <w:szCs w:val="20"/>
              </w:rPr>
              <w:t>t</w:t>
            </w:r>
            <w:bookmarkStart w:id="0" w:name="_GoBack"/>
            <w:bookmarkEnd w:id="0"/>
            <w:r w:rsidRPr="00C50A6E">
              <w:rPr>
                <w:rFonts w:asciiTheme="minorHAnsi" w:hAnsiTheme="minorHAnsi" w:cs="Arial"/>
                <w:sz w:val="20"/>
                <w:szCs w:val="20"/>
              </w:rPr>
              <w:t>iul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financiar încheiat înaintea depunerii Cererii de finanţare. Nu este clar daca acest criteriu este sau nu separat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nuanta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generala 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conditiei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privind capacitatea financiara, care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vorbeste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despre valoarea cifrei de afaceri, sau compensarea unei cifre de afaceri mai mici cu accesul la o linie de credit (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adica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linia de credit poate compensa lipsa cifra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afcaeri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/ profit).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Propunem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urmatoarele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variantei alternative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   *   Scoaterea completa 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oricarei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prevederi cu privire la profit. Anvergura consumului energetic minim (1000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tep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pe an) implica o anvergura relativ ridicata 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intreprinderilor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eligibile. Astfel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intreprinderi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au in mod normal cifre de afaceri cu mult peste valoarea grantului, dar pot avea, din diferite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ratiuni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un profit net/ din exploatare negativ. Aceste companii au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insa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atat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nevoia, cat si capacitatea de a implementa sisteme de monitorizare.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   *   In cazul in care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conditia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cu privire la profit se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pastreaza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atunci ea ar trebui considerata la pachet cu "cifra de afaceri in valoare minim egala cu valoarea grantului"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adica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aceasta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conditie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sa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poata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fi compensata de demonstrarea accesului la linia de </w:t>
            </w:r>
            <w:r w:rsidRPr="00C50A6E">
              <w:rPr>
                <w:rFonts w:asciiTheme="minorHAnsi" w:hAnsiTheme="minorHAnsi" w:cs="Arial"/>
                <w:sz w:val="20"/>
                <w:szCs w:val="20"/>
              </w:rPr>
              <w:lastRenderedPageBreak/>
              <w:t>credit.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>2.       Grila de evaluare tehnico-economica, punctul 1.1 Economia anuală de energie estimată a fi obţinută prin implementarea sistemului de monitorizare a consumului de energie din cadrul proiectului, merge pana la un maxim de peste 10%.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Propunem eliminarea sau reducerea acestui nivel pentru punctajul maxim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La nivelul consumatorilor eligibili (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adica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cu consum de minim 1000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tep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/an) o economie de 10% (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adica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peste 100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tep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/ an ? peste 1,100 MWh/ an)  doar prin implementarea unui sistem de monitorizare, este cel mai probabil imposibila.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Din punct de vedere tehnic implementarea unui sistem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masura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nu aduce economii real cuantificabile la momentul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aplicatiei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proiectarii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sistemului de monitorizare, astfel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incat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sa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poata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fi asumate si in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aplicatia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finantare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(implicit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potential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indicator de realizare si in contractul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finantare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in cazul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aprobarii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aplicatiei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). Ulterior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implementarii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masurile care se pot lua pe baza analizei datelor rezultate din sistemul de monitorizare (simpla organizare mai buna, precum si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investitii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viitoare in echipamente specifice), ar putea conduce la economii de energie. Aceste economii s-ar putea intui la momentul depunerii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aplicatiei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proiectarii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sistemului,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insa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este lipsit de logica a le asuma la momentul depunerii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aplicatiei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O varianta logica ar fi diminuarea procentului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economise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la un nivel mult mai mic (maxim 2%-3%), sau includerea in acest indicator 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prezentarii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unor masuri viitoare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investitii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care sa nu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faca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obiectul proiectului pentru sistem de monitorizare consum (dar care sa fie bazate pe concluziile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obtinute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din sistemul de monitorizare) si care sa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poata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conduce.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Intr-adevar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la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obtinerea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unor economii de un nivel mai ridicat.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3.       Grila de evaluare tehnico-economica, punctul  3.1 Economia de energie realizată în cadrul proiectului, prin măsura de îmbunătăţire a eficienţei energetice la cogenerarea de înaltă eficienţă a fost estimată, înainte şi după aplicarea măsurii, în conformitate cu legislaţia în vigoare. -  pare a fi preluat din </w:t>
            </w:r>
            <w:r w:rsidRPr="00C50A6E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programul de cogenerare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inalta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eficienta.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4.      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Conditia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de eligibilitate cu privire la "Solicitantul  trebuie  să  demonstreze  dreptul  de  proprietate/  concesiune/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folosin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?ă cu privire la infrastructura/imobilul (teren ?i/sau clădire) unde se face investiţia ... Teren/ infrastructura sunt libere de orice sarcini" -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   *   Propunem scoaterea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conditiei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ca terenul / infrastructura  sa fie libere de sarcini. Numeroase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intreprinderi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de altfel cu activitate economica si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situatie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financiara solida, care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efectueaza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in mod constant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investitii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cu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finantare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bancara,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gajeaza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 o serie de active (inclusiv teren/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cladiri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) in favoarea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bancilor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partenere (o practica cat se poate de comuna),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existand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deci sarcini pe respectivele active. Acest fapt nu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afecteaza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cu nimic capacitatea unor astfel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intreprinderi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de a realiza si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sustine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investitii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in eficienta energetica. Prin urmare nu ar trebui sa afecteze nici  eligibilitatea de a depune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aplicatii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obtine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granturi pentru astfel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investitii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5.       Grila de evaluare tehnico-economica, punctul  3.2. Sunt identificate măsuri de sustenabilitate 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investi</w:t>
            </w:r>
            <w:r w:rsidR="002E1B4D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Pr="00C50A6E">
              <w:rPr>
                <w:rFonts w:asciiTheme="minorHAnsi" w:hAnsiTheme="minorHAnsi" w:cs="Arial"/>
                <w:sz w:val="20"/>
                <w:szCs w:val="20"/>
              </w:rPr>
              <w:t>iei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prin existen</w:t>
            </w:r>
            <w:r w:rsidR="002E1B4D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a unor angajamente existente în activitatea ulterioară ?i prin alte măsuri de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cre</w:t>
            </w:r>
            <w:r w:rsidR="002E1B4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C50A6E">
              <w:rPr>
                <w:rFonts w:asciiTheme="minorHAnsi" w:hAnsiTheme="minorHAnsi" w:cs="Arial"/>
                <w:sz w:val="20"/>
                <w:szCs w:val="20"/>
              </w:rPr>
              <w:t>tere</w:t>
            </w:r>
            <w:proofErr w:type="spellEnd"/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.        Solicitam detalierea acestui criteriu, care pare incomplet si insuficient de clar formulat. Trebuie clarificat la ce anume se refera in mod concret sustenabilitatea proiectului (post-implementare,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garantie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mentenanta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, disponibilitate echipa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etc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50A6E" w:rsidRPr="00C50A6E" w:rsidRDefault="00C50A6E" w:rsidP="00C50A6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Speram ca aceste sugestii sa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poata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fi luate in considerare in procesul de optimizare a ghidului, astfel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incat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sa fie permis accesul cat mai multor </w:t>
            </w:r>
            <w:proofErr w:type="spellStart"/>
            <w:r w:rsidRPr="00C50A6E">
              <w:rPr>
                <w:rFonts w:asciiTheme="minorHAnsi" w:hAnsiTheme="minorHAnsi" w:cs="Arial"/>
                <w:sz w:val="20"/>
                <w:szCs w:val="20"/>
              </w:rPr>
              <w:t>intreprinderi</w:t>
            </w:r>
            <w:proofErr w:type="spellEnd"/>
            <w:r w:rsidRPr="00C50A6E">
              <w:rPr>
                <w:rFonts w:asciiTheme="minorHAnsi" w:hAnsiTheme="minorHAnsi" w:cs="Arial"/>
                <w:sz w:val="20"/>
                <w:szCs w:val="20"/>
              </w:rPr>
              <w:t xml:space="preserve"> care au nevoie de implementarea de sisteme de monitorizare a consumului energetic.</w:t>
            </w:r>
          </w:p>
        </w:tc>
        <w:tc>
          <w:tcPr>
            <w:tcW w:w="3150" w:type="dxa"/>
          </w:tcPr>
          <w:p w:rsidR="00C50A6E" w:rsidRDefault="00C50A6E" w:rsidP="00930E6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50A6E" w:rsidRPr="006F6460" w:rsidRDefault="00C50A6E" w:rsidP="00E109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C50A6E" w:rsidRDefault="00D95A2B" w:rsidP="0049305E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1.Propunere neacceptata.</w:t>
            </w:r>
          </w:p>
          <w:p w:rsidR="00D95A2B" w:rsidRDefault="00D95A2B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Solicitantii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intreprinderi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private vor proba capacitatea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fiananciara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D95A2B">
              <w:rPr>
                <w:rFonts w:asciiTheme="minorHAnsi" w:hAnsiTheme="minorHAnsi"/>
                <w:color w:val="FF0000"/>
                <w:sz w:val="20"/>
                <w:szCs w:val="20"/>
              </w:rPr>
              <w:t>printr-o cifră de afaceri înregistrată în cel puţin unul din ultimii trei ani, în valoare minim egală cu valoarea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grantului solicitat si un </w:t>
            </w:r>
            <w:r w:rsidRPr="00D95A2B">
              <w:rPr>
                <w:rFonts w:asciiTheme="minorHAnsi" w:hAnsiTheme="minorHAnsi"/>
                <w:color w:val="FF0000"/>
                <w:sz w:val="20"/>
                <w:szCs w:val="20"/>
              </w:rPr>
              <w:t>profit net sau profit din exploatare în ultimul exercițiu financiar încheiat</w:t>
            </w:r>
          </w:p>
          <w:p w:rsidR="003A04A7" w:rsidRDefault="003A04A7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3A04A7" w:rsidRDefault="003A04A7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2.Criteriu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partial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revizuit. </w:t>
            </w:r>
          </w:p>
          <w:p w:rsidR="003A04A7" w:rsidRDefault="003A04A7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Proiectele </w:t>
            </w:r>
            <w:r w:rsidR="006830C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privind implementarea de sisteme de monitorizare la nivelul consumatorilor industriali 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vor justifica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contributia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la obiectivul specific 6.2, respectiv </w:t>
            </w:r>
            <w:r>
              <w:t xml:space="preserve"> </w:t>
            </w:r>
            <w:r w:rsidRPr="003A04A7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Reducerea consumului de energie la nivelul consumatorilor industriali</w:t>
            </w: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165121" w:rsidRDefault="00165121" w:rsidP="00D95A2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:rsidR="00783FCC" w:rsidRDefault="00783FCC" w:rsidP="00783FCC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3.Criteriu eliminat. </w:t>
            </w:r>
          </w:p>
          <w:p w:rsidR="00165121" w:rsidRDefault="00165121" w:rsidP="00783FCC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783FCC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783FCC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8A75E8" w:rsidRDefault="008A75E8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4.Propunere neacceptata.</w:t>
            </w:r>
          </w:p>
          <w:p w:rsidR="008A75E8" w:rsidRDefault="008A75E8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Ghidul nu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mentioneaza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in mod expres aceste categorii de sarcini, acestea vor fi analizate de la caz la caz din perspectiva in care ele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afecteaza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implementarea proiectului (ex. de sarcini care </w:t>
            </w:r>
            <w:proofErr w:type="spellStart"/>
            <w:r>
              <w:rPr>
                <w:rFonts w:asciiTheme="minorHAnsi" w:hAnsiTheme="minorHAnsi"/>
                <w:color w:val="FF0000"/>
                <w:sz w:val="20"/>
                <w:szCs w:val="20"/>
              </w:rPr>
              <w:t>afecteaza</w:t>
            </w:r>
            <w:proofErr w:type="spellEnd"/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implementarea proiectului: gajul cu deposedare)</w:t>
            </w:r>
          </w:p>
          <w:p w:rsidR="00165121" w:rsidRDefault="00165121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165121" w:rsidRDefault="00165121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940712" w:rsidRDefault="00940712" w:rsidP="008A75E8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>5. Criteriu revizuit.</w:t>
            </w:r>
          </w:p>
          <w:p w:rsidR="008A75E8" w:rsidRDefault="008A75E8" w:rsidP="00783FCC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8A75E8" w:rsidRDefault="008A75E8" w:rsidP="00783FCC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783FCC" w:rsidRDefault="00783FCC" w:rsidP="00D95A2B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</w:tbl>
    <w:p w:rsidR="005C1E0D" w:rsidRPr="00D600CC" w:rsidRDefault="005C1E0D"/>
    <w:sectPr w:rsidR="005C1E0D" w:rsidRPr="00D600CC" w:rsidSect="00D600CC">
      <w:headerReference w:type="default" r:id="rId9"/>
      <w:pgSz w:w="16838" w:h="11906" w:orient="landscape"/>
      <w:pgMar w:top="284" w:right="67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3C" w:rsidRDefault="004D103C" w:rsidP="00C23678">
      <w:pPr>
        <w:spacing w:after="0" w:line="240" w:lineRule="auto"/>
      </w:pPr>
      <w:r>
        <w:separator/>
      </w:r>
    </w:p>
  </w:endnote>
  <w:endnote w:type="continuationSeparator" w:id="0">
    <w:p w:rsidR="004D103C" w:rsidRDefault="004D103C" w:rsidP="00C2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3C" w:rsidRDefault="004D103C" w:rsidP="00C23678">
      <w:pPr>
        <w:spacing w:after="0" w:line="240" w:lineRule="auto"/>
      </w:pPr>
      <w:r>
        <w:separator/>
      </w:r>
    </w:p>
  </w:footnote>
  <w:footnote w:type="continuationSeparator" w:id="0">
    <w:p w:rsidR="004D103C" w:rsidRDefault="004D103C" w:rsidP="00C2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22" w:rsidRDefault="00803A22" w:rsidP="00C23678">
    <w:pPr>
      <w:pStyle w:val="Header"/>
      <w:jc w:val="right"/>
    </w:pPr>
  </w:p>
  <w:p w:rsidR="00803A22" w:rsidRDefault="00803A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j0115844"/>
      </v:shape>
    </w:pict>
  </w:numPicBullet>
  <w:abstractNum w:abstractNumId="0">
    <w:nsid w:val="0000002E"/>
    <w:multiLevelType w:val="singleLevel"/>
    <w:tmpl w:val="0000002E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2D6BF1"/>
    <w:multiLevelType w:val="multilevel"/>
    <w:tmpl w:val="405E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AE20A1"/>
    <w:multiLevelType w:val="hybridMultilevel"/>
    <w:tmpl w:val="F0408D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74832"/>
    <w:multiLevelType w:val="multilevel"/>
    <w:tmpl w:val="BA3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204BF"/>
    <w:multiLevelType w:val="hybridMultilevel"/>
    <w:tmpl w:val="265AAC1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DC7395"/>
    <w:multiLevelType w:val="hybridMultilevel"/>
    <w:tmpl w:val="BF329542"/>
    <w:lvl w:ilvl="0" w:tplc="4C1EAC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17B5FD4"/>
    <w:multiLevelType w:val="hybridMultilevel"/>
    <w:tmpl w:val="8DF8E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F2828"/>
    <w:multiLevelType w:val="hybridMultilevel"/>
    <w:tmpl w:val="93709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948E3"/>
    <w:multiLevelType w:val="hybridMultilevel"/>
    <w:tmpl w:val="47ECB6BE"/>
    <w:lvl w:ilvl="0" w:tplc="65C0E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559A4"/>
    <w:multiLevelType w:val="hybridMultilevel"/>
    <w:tmpl w:val="628E6C98"/>
    <w:lvl w:ilvl="0" w:tplc="65C0E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2586B"/>
    <w:multiLevelType w:val="hybridMultilevel"/>
    <w:tmpl w:val="0A802F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85DED"/>
    <w:multiLevelType w:val="hybridMultilevel"/>
    <w:tmpl w:val="42D20650"/>
    <w:lvl w:ilvl="0" w:tplc="B704C2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66644"/>
    <w:multiLevelType w:val="hybridMultilevel"/>
    <w:tmpl w:val="EB12CA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4143A"/>
    <w:multiLevelType w:val="hybridMultilevel"/>
    <w:tmpl w:val="70060636"/>
    <w:lvl w:ilvl="0" w:tplc="65C0E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36938"/>
    <w:multiLevelType w:val="hybridMultilevel"/>
    <w:tmpl w:val="FA5E6B36"/>
    <w:lvl w:ilvl="0" w:tplc="8DA6C10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63C681E"/>
    <w:multiLevelType w:val="hybridMultilevel"/>
    <w:tmpl w:val="E96EC41A"/>
    <w:lvl w:ilvl="0" w:tplc="F61E8C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86614"/>
    <w:multiLevelType w:val="hybridMultilevel"/>
    <w:tmpl w:val="93467B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946E3"/>
    <w:multiLevelType w:val="hybridMultilevel"/>
    <w:tmpl w:val="5986E6CE"/>
    <w:lvl w:ilvl="0" w:tplc="0706C13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7C4AF8"/>
    <w:multiLevelType w:val="hybridMultilevel"/>
    <w:tmpl w:val="7144CCF4"/>
    <w:lvl w:ilvl="0" w:tplc="01660822">
      <w:start w:val="2"/>
      <w:numFmt w:val="lowerLetter"/>
      <w:lvlText w:val="%1)"/>
      <w:lvlJc w:val="left"/>
      <w:pPr>
        <w:ind w:left="4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3C5A7C6D"/>
    <w:multiLevelType w:val="hybridMultilevel"/>
    <w:tmpl w:val="85EE7686"/>
    <w:lvl w:ilvl="0" w:tplc="EE642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573BB"/>
    <w:multiLevelType w:val="hybridMultilevel"/>
    <w:tmpl w:val="3432B852"/>
    <w:lvl w:ilvl="0" w:tplc="C548CDCA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1">
    <w:nsid w:val="48582336"/>
    <w:multiLevelType w:val="hybridMultilevel"/>
    <w:tmpl w:val="33FE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211D2"/>
    <w:multiLevelType w:val="hybridMultilevel"/>
    <w:tmpl w:val="4E9E5218"/>
    <w:lvl w:ilvl="0" w:tplc="254897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56A46"/>
    <w:multiLevelType w:val="hybridMultilevel"/>
    <w:tmpl w:val="17AEF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C55B7"/>
    <w:multiLevelType w:val="hybridMultilevel"/>
    <w:tmpl w:val="F0D01464"/>
    <w:lvl w:ilvl="0" w:tplc="F0440F4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30B07"/>
    <w:multiLevelType w:val="hybridMultilevel"/>
    <w:tmpl w:val="4FC49DE2"/>
    <w:lvl w:ilvl="0" w:tplc="FC2A86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65CDB"/>
    <w:multiLevelType w:val="hybridMultilevel"/>
    <w:tmpl w:val="610A3C18"/>
    <w:lvl w:ilvl="0" w:tplc="CCB82464">
      <w:start w:val="2"/>
      <w:numFmt w:val="lowerLetter"/>
      <w:lvlText w:val="%1)"/>
      <w:lvlJc w:val="left"/>
      <w:pPr>
        <w:ind w:left="4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7">
    <w:nsid w:val="4DA46012"/>
    <w:multiLevelType w:val="hybridMultilevel"/>
    <w:tmpl w:val="C67AB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332E9"/>
    <w:multiLevelType w:val="hybridMultilevel"/>
    <w:tmpl w:val="723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235CC8"/>
    <w:multiLevelType w:val="hybridMultilevel"/>
    <w:tmpl w:val="7272F2E8"/>
    <w:lvl w:ilvl="0" w:tplc="E154DC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3409D"/>
    <w:multiLevelType w:val="hybridMultilevel"/>
    <w:tmpl w:val="B2285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2506F"/>
    <w:multiLevelType w:val="hybridMultilevel"/>
    <w:tmpl w:val="D39213E2"/>
    <w:lvl w:ilvl="0" w:tplc="65C0E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B107D"/>
    <w:multiLevelType w:val="hybridMultilevel"/>
    <w:tmpl w:val="9BACC352"/>
    <w:lvl w:ilvl="0" w:tplc="FBBA9C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36DC5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06B8D"/>
    <w:multiLevelType w:val="hybridMultilevel"/>
    <w:tmpl w:val="54BC2CFE"/>
    <w:lvl w:ilvl="0" w:tplc="2E2006DA">
      <w:start w:val="2"/>
      <w:numFmt w:val="lowerLetter"/>
      <w:lvlText w:val="%1)"/>
      <w:lvlJc w:val="left"/>
      <w:pPr>
        <w:ind w:left="4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>
    <w:nsid w:val="6FB969D2"/>
    <w:multiLevelType w:val="hybridMultilevel"/>
    <w:tmpl w:val="839C77DC"/>
    <w:lvl w:ilvl="0" w:tplc="F4C84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D21AF"/>
    <w:multiLevelType w:val="hybridMultilevel"/>
    <w:tmpl w:val="8F4277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9447D"/>
    <w:multiLevelType w:val="hybridMultilevel"/>
    <w:tmpl w:val="BF024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3"/>
  </w:num>
  <w:num w:numId="4">
    <w:abstractNumId w:val="27"/>
  </w:num>
  <w:num w:numId="5">
    <w:abstractNumId w:val="36"/>
  </w:num>
  <w:num w:numId="6">
    <w:abstractNumId w:val="20"/>
  </w:num>
  <w:num w:numId="7">
    <w:abstractNumId w:val="7"/>
  </w:num>
  <w:num w:numId="8">
    <w:abstractNumId w:val="35"/>
  </w:num>
  <w:num w:numId="9">
    <w:abstractNumId w:val="8"/>
  </w:num>
  <w:num w:numId="10">
    <w:abstractNumId w:val="9"/>
  </w:num>
  <w:num w:numId="11">
    <w:abstractNumId w:val="13"/>
  </w:num>
  <w:num w:numId="12">
    <w:abstractNumId w:val="28"/>
  </w:num>
  <w:num w:numId="13">
    <w:abstractNumId w:val="24"/>
  </w:num>
  <w:num w:numId="14">
    <w:abstractNumId w:val="10"/>
  </w:num>
  <w:num w:numId="15">
    <w:abstractNumId w:val="2"/>
  </w:num>
  <w:num w:numId="16">
    <w:abstractNumId w:val="16"/>
  </w:num>
  <w:num w:numId="17">
    <w:abstractNumId w:val="18"/>
  </w:num>
  <w:num w:numId="18">
    <w:abstractNumId w:val="33"/>
  </w:num>
  <w:num w:numId="19">
    <w:abstractNumId w:val="26"/>
  </w:num>
  <w:num w:numId="20">
    <w:abstractNumId w:val="21"/>
  </w:num>
  <w:num w:numId="21">
    <w:abstractNumId w:val="32"/>
  </w:num>
  <w:num w:numId="22">
    <w:abstractNumId w:val="30"/>
  </w:num>
  <w:num w:numId="23">
    <w:abstractNumId w:val="1"/>
  </w:num>
  <w:num w:numId="24">
    <w:abstractNumId w:val="12"/>
  </w:num>
  <w:num w:numId="25">
    <w:abstractNumId w:val="3"/>
  </w:num>
  <w:num w:numId="26">
    <w:abstractNumId w:val="0"/>
  </w:num>
  <w:num w:numId="27">
    <w:abstractNumId w:val="4"/>
  </w:num>
  <w:num w:numId="28">
    <w:abstractNumId w:val="17"/>
  </w:num>
  <w:num w:numId="29">
    <w:abstractNumId w:val="34"/>
  </w:num>
  <w:num w:numId="30">
    <w:abstractNumId w:val="19"/>
  </w:num>
  <w:num w:numId="31">
    <w:abstractNumId w:val="25"/>
  </w:num>
  <w:num w:numId="32">
    <w:abstractNumId w:val="11"/>
  </w:num>
  <w:num w:numId="33">
    <w:abstractNumId w:val="29"/>
  </w:num>
  <w:num w:numId="34">
    <w:abstractNumId w:val="22"/>
  </w:num>
  <w:num w:numId="35">
    <w:abstractNumId w:val="5"/>
  </w:num>
  <w:num w:numId="36">
    <w:abstractNumId w:val="6"/>
  </w:num>
  <w:num w:numId="3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54"/>
    <w:rsid w:val="00011D49"/>
    <w:rsid w:val="0001255E"/>
    <w:rsid w:val="000132AB"/>
    <w:rsid w:val="00014827"/>
    <w:rsid w:val="00020B64"/>
    <w:rsid w:val="00021847"/>
    <w:rsid w:val="00022728"/>
    <w:rsid w:val="000247D9"/>
    <w:rsid w:val="000308E8"/>
    <w:rsid w:val="00030CC6"/>
    <w:rsid w:val="000316A1"/>
    <w:rsid w:val="00036149"/>
    <w:rsid w:val="000414DA"/>
    <w:rsid w:val="00041AA5"/>
    <w:rsid w:val="00041F55"/>
    <w:rsid w:val="00042B35"/>
    <w:rsid w:val="0004599A"/>
    <w:rsid w:val="00046AC2"/>
    <w:rsid w:val="000474E0"/>
    <w:rsid w:val="00054832"/>
    <w:rsid w:val="000602F8"/>
    <w:rsid w:val="00060966"/>
    <w:rsid w:val="000611DA"/>
    <w:rsid w:val="00063B01"/>
    <w:rsid w:val="00065838"/>
    <w:rsid w:val="00065A8A"/>
    <w:rsid w:val="00066915"/>
    <w:rsid w:val="000740F3"/>
    <w:rsid w:val="0007472E"/>
    <w:rsid w:val="0007502A"/>
    <w:rsid w:val="000766D3"/>
    <w:rsid w:val="0008127E"/>
    <w:rsid w:val="00084FE4"/>
    <w:rsid w:val="00086DD5"/>
    <w:rsid w:val="000876BF"/>
    <w:rsid w:val="0009034E"/>
    <w:rsid w:val="00090999"/>
    <w:rsid w:val="00090BCE"/>
    <w:rsid w:val="00090DFA"/>
    <w:rsid w:val="00095225"/>
    <w:rsid w:val="0009573A"/>
    <w:rsid w:val="000A0C5C"/>
    <w:rsid w:val="000A16C6"/>
    <w:rsid w:val="000A5874"/>
    <w:rsid w:val="000A7AFA"/>
    <w:rsid w:val="000B0212"/>
    <w:rsid w:val="000B13E7"/>
    <w:rsid w:val="000B4FD0"/>
    <w:rsid w:val="000B5000"/>
    <w:rsid w:val="000B5772"/>
    <w:rsid w:val="000B5AE9"/>
    <w:rsid w:val="000B63EA"/>
    <w:rsid w:val="000C3BD4"/>
    <w:rsid w:val="000C4351"/>
    <w:rsid w:val="000C6466"/>
    <w:rsid w:val="000C7049"/>
    <w:rsid w:val="000D4E74"/>
    <w:rsid w:val="000D5095"/>
    <w:rsid w:val="000E3FD2"/>
    <w:rsid w:val="000F51F7"/>
    <w:rsid w:val="000F5603"/>
    <w:rsid w:val="000F655D"/>
    <w:rsid w:val="00101DE4"/>
    <w:rsid w:val="00102CCF"/>
    <w:rsid w:val="001054C2"/>
    <w:rsid w:val="00105B38"/>
    <w:rsid w:val="00106CD9"/>
    <w:rsid w:val="00110C5A"/>
    <w:rsid w:val="00115AA9"/>
    <w:rsid w:val="00115FE4"/>
    <w:rsid w:val="00116C42"/>
    <w:rsid w:val="00117099"/>
    <w:rsid w:val="00117151"/>
    <w:rsid w:val="0012163E"/>
    <w:rsid w:val="00122021"/>
    <w:rsid w:val="00126AAC"/>
    <w:rsid w:val="00127C3D"/>
    <w:rsid w:val="001303FC"/>
    <w:rsid w:val="001309AE"/>
    <w:rsid w:val="00130C8A"/>
    <w:rsid w:val="00132718"/>
    <w:rsid w:val="00132D80"/>
    <w:rsid w:val="001339DC"/>
    <w:rsid w:val="00135F2C"/>
    <w:rsid w:val="00136954"/>
    <w:rsid w:val="00136966"/>
    <w:rsid w:val="00136DF3"/>
    <w:rsid w:val="001408F0"/>
    <w:rsid w:val="00145EE8"/>
    <w:rsid w:val="00146F0A"/>
    <w:rsid w:val="0015043C"/>
    <w:rsid w:val="00151960"/>
    <w:rsid w:val="001578FC"/>
    <w:rsid w:val="00161A7C"/>
    <w:rsid w:val="00163B8E"/>
    <w:rsid w:val="00165121"/>
    <w:rsid w:val="00165D8D"/>
    <w:rsid w:val="0016664F"/>
    <w:rsid w:val="00174FA5"/>
    <w:rsid w:val="00175E5A"/>
    <w:rsid w:val="0017673F"/>
    <w:rsid w:val="00181E35"/>
    <w:rsid w:val="00187AB7"/>
    <w:rsid w:val="00193A14"/>
    <w:rsid w:val="00195355"/>
    <w:rsid w:val="001960F6"/>
    <w:rsid w:val="00197B29"/>
    <w:rsid w:val="001A1255"/>
    <w:rsid w:val="001A20D1"/>
    <w:rsid w:val="001A2192"/>
    <w:rsid w:val="001A2331"/>
    <w:rsid w:val="001B5AB1"/>
    <w:rsid w:val="001B683B"/>
    <w:rsid w:val="001B74FB"/>
    <w:rsid w:val="001B7CE1"/>
    <w:rsid w:val="001C12CC"/>
    <w:rsid w:val="001C332B"/>
    <w:rsid w:val="001C5193"/>
    <w:rsid w:val="001D3068"/>
    <w:rsid w:val="001D6EB7"/>
    <w:rsid w:val="001E33B4"/>
    <w:rsid w:val="001E54E9"/>
    <w:rsid w:val="001F021E"/>
    <w:rsid w:val="001F1000"/>
    <w:rsid w:val="001F2420"/>
    <w:rsid w:val="001F26CF"/>
    <w:rsid w:val="002003E9"/>
    <w:rsid w:val="00200D4E"/>
    <w:rsid w:val="00202CA0"/>
    <w:rsid w:val="00203490"/>
    <w:rsid w:val="002062DA"/>
    <w:rsid w:val="002101E9"/>
    <w:rsid w:val="00213078"/>
    <w:rsid w:val="00213C2F"/>
    <w:rsid w:val="00214180"/>
    <w:rsid w:val="00216F0C"/>
    <w:rsid w:val="00217488"/>
    <w:rsid w:val="00223A6F"/>
    <w:rsid w:val="00226FED"/>
    <w:rsid w:val="00230579"/>
    <w:rsid w:val="002321F6"/>
    <w:rsid w:val="002324F4"/>
    <w:rsid w:val="00232576"/>
    <w:rsid w:val="00232790"/>
    <w:rsid w:val="00233409"/>
    <w:rsid w:val="00235946"/>
    <w:rsid w:val="00236311"/>
    <w:rsid w:val="0024017A"/>
    <w:rsid w:val="00241238"/>
    <w:rsid w:val="00243C08"/>
    <w:rsid w:val="00247E4C"/>
    <w:rsid w:val="00251026"/>
    <w:rsid w:val="0025147D"/>
    <w:rsid w:val="002522AD"/>
    <w:rsid w:val="00254754"/>
    <w:rsid w:val="00260A3F"/>
    <w:rsid w:val="00263F05"/>
    <w:rsid w:val="002701ED"/>
    <w:rsid w:val="0027120E"/>
    <w:rsid w:val="0027159A"/>
    <w:rsid w:val="00274E1B"/>
    <w:rsid w:val="00277FF5"/>
    <w:rsid w:val="0028630B"/>
    <w:rsid w:val="002872DE"/>
    <w:rsid w:val="00290AF9"/>
    <w:rsid w:val="00292322"/>
    <w:rsid w:val="002A2541"/>
    <w:rsid w:val="002B743E"/>
    <w:rsid w:val="002C0725"/>
    <w:rsid w:val="002C1514"/>
    <w:rsid w:val="002C6AEB"/>
    <w:rsid w:val="002C6FD1"/>
    <w:rsid w:val="002D14D1"/>
    <w:rsid w:val="002D1BAC"/>
    <w:rsid w:val="002D2D8D"/>
    <w:rsid w:val="002D37D4"/>
    <w:rsid w:val="002D66F3"/>
    <w:rsid w:val="002D77DF"/>
    <w:rsid w:val="002E1B4D"/>
    <w:rsid w:val="002E36CF"/>
    <w:rsid w:val="002F098B"/>
    <w:rsid w:val="002F13CC"/>
    <w:rsid w:val="002F2073"/>
    <w:rsid w:val="00300391"/>
    <w:rsid w:val="00306BF4"/>
    <w:rsid w:val="0030719A"/>
    <w:rsid w:val="00312507"/>
    <w:rsid w:val="00313205"/>
    <w:rsid w:val="003137D8"/>
    <w:rsid w:val="00315214"/>
    <w:rsid w:val="00324984"/>
    <w:rsid w:val="003255B0"/>
    <w:rsid w:val="00325A04"/>
    <w:rsid w:val="0032697A"/>
    <w:rsid w:val="00334662"/>
    <w:rsid w:val="00335236"/>
    <w:rsid w:val="0033703C"/>
    <w:rsid w:val="0033712D"/>
    <w:rsid w:val="00337E34"/>
    <w:rsid w:val="00341B6B"/>
    <w:rsid w:val="00345CEA"/>
    <w:rsid w:val="003461FB"/>
    <w:rsid w:val="00346DA8"/>
    <w:rsid w:val="00352F60"/>
    <w:rsid w:val="00354CCC"/>
    <w:rsid w:val="00354E12"/>
    <w:rsid w:val="00355652"/>
    <w:rsid w:val="0036079A"/>
    <w:rsid w:val="00362780"/>
    <w:rsid w:val="00362DE8"/>
    <w:rsid w:val="003656C5"/>
    <w:rsid w:val="0037041C"/>
    <w:rsid w:val="003708F6"/>
    <w:rsid w:val="0037100F"/>
    <w:rsid w:val="00372E72"/>
    <w:rsid w:val="00374235"/>
    <w:rsid w:val="0038136A"/>
    <w:rsid w:val="00384116"/>
    <w:rsid w:val="0038447A"/>
    <w:rsid w:val="00384593"/>
    <w:rsid w:val="00385318"/>
    <w:rsid w:val="00385A6A"/>
    <w:rsid w:val="00385FF0"/>
    <w:rsid w:val="00393B72"/>
    <w:rsid w:val="0039420D"/>
    <w:rsid w:val="0039441C"/>
    <w:rsid w:val="0039518D"/>
    <w:rsid w:val="003971E2"/>
    <w:rsid w:val="003A04A7"/>
    <w:rsid w:val="003A0CF1"/>
    <w:rsid w:val="003A1153"/>
    <w:rsid w:val="003A5634"/>
    <w:rsid w:val="003A6A84"/>
    <w:rsid w:val="003A6D8E"/>
    <w:rsid w:val="003A7C62"/>
    <w:rsid w:val="003B4601"/>
    <w:rsid w:val="003B4732"/>
    <w:rsid w:val="003C389E"/>
    <w:rsid w:val="003C591E"/>
    <w:rsid w:val="003D28E2"/>
    <w:rsid w:val="003D37F2"/>
    <w:rsid w:val="003D775C"/>
    <w:rsid w:val="003E4439"/>
    <w:rsid w:val="003F0DCF"/>
    <w:rsid w:val="003F2655"/>
    <w:rsid w:val="003F3012"/>
    <w:rsid w:val="003F48AD"/>
    <w:rsid w:val="003F61D0"/>
    <w:rsid w:val="003F64B6"/>
    <w:rsid w:val="003F6DBA"/>
    <w:rsid w:val="003F79F4"/>
    <w:rsid w:val="003F7B37"/>
    <w:rsid w:val="00403545"/>
    <w:rsid w:val="004055A7"/>
    <w:rsid w:val="00405608"/>
    <w:rsid w:val="00407FE0"/>
    <w:rsid w:val="004128A8"/>
    <w:rsid w:val="00414B09"/>
    <w:rsid w:val="00415225"/>
    <w:rsid w:val="004162D1"/>
    <w:rsid w:val="0042475D"/>
    <w:rsid w:val="00425673"/>
    <w:rsid w:val="00432DC5"/>
    <w:rsid w:val="00433E8D"/>
    <w:rsid w:val="0043524F"/>
    <w:rsid w:val="0043585E"/>
    <w:rsid w:val="00437D27"/>
    <w:rsid w:val="00443C38"/>
    <w:rsid w:val="004441B5"/>
    <w:rsid w:val="004472AD"/>
    <w:rsid w:val="004521C4"/>
    <w:rsid w:val="00452FD8"/>
    <w:rsid w:val="00455FF3"/>
    <w:rsid w:val="00457B8F"/>
    <w:rsid w:val="00457CC5"/>
    <w:rsid w:val="00460F9C"/>
    <w:rsid w:val="00462F2E"/>
    <w:rsid w:val="00462FCD"/>
    <w:rsid w:val="0047055E"/>
    <w:rsid w:val="00472C5F"/>
    <w:rsid w:val="00472EC4"/>
    <w:rsid w:val="00476D6D"/>
    <w:rsid w:val="00477F86"/>
    <w:rsid w:val="00482DA0"/>
    <w:rsid w:val="00483B0C"/>
    <w:rsid w:val="00485E7B"/>
    <w:rsid w:val="00487033"/>
    <w:rsid w:val="0049048B"/>
    <w:rsid w:val="004907AB"/>
    <w:rsid w:val="0049305E"/>
    <w:rsid w:val="004955A4"/>
    <w:rsid w:val="00497858"/>
    <w:rsid w:val="00497F86"/>
    <w:rsid w:val="004A041D"/>
    <w:rsid w:val="004A3091"/>
    <w:rsid w:val="004A664B"/>
    <w:rsid w:val="004B00C0"/>
    <w:rsid w:val="004B04CB"/>
    <w:rsid w:val="004B50CA"/>
    <w:rsid w:val="004B6E88"/>
    <w:rsid w:val="004B706D"/>
    <w:rsid w:val="004C2A47"/>
    <w:rsid w:val="004D0251"/>
    <w:rsid w:val="004D0983"/>
    <w:rsid w:val="004D103C"/>
    <w:rsid w:val="004D127F"/>
    <w:rsid w:val="004D21C7"/>
    <w:rsid w:val="004D3EFB"/>
    <w:rsid w:val="004D51E3"/>
    <w:rsid w:val="004D69DC"/>
    <w:rsid w:val="004D7CD3"/>
    <w:rsid w:val="004E1443"/>
    <w:rsid w:val="004E1647"/>
    <w:rsid w:val="004F137B"/>
    <w:rsid w:val="005005FF"/>
    <w:rsid w:val="00501866"/>
    <w:rsid w:val="005113AF"/>
    <w:rsid w:val="005144F6"/>
    <w:rsid w:val="005204F8"/>
    <w:rsid w:val="00523E31"/>
    <w:rsid w:val="005254B5"/>
    <w:rsid w:val="00527F88"/>
    <w:rsid w:val="00532EDE"/>
    <w:rsid w:val="00534B38"/>
    <w:rsid w:val="00543701"/>
    <w:rsid w:val="00543ADF"/>
    <w:rsid w:val="00544A9E"/>
    <w:rsid w:val="0054580C"/>
    <w:rsid w:val="00550732"/>
    <w:rsid w:val="00550AF7"/>
    <w:rsid w:val="00550DDA"/>
    <w:rsid w:val="005621B9"/>
    <w:rsid w:val="005659E4"/>
    <w:rsid w:val="0056786D"/>
    <w:rsid w:val="0057250B"/>
    <w:rsid w:val="00581B18"/>
    <w:rsid w:val="0058442A"/>
    <w:rsid w:val="0058623F"/>
    <w:rsid w:val="005922E9"/>
    <w:rsid w:val="0059282E"/>
    <w:rsid w:val="00592E3F"/>
    <w:rsid w:val="00595A2D"/>
    <w:rsid w:val="00597815"/>
    <w:rsid w:val="005A28F2"/>
    <w:rsid w:val="005A3296"/>
    <w:rsid w:val="005B2669"/>
    <w:rsid w:val="005C1E0D"/>
    <w:rsid w:val="005C51A3"/>
    <w:rsid w:val="005C6868"/>
    <w:rsid w:val="005C7507"/>
    <w:rsid w:val="005D0A4A"/>
    <w:rsid w:val="005D1B25"/>
    <w:rsid w:val="005D47E1"/>
    <w:rsid w:val="005D63E1"/>
    <w:rsid w:val="005E11D4"/>
    <w:rsid w:val="005E1694"/>
    <w:rsid w:val="005E2FE7"/>
    <w:rsid w:val="005E4305"/>
    <w:rsid w:val="005E4B83"/>
    <w:rsid w:val="005E5043"/>
    <w:rsid w:val="005E6950"/>
    <w:rsid w:val="005F3BBB"/>
    <w:rsid w:val="005F725A"/>
    <w:rsid w:val="00602F1A"/>
    <w:rsid w:val="00604457"/>
    <w:rsid w:val="00605D75"/>
    <w:rsid w:val="00607004"/>
    <w:rsid w:val="00610147"/>
    <w:rsid w:val="006117B4"/>
    <w:rsid w:val="0061311B"/>
    <w:rsid w:val="006155C3"/>
    <w:rsid w:val="00616832"/>
    <w:rsid w:val="006177D3"/>
    <w:rsid w:val="00620658"/>
    <w:rsid w:val="0062207E"/>
    <w:rsid w:val="00624F7E"/>
    <w:rsid w:val="00625334"/>
    <w:rsid w:val="00625EE8"/>
    <w:rsid w:val="00632841"/>
    <w:rsid w:val="006331A1"/>
    <w:rsid w:val="00642201"/>
    <w:rsid w:val="0064222F"/>
    <w:rsid w:val="0064272F"/>
    <w:rsid w:val="0064674E"/>
    <w:rsid w:val="00652265"/>
    <w:rsid w:val="006522D5"/>
    <w:rsid w:val="00654156"/>
    <w:rsid w:val="006563E9"/>
    <w:rsid w:val="006566CE"/>
    <w:rsid w:val="00657692"/>
    <w:rsid w:val="0065798B"/>
    <w:rsid w:val="006624EC"/>
    <w:rsid w:val="00662512"/>
    <w:rsid w:val="00664833"/>
    <w:rsid w:val="006672DE"/>
    <w:rsid w:val="006711A1"/>
    <w:rsid w:val="00671742"/>
    <w:rsid w:val="00671BE4"/>
    <w:rsid w:val="006726CD"/>
    <w:rsid w:val="00673691"/>
    <w:rsid w:val="006830C5"/>
    <w:rsid w:val="00686D9D"/>
    <w:rsid w:val="00692A08"/>
    <w:rsid w:val="00696BFA"/>
    <w:rsid w:val="00697365"/>
    <w:rsid w:val="00697829"/>
    <w:rsid w:val="00697973"/>
    <w:rsid w:val="00697E8A"/>
    <w:rsid w:val="006A1536"/>
    <w:rsid w:val="006A63FA"/>
    <w:rsid w:val="006A7253"/>
    <w:rsid w:val="006A7306"/>
    <w:rsid w:val="006B07D9"/>
    <w:rsid w:val="006B4869"/>
    <w:rsid w:val="006C0DBC"/>
    <w:rsid w:val="006C4169"/>
    <w:rsid w:val="006D31E1"/>
    <w:rsid w:val="006D50C3"/>
    <w:rsid w:val="006D5DD7"/>
    <w:rsid w:val="006D6FAF"/>
    <w:rsid w:val="006E1123"/>
    <w:rsid w:val="006E2353"/>
    <w:rsid w:val="006F0A00"/>
    <w:rsid w:val="006F60BA"/>
    <w:rsid w:val="006F6460"/>
    <w:rsid w:val="006F7CE3"/>
    <w:rsid w:val="00700311"/>
    <w:rsid w:val="0070090D"/>
    <w:rsid w:val="00702F10"/>
    <w:rsid w:val="00703635"/>
    <w:rsid w:val="00706BAD"/>
    <w:rsid w:val="0070719A"/>
    <w:rsid w:val="00714096"/>
    <w:rsid w:val="007166D5"/>
    <w:rsid w:val="007173F6"/>
    <w:rsid w:val="007178A9"/>
    <w:rsid w:val="00717F1F"/>
    <w:rsid w:val="00726916"/>
    <w:rsid w:val="00730822"/>
    <w:rsid w:val="00732BFF"/>
    <w:rsid w:val="007436DF"/>
    <w:rsid w:val="0074401D"/>
    <w:rsid w:val="007442B0"/>
    <w:rsid w:val="007465F6"/>
    <w:rsid w:val="00752258"/>
    <w:rsid w:val="0075304D"/>
    <w:rsid w:val="00753CF1"/>
    <w:rsid w:val="007567FB"/>
    <w:rsid w:val="0075786D"/>
    <w:rsid w:val="007606E4"/>
    <w:rsid w:val="00762536"/>
    <w:rsid w:val="007631C7"/>
    <w:rsid w:val="00764615"/>
    <w:rsid w:val="00771709"/>
    <w:rsid w:val="00772DD7"/>
    <w:rsid w:val="0077434C"/>
    <w:rsid w:val="0077525A"/>
    <w:rsid w:val="00775819"/>
    <w:rsid w:val="007831F0"/>
    <w:rsid w:val="00783FCC"/>
    <w:rsid w:val="0078502C"/>
    <w:rsid w:val="00786B71"/>
    <w:rsid w:val="00794DD1"/>
    <w:rsid w:val="00796B0D"/>
    <w:rsid w:val="007974AF"/>
    <w:rsid w:val="007A606C"/>
    <w:rsid w:val="007A7092"/>
    <w:rsid w:val="007A7C8B"/>
    <w:rsid w:val="007B048A"/>
    <w:rsid w:val="007B0FA9"/>
    <w:rsid w:val="007B5AE3"/>
    <w:rsid w:val="007C3AAD"/>
    <w:rsid w:val="007C44A1"/>
    <w:rsid w:val="007C4568"/>
    <w:rsid w:val="007D0956"/>
    <w:rsid w:val="007D466B"/>
    <w:rsid w:val="007D63BB"/>
    <w:rsid w:val="007D7561"/>
    <w:rsid w:val="007D76ED"/>
    <w:rsid w:val="007E0715"/>
    <w:rsid w:val="007E08FA"/>
    <w:rsid w:val="007E2B9F"/>
    <w:rsid w:val="007E3E25"/>
    <w:rsid w:val="007E54AE"/>
    <w:rsid w:val="007E6220"/>
    <w:rsid w:val="007E709F"/>
    <w:rsid w:val="007F3986"/>
    <w:rsid w:val="007F5370"/>
    <w:rsid w:val="007F61B0"/>
    <w:rsid w:val="00800466"/>
    <w:rsid w:val="00801EA1"/>
    <w:rsid w:val="00802135"/>
    <w:rsid w:val="00803A22"/>
    <w:rsid w:val="00806D70"/>
    <w:rsid w:val="00807D2F"/>
    <w:rsid w:val="008131A3"/>
    <w:rsid w:val="00815374"/>
    <w:rsid w:val="00823679"/>
    <w:rsid w:val="00825F87"/>
    <w:rsid w:val="008278A1"/>
    <w:rsid w:val="0083309E"/>
    <w:rsid w:val="00840393"/>
    <w:rsid w:val="0084668C"/>
    <w:rsid w:val="008477D7"/>
    <w:rsid w:val="008478B3"/>
    <w:rsid w:val="00851373"/>
    <w:rsid w:val="00854F74"/>
    <w:rsid w:val="00855027"/>
    <w:rsid w:val="008551F1"/>
    <w:rsid w:val="008565CD"/>
    <w:rsid w:val="00870C35"/>
    <w:rsid w:val="00871929"/>
    <w:rsid w:val="00873ACA"/>
    <w:rsid w:val="008757FF"/>
    <w:rsid w:val="00876ABF"/>
    <w:rsid w:val="00880EF0"/>
    <w:rsid w:val="0088382C"/>
    <w:rsid w:val="00884372"/>
    <w:rsid w:val="00890F9E"/>
    <w:rsid w:val="00894503"/>
    <w:rsid w:val="00895A40"/>
    <w:rsid w:val="00896501"/>
    <w:rsid w:val="008A30BA"/>
    <w:rsid w:val="008A6DA4"/>
    <w:rsid w:val="008A75E8"/>
    <w:rsid w:val="008B1BA2"/>
    <w:rsid w:val="008B5ED2"/>
    <w:rsid w:val="008C1226"/>
    <w:rsid w:val="008C4214"/>
    <w:rsid w:val="008C4F42"/>
    <w:rsid w:val="008D46CD"/>
    <w:rsid w:val="008D4AFD"/>
    <w:rsid w:val="008D7D5B"/>
    <w:rsid w:val="008E2E33"/>
    <w:rsid w:val="008E6057"/>
    <w:rsid w:val="008F2071"/>
    <w:rsid w:val="008F3050"/>
    <w:rsid w:val="008F440D"/>
    <w:rsid w:val="008F481A"/>
    <w:rsid w:val="008F58B2"/>
    <w:rsid w:val="008F60D3"/>
    <w:rsid w:val="009002AD"/>
    <w:rsid w:val="00900633"/>
    <w:rsid w:val="00904967"/>
    <w:rsid w:val="00904FB1"/>
    <w:rsid w:val="009126AF"/>
    <w:rsid w:val="009147F8"/>
    <w:rsid w:val="00922F71"/>
    <w:rsid w:val="00923818"/>
    <w:rsid w:val="00927BD6"/>
    <w:rsid w:val="00930E6D"/>
    <w:rsid w:val="00931C30"/>
    <w:rsid w:val="00931C37"/>
    <w:rsid w:val="00932031"/>
    <w:rsid w:val="00932C2D"/>
    <w:rsid w:val="00936994"/>
    <w:rsid w:val="00940712"/>
    <w:rsid w:val="00945C9D"/>
    <w:rsid w:val="00946B5C"/>
    <w:rsid w:val="009505B9"/>
    <w:rsid w:val="009508E4"/>
    <w:rsid w:val="00951262"/>
    <w:rsid w:val="0095320C"/>
    <w:rsid w:val="00953FE1"/>
    <w:rsid w:val="00954469"/>
    <w:rsid w:val="0095565F"/>
    <w:rsid w:val="00956EAD"/>
    <w:rsid w:val="0096018E"/>
    <w:rsid w:val="00960397"/>
    <w:rsid w:val="00962AAB"/>
    <w:rsid w:val="009667D3"/>
    <w:rsid w:val="009747CA"/>
    <w:rsid w:val="00975D78"/>
    <w:rsid w:val="009848DC"/>
    <w:rsid w:val="0098531E"/>
    <w:rsid w:val="009906E3"/>
    <w:rsid w:val="00991A03"/>
    <w:rsid w:val="00993511"/>
    <w:rsid w:val="0099409A"/>
    <w:rsid w:val="009944DD"/>
    <w:rsid w:val="00997C3E"/>
    <w:rsid w:val="00997EFB"/>
    <w:rsid w:val="009A2587"/>
    <w:rsid w:val="009A36A0"/>
    <w:rsid w:val="009B68BD"/>
    <w:rsid w:val="009C5BF1"/>
    <w:rsid w:val="009C5C31"/>
    <w:rsid w:val="009D0F62"/>
    <w:rsid w:val="009D6B96"/>
    <w:rsid w:val="009E06BE"/>
    <w:rsid w:val="009E396E"/>
    <w:rsid w:val="009E4170"/>
    <w:rsid w:val="009E47C2"/>
    <w:rsid w:val="009E4D52"/>
    <w:rsid w:val="009E5989"/>
    <w:rsid w:val="009E77C7"/>
    <w:rsid w:val="009F05D9"/>
    <w:rsid w:val="00A04418"/>
    <w:rsid w:val="00A05785"/>
    <w:rsid w:val="00A07684"/>
    <w:rsid w:val="00A12FAF"/>
    <w:rsid w:val="00A14B36"/>
    <w:rsid w:val="00A22102"/>
    <w:rsid w:val="00A24A1A"/>
    <w:rsid w:val="00A30C2F"/>
    <w:rsid w:val="00A3179C"/>
    <w:rsid w:val="00A3204A"/>
    <w:rsid w:val="00A34039"/>
    <w:rsid w:val="00A359DB"/>
    <w:rsid w:val="00A370A1"/>
    <w:rsid w:val="00A404FE"/>
    <w:rsid w:val="00A432D3"/>
    <w:rsid w:val="00A4413D"/>
    <w:rsid w:val="00A50712"/>
    <w:rsid w:val="00A66C3B"/>
    <w:rsid w:val="00A67A0D"/>
    <w:rsid w:val="00A73183"/>
    <w:rsid w:val="00A76C4B"/>
    <w:rsid w:val="00A77146"/>
    <w:rsid w:val="00A800AE"/>
    <w:rsid w:val="00A81A16"/>
    <w:rsid w:val="00A849F6"/>
    <w:rsid w:val="00A84FF4"/>
    <w:rsid w:val="00A9223F"/>
    <w:rsid w:val="00A96A7B"/>
    <w:rsid w:val="00A978E5"/>
    <w:rsid w:val="00AA0E47"/>
    <w:rsid w:val="00AA213B"/>
    <w:rsid w:val="00AB4E65"/>
    <w:rsid w:val="00AB73C7"/>
    <w:rsid w:val="00AC027B"/>
    <w:rsid w:val="00AC0622"/>
    <w:rsid w:val="00AC147C"/>
    <w:rsid w:val="00AC1F8E"/>
    <w:rsid w:val="00AC2820"/>
    <w:rsid w:val="00AC2E65"/>
    <w:rsid w:val="00AC3147"/>
    <w:rsid w:val="00AC3224"/>
    <w:rsid w:val="00AC61EB"/>
    <w:rsid w:val="00AC656E"/>
    <w:rsid w:val="00AC6BE0"/>
    <w:rsid w:val="00AD15A1"/>
    <w:rsid w:val="00AD2735"/>
    <w:rsid w:val="00AD6B52"/>
    <w:rsid w:val="00AD6C80"/>
    <w:rsid w:val="00AE05D8"/>
    <w:rsid w:val="00AE1E40"/>
    <w:rsid w:val="00AE1F57"/>
    <w:rsid w:val="00AE5680"/>
    <w:rsid w:val="00AE6FF2"/>
    <w:rsid w:val="00AF061F"/>
    <w:rsid w:val="00AF1D73"/>
    <w:rsid w:val="00AF392D"/>
    <w:rsid w:val="00AF410F"/>
    <w:rsid w:val="00AF6230"/>
    <w:rsid w:val="00AF6D2E"/>
    <w:rsid w:val="00B0234D"/>
    <w:rsid w:val="00B0317B"/>
    <w:rsid w:val="00B03B65"/>
    <w:rsid w:val="00B042E3"/>
    <w:rsid w:val="00B04FE5"/>
    <w:rsid w:val="00B10131"/>
    <w:rsid w:val="00B119FD"/>
    <w:rsid w:val="00B13826"/>
    <w:rsid w:val="00B14BAE"/>
    <w:rsid w:val="00B22188"/>
    <w:rsid w:val="00B2725F"/>
    <w:rsid w:val="00B32BE4"/>
    <w:rsid w:val="00B348E8"/>
    <w:rsid w:val="00B35EDB"/>
    <w:rsid w:val="00B3776B"/>
    <w:rsid w:val="00B40174"/>
    <w:rsid w:val="00B41065"/>
    <w:rsid w:val="00B42512"/>
    <w:rsid w:val="00B43F61"/>
    <w:rsid w:val="00B440E5"/>
    <w:rsid w:val="00B4442D"/>
    <w:rsid w:val="00B4446A"/>
    <w:rsid w:val="00B50B7D"/>
    <w:rsid w:val="00B53D91"/>
    <w:rsid w:val="00B55435"/>
    <w:rsid w:val="00B6062C"/>
    <w:rsid w:val="00B65EB3"/>
    <w:rsid w:val="00B81EC5"/>
    <w:rsid w:val="00B856DF"/>
    <w:rsid w:val="00B87315"/>
    <w:rsid w:val="00B90906"/>
    <w:rsid w:val="00B92FB2"/>
    <w:rsid w:val="00B956AC"/>
    <w:rsid w:val="00B96CBC"/>
    <w:rsid w:val="00B96F70"/>
    <w:rsid w:val="00BB477A"/>
    <w:rsid w:val="00BB4FF1"/>
    <w:rsid w:val="00BB5599"/>
    <w:rsid w:val="00BC344B"/>
    <w:rsid w:val="00BC581A"/>
    <w:rsid w:val="00BC7F05"/>
    <w:rsid w:val="00BD29C4"/>
    <w:rsid w:val="00BD3E9D"/>
    <w:rsid w:val="00BD3FB9"/>
    <w:rsid w:val="00BD4EFA"/>
    <w:rsid w:val="00BD6010"/>
    <w:rsid w:val="00BE2B4F"/>
    <w:rsid w:val="00BE4989"/>
    <w:rsid w:val="00BE626A"/>
    <w:rsid w:val="00BE735C"/>
    <w:rsid w:val="00BF0A4B"/>
    <w:rsid w:val="00BF523B"/>
    <w:rsid w:val="00C0061E"/>
    <w:rsid w:val="00C02AC8"/>
    <w:rsid w:val="00C03437"/>
    <w:rsid w:val="00C06568"/>
    <w:rsid w:val="00C0776E"/>
    <w:rsid w:val="00C134D3"/>
    <w:rsid w:val="00C13DD7"/>
    <w:rsid w:val="00C16B72"/>
    <w:rsid w:val="00C21903"/>
    <w:rsid w:val="00C23678"/>
    <w:rsid w:val="00C262A7"/>
    <w:rsid w:val="00C269A5"/>
    <w:rsid w:val="00C27BB6"/>
    <w:rsid w:val="00C31CAB"/>
    <w:rsid w:val="00C35C9D"/>
    <w:rsid w:val="00C35FB3"/>
    <w:rsid w:val="00C36293"/>
    <w:rsid w:val="00C459C9"/>
    <w:rsid w:val="00C469A0"/>
    <w:rsid w:val="00C46C61"/>
    <w:rsid w:val="00C50A6E"/>
    <w:rsid w:val="00C513EA"/>
    <w:rsid w:val="00C528EE"/>
    <w:rsid w:val="00C543BD"/>
    <w:rsid w:val="00C54F98"/>
    <w:rsid w:val="00C562FA"/>
    <w:rsid w:val="00C63F57"/>
    <w:rsid w:val="00C64385"/>
    <w:rsid w:val="00C646B2"/>
    <w:rsid w:val="00C66975"/>
    <w:rsid w:val="00C67C4C"/>
    <w:rsid w:val="00C7044D"/>
    <w:rsid w:val="00C70674"/>
    <w:rsid w:val="00C72EC7"/>
    <w:rsid w:val="00C74296"/>
    <w:rsid w:val="00C75A65"/>
    <w:rsid w:val="00C75D21"/>
    <w:rsid w:val="00C84DD5"/>
    <w:rsid w:val="00C87436"/>
    <w:rsid w:val="00C92486"/>
    <w:rsid w:val="00C93E71"/>
    <w:rsid w:val="00C9491C"/>
    <w:rsid w:val="00C94D9A"/>
    <w:rsid w:val="00CA00C1"/>
    <w:rsid w:val="00CA0ADD"/>
    <w:rsid w:val="00CA283F"/>
    <w:rsid w:val="00CA2CD2"/>
    <w:rsid w:val="00CA7CD7"/>
    <w:rsid w:val="00CB1C6A"/>
    <w:rsid w:val="00CB51AD"/>
    <w:rsid w:val="00CB592D"/>
    <w:rsid w:val="00CB6855"/>
    <w:rsid w:val="00CC20A5"/>
    <w:rsid w:val="00CC678D"/>
    <w:rsid w:val="00CC6982"/>
    <w:rsid w:val="00CC7CA6"/>
    <w:rsid w:val="00CD0192"/>
    <w:rsid w:val="00CD0AA2"/>
    <w:rsid w:val="00CD66A3"/>
    <w:rsid w:val="00CE06D7"/>
    <w:rsid w:val="00CE13D5"/>
    <w:rsid w:val="00CE57BE"/>
    <w:rsid w:val="00CF2076"/>
    <w:rsid w:val="00CF244F"/>
    <w:rsid w:val="00CF3B25"/>
    <w:rsid w:val="00CF612E"/>
    <w:rsid w:val="00CF7BC8"/>
    <w:rsid w:val="00D048E5"/>
    <w:rsid w:val="00D06040"/>
    <w:rsid w:val="00D07024"/>
    <w:rsid w:val="00D1141E"/>
    <w:rsid w:val="00D15061"/>
    <w:rsid w:val="00D17ED1"/>
    <w:rsid w:val="00D24176"/>
    <w:rsid w:val="00D2447E"/>
    <w:rsid w:val="00D26D61"/>
    <w:rsid w:val="00D32B44"/>
    <w:rsid w:val="00D32C6C"/>
    <w:rsid w:val="00D342E2"/>
    <w:rsid w:val="00D37E99"/>
    <w:rsid w:val="00D4293A"/>
    <w:rsid w:val="00D436D4"/>
    <w:rsid w:val="00D43A20"/>
    <w:rsid w:val="00D502BC"/>
    <w:rsid w:val="00D509C6"/>
    <w:rsid w:val="00D538D9"/>
    <w:rsid w:val="00D54A88"/>
    <w:rsid w:val="00D54E12"/>
    <w:rsid w:val="00D5539D"/>
    <w:rsid w:val="00D600CC"/>
    <w:rsid w:val="00D60666"/>
    <w:rsid w:val="00D6542E"/>
    <w:rsid w:val="00D67196"/>
    <w:rsid w:val="00D70306"/>
    <w:rsid w:val="00D70450"/>
    <w:rsid w:val="00D70907"/>
    <w:rsid w:val="00D710C3"/>
    <w:rsid w:val="00D73DED"/>
    <w:rsid w:val="00D86772"/>
    <w:rsid w:val="00D8718F"/>
    <w:rsid w:val="00D90CB2"/>
    <w:rsid w:val="00D93B63"/>
    <w:rsid w:val="00D94DF6"/>
    <w:rsid w:val="00D95A2B"/>
    <w:rsid w:val="00D96145"/>
    <w:rsid w:val="00DA04AD"/>
    <w:rsid w:val="00DA0EB6"/>
    <w:rsid w:val="00DA32B3"/>
    <w:rsid w:val="00DA38DA"/>
    <w:rsid w:val="00DA43F9"/>
    <w:rsid w:val="00DB3C42"/>
    <w:rsid w:val="00DB7D7B"/>
    <w:rsid w:val="00DB7E54"/>
    <w:rsid w:val="00DB7ED1"/>
    <w:rsid w:val="00DC5C96"/>
    <w:rsid w:val="00DC6E0E"/>
    <w:rsid w:val="00DC7063"/>
    <w:rsid w:val="00DD1877"/>
    <w:rsid w:val="00DD3DEF"/>
    <w:rsid w:val="00DE0C59"/>
    <w:rsid w:val="00DE1FB7"/>
    <w:rsid w:val="00DE2229"/>
    <w:rsid w:val="00DF54B2"/>
    <w:rsid w:val="00E00498"/>
    <w:rsid w:val="00E07A6B"/>
    <w:rsid w:val="00E2024F"/>
    <w:rsid w:val="00E2046E"/>
    <w:rsid w:val="00E21D8E"/>
    <w:rsid w:val="00E24EA0"/>
    <w:rsid w:val="00E345EC"/>
    <w:rsid w:val="00E35416"/>
    <w:rsid w:val="00E40B07"/>
    <w:rsid w:val="00E40FA0"/>
    <w:rsid w:val="00E424C1"/>
    <w:rsid w:val="00E4307B"/>
    <w:rsid w:val="00E503C8"/>
    <w:rsid w:val="00E51D0F"/>
    <w:rsid w:val="00E51ECC"/>
    <w:rsid w:val="00E52AF1"/>
    <w:rsid w:val="00E57AB4"/>
    <w:rsid w:val="00E63EA4"/>
    <w:rsid w:val="00E648DF"/>
    <w:rsid w:val="00E64C1B"/>
    <w:rsid w:val="00E67018"/>
    <w:rsid w:val="00E72B00"/>
    <w:rsid w:val="00E733D5"/>
    <w:rsid w:val="00E73FE5"/>
    <w:rsid w:val="00E745DA"/>
    <w:rsid w:val="00E756D4"/>
    <w:rsid w:val="00E80089"/>
    <w:rsid w:val="00E806DC"/>
    <w:rsid w:val="00E81CFA"/>
    <w:rsid w:val="00E825CB"/>
    <w:rsid w:val="00E8539C"/>
    <w:rsid w:val="00E855BD"/>
    <w:rsid w:val="00E85C02"/>
    <w:rsid w:val="00E953F1"/>
    <w:rsid w:val="00E97C9A"/>
    <w:rsid w:val="00EA08A0"/>
    <w:rsid w:val="00EA4D2C"/>
    <w:rsid w:val="00EA6C88"/>
    <w:rsid w:val="00EA77AE"/>
    <w:rsid w:val="00EB332C"/>
    <w:rsid w:val="00EB37E3"/>
    <w:rsid w:val="00EB46EB"/>
    <w:rsid w:val="00EC3516"/>
    <w:rsid w:val="00EC425C"/>
    <w:rsid w:val="00EC7A57"/>
    <w:rsid w:val="00ED264A"/>
    <w:rsid w:val="00ED41FF"/>
    <w:rsid w:val="00ED572A"/>
    <w:rsid w:val="00EE0D5C"/>
    <w:rsid w:val="00EE1019"/>
    <w:rsid w:val="00EE2F9D"/>
    <w:rsid w:val="00EE4D41"/>
    <w:rsid w:val="00EE535D"/>
    <w:rsid w:val="00EE5E17"/>
    <w:rsid w:val="00EF2A2C"/>
    <w:rsid w:val="00EF67FF"/>
    <w:rsid w:val="00F078C7"/>
    <w:rsid w:val="00F15AFB"/>
    <w:rsid w:val="00F15F94"/>
    <w:rsid w:val="00F23095"/>
    <w:rsid w:val="00F259D9"/>
    <w:rsid w:val="00F2798E"/>
    <w:rsid w:val="00F35EC5"/>
    <w:rsid w:val="00F3650F"/>
    <w:rsid w:val="00F42636"/>
    <w:rsid w:val="00F432E8"/>
    <w:rsid w:val="00F4696D"/>
    <w:rsid w:val="00F51E1B"/>
    <w:rsid w:val="00F51E77"/>
    <w:rsid w:val="00F53792"/>
    <w:rsid w:val="00F54DF9"/>
    <w:rsid w:val="00F61DE0"/>
    <w:rsid w:val="00F6478E"/>
    <w:rsid w:val="00F81228"/>
    <w:rsid w:val="00F81EEC"/>
    <w:rsid w:val="00F825BF"/>
    <w:rsid w:val="00F82DB1"/>
    <w:rsid w:val="00F83557"/>
    <w:rsid w:val="00F84943"/>
    <w:rsid w:val="00F84AF6"/>
    <w:rsid w:val="00F903B5"/>
    <w:rsid w:val="00F92E68"/>
    <w:rsid w:val="00F9725A"/>
    <w:rsid w:val="00F97D2D"/>
    <w:rsid w:val="00FA0330"/>
    <w:rsid w:val="00FB1195"/>
    <w:rsid w:val="00FB163F"/>
    <w:rsid w:val="00FB184E"/>
    <w:rsid w:val="00FB3A38"/>
    <w:rsid w:val="00FC5658"/>
    <w:rsid w:val="00FC6EFC"/>
    <w:rsid w:val="00FD775D"/>
    <w:rsid w:val="00FE1B4D"/>
    <w:rsid w:val="00FE4E84"/>
    <w:rsid w:val="00FE7C94"/>
    <w:rsid w:val="00FF3557"/>
    <w:rsid w:val="00FF4A43"/>
    <w:rsid w:val="00FF4FBA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15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F2"/>
    <w:pPr>
      <w:spacing w:after="200" w:line="276" w:lineRule="auto"/>
    </w:pPr>
    <w:rPr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C3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6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226FE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rsid w:val="00B444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F0DC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DC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Default">
    <w:name w:val="Default"/>
    <w:rsid w:val="00106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7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2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78"/>
    <w:rPr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7E0715"/>
  </w:style>
  <w:style w:type="character" w:customStyle="1" w:styleId="Heading3Char">
    <w:name w:val="Heading 3 Char"/>
    <w:basedOn w:val="DefaultParagraphFont"/>
    <w:link w:val="Heading3"/>
    <w:semiHidden/>
    <w:rsid w:val="001C332B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paragraph" w:styleId="NormalWeb">
    <w:name w:val="Normal (Web)"/>
    <w:basedOn w:val="Normal"/>
    <w:uiPriority w:val="99"/>
    <w:semiHidden/>
    <w:unhideWhenUsed/>
    <w:rsid w:val="00DA43F9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locked/>
    <w:rsid w:val="00794DD1"/>
    <w:rPr>
      <w:i/>
      <w:iCs/>
    </w:rPr>
  </w:style>
  <w:style w:type="paragraph" w:customStyle="1" w:styleId="CM1">
    <w:name w:val="CM1"/>
    <w:basedOn w:val="Default"/>
    <w:next w:val="Default"/>
    <w:uiPriority w:val="99"/>
    <w:rsid w:val="003B473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3B4732"/>
    <w:rPr>
      <w:rFonts w:ascii="EUAlbertina" w:hAnsi="EUAlbertin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F2"/>
    <w:pPr>
      <w:spacing w:after="200" w:line="276" w:lineRule="auto"/>
    </w:pPr>
    <w:rPr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C3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6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226FE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rsid w:val="00B444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F0DC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DC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Default">
    <w:name w:val="Default"/>
    <w:rsid w:val="00106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7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2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78"/>
    <w:rPr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7E0715"/>
  </w:style>
  <w:style w:type="character" w:customStyle="1" w:styleId="Heading3Char">
    <w:name w:val="Heading 3 Char"/>
    <w:basedOn w:val="DefaultParagraphFont"/>
    <w:link w:val="Heading3"/>
    <w:semiHidden/>
    <w:rsid w:val="001C332B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paragraph" w:styleId="NormalWeb">
    <w:name w:val="Normal (Web)"/>
    <w:basedOn w:val="Normal"/>
    <w:uiPriority w:val="99"/>
    <w:semiHidden/>
    <w:unhideWhenUsed/>
    <w:rsid w:val="00DA43F9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locked/>
    <w:rsid w:val="00794DD1"/>
    <w:rPr>
      <w:i/>
      <w:iCs/>
    </w:rPr>
  </w:style>
  <w:style w:type="paragraph" w:customStyle="1" w:styleId="CM1">
    <w:name w:val="CM1"/>
    <w:basedOn w:val="Default"/>
    <w:next w:val="Default"/>
    <w:uiPriority w:val="99"/>
    <w:rsid w:val="003B473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3B4732"/>
    <w:rPr>
      <w:rFonts w:ascii="EUAlbertina" w:hAnsi="EUAlbertin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7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7A1A-2D95-48A4-808A-A8694B46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Ioana Maria Ciocoiu</dc:creator>
  <cp:lastModifiedBy>Mariana.Simbrian</cp:lastModifiedBy>
  <cp:revision>42</cp:revision>
  <cp:lastPrinted>2015-09-18T11:15:00Z</cp:lastPrinted>
  <dcterms:created xsi:type="dcterms:W3CDTF">2016-03-28T14:33:00Z</dcterms:created>
  <dcterms:modified xsi:type="dcterms:W3CDTF">2016-06-16T14:10:00Z</dcterms:modified>
</cp:coreProperties>
</file>